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A17" w:rsidRPr="00A62A17" w:rsidRDefault="00A62A17" w:rsidP="00A62A17">
      <w:pPr>
        <w:spacing w:before="0" w:beforeAutospacing="0" w:after="0" w:afterAutospacing="0"/>
        <w:jc w:val="right"/>
        <w:divId w:val="2057124957"/>
        <w:rPr>
          <w:rFonts w:eastAsia="Times New Roman"/>
          <w:bCs/>
        </w:rPr>
      </w:pPr>
      <w:bookmarkStart w:id="0" w:name="_GoBack"/>
      <w:bookmarkEnd w:id="0"/>
      <w:r w:rsidRPr="00A62A17">
        <w:rPr>
          <w:rFonts w:eastAsia="Times New Roman"/>
          <w:bCs/>
        </w:rPr>
        <w:t>Приложение 3</w:t>
      </w:r>
    </w:p>
    <w:p w:rsidR="00A62A17" w:rsidRPr="00A62A17" w:rsidRDefault="00A62A17" w:rsidP="00A62A17">
      <w:pPr>
        <w:spacing w:before="0" w:beforeAutospacing="0" w:after="0" w:afterAutospacing="0"/>
        <w:jc w:val="right"/>
        <w:divId w:val="2057124957"/>
        <w:rPr>
          <w:rFonts w:eastAsia="Times New Roman"/>
          <w:bCs/>
        </w:rPr>
      </w:pPr>
      <w:r w:rsidRPr="00A62A17">
        <w:rPr>
          <w:rFonts w:eastAsia="Times New Roman"/>
          <w:bCs/>
        </w:rPr>
        <w:t>к отчету главы городского округа Тольятти</w:t>
      </w:r>
    </w:p>
    <w:p w:rsidR="00A62A17" w:rsidRPr="00A62A17" w:rsidRDefault="00A62A17" w:rsidP="00A62A17">
      <w:pPr>
        <w:spacing w:before="0" w:beforeAutospacing="0" w:after="0" w:afterAutospacing="0"/>
        <w:jc w:val="right"/>
        <w:divId w:val="2057124957"/>
        <w:rPr>
          <w:rFonts w:eastAsia="Times New Roman"/>
          <w:bCs/>
        </w:rPr>
      </w:pPr>
      <w:r w:rsidRPr="00A62A17">
        <w:rPr>
          <w:rFonts w:eastAsia="Times New Roman"/>
          <w:bCs/>
        </w:rPr>
        <w:t>о результатах его деятельности</w:t>
      </w:r>
    </w:p>
    <w:p w:rsidR="00A62A17" w:rsidRPr="00A62A17" w:rsidRDefault="00A62A17" w:rsidP="00A62A17">
      <w:pPr>
        <w:spacing w:before="0" w:beforeAutospacing="0" w:after="0" w:afterAutospacing="0"/>
        <w:jc w:val="right"/>
        <w:divId w:val="2057124957"/>
        <w:rPr>
          <w:rFonts w:eastAsia="Times New Roman"/>
          <w:bCs/>
        </w:rPr>
      </w:pPr>
      <w:r w:rsidRPr="00A62A17">
        <w:rPr>
          <w:rFonts w:eastAsia="Times New Roman"/>
          <w:bCs/>
        </w:rPr>
        <w:t xml:space="preserve">и  деятельности администрации </w:t>
      </w:r>
    </w:p>
    <w:p w:rsidR="00A62A17" w:rsidRPr="00A62A17" w:rsidRDefault="00A62A17" w:rsidP="00A62A17">
      <w:pPr>
        <w:spacing w:before="0" w:beforeAutospacing="0" w:after="0" w:afterAutospacing="0"/>
        <w:jc w:val="right"/>
        <w:divId w:val="2057124957"/>
        <w:rPr>
          <w:rFonts w:eastAsia="Times New Roman"/>
        </w:rPr>
      </w:pPr>
      <w:r w:rsidRPr="00A62A17">
        <w:rPr>
          <w:rFonts w:eastAsia="Times New Roman"/>
          <w:bCs/>
        </w:rPr>
        <w:t>городского округа Тольятти за 202</w:t>
      </w:r>
      <w:r>
        <w:rPr>
          <w:rFonts w:eastAsia="Times New Roman"/>
          <w:bCs/>
        </w:rPr>
        <w:t>4</w:t>
      </w:r>
      <w:r w:rsidRPr="00A62A17">
        <w:rPr>
          <w:rFonts w:eastAsia="Times New Roman"/>
          <w:bCs/>
        </w:rPr>
        <w:t xml:space="preserve"> год</w:t>
      </w:r>
    </w:p>
    <w:p w:rsidR="00A62A17" w:rsidRDefault="00A62A17" w:rsidP="00A62A17">
      <w:pPr>
        <w:jc w:val="right"/>
        <w:divId w:val="2057124957"/>
      </w:pPr>
    </w:p>
    <w:tbl>
      <w:tblPr>
        <w:tblW w:w="4500" w:type="pct"/>
        <w:jc w:val="center"/>
        <w:tblCellMar>
          <w:top w:w="15" w:type="dxa"/>
          <w:left w:w="15" w:type="dxa"/>
          <w:bottom w:w="15" w:type="dxa"/>
          <w:right w:w="15" w:type="dxa"/>
        </w:tblCellMar>
        <w:tblLook w:val="04A0" w:firstRow="1" w:lastRow="0" w:firstColumn="1" w:lastColumn="0" w:noHBand="0" w:noVBand="1"/>
      </w:tblPr>
      <w:tblGrid>
        <w:gridCol w:w="13622"/>
      </w:tblGrid>
      <w:tr w:rsidR="00DE42DF">
        <w:trPr>
          <w:divId w:val="2057124957"/>
          <w:jc w:val="center"/>
        </w:trPr>
        <w:tc>
          <w:tcPr>
            <w:tcW w:w="0" w:type="auto"/>
            <w:tcBorders>
              <w:top w:val="nil"/>
              <w:left w:val="nil"/>
              <w:bottom w:val="nil"/>
              <w:right w:val="nil"/>
            </w:tcBorders>
            <w:vAlign w:val="center"/>
            <w:hideMark/>
          </w:tcPr>
          <w:p w:rsidR="00DE42DF" w:rsidRDefault="007F6645">
            <w:pPr>
              <w:pStyle w:val="6"/>
            </w:pPr>
            <w:r>
              <w:rPr>
                <w:b/>
                <w:bCs/>
              </w:rPr>
              <w:t>Информация о результатах рассмотрения рекомендаций</w:t>
            </w:r>
            <w:r>
              <w:rPr>
                <w:b/>
                <w:bCs/>
              </w:rPr>
              <w:br/>
              <w:t>в адрес главы городского округа и администрации городского округа</w:t>
            </w:r>
            <w:r>
              <w:rPr>
                <w:b/>
                <w:bCs/>
              </w:rPr>
              <w:br/>
              <w:t>по итогам рассмотрения ежегодного отчета главы городского округа Тольятти</w:t>
            </w:r>
            <w:r>
              <w:rPr>
                <w:b/>
                <w:bCs/>
              </w:rPr>
              <w:br/>
              <w:t>о результатах его деятельности и деятельности администрации городского округа Тольятти за 2023 год</w:t>
            </w:r>
            <w:r>
              <w:br/>
              <w:t xml:space="preserve">(решение Думы городского округа Тольятти от 05.06.2024 №228) </w:t>
            </w:r>
          </w:p>
        </w:tc>
      </w:tr>
    </w:tbl>
    <w:p w:rsidR="00DE42DF" w:rsidRDefault="00DE42DF">
      <w:pPr>
        <w:pStyle w:val="a3"/>
        <w:jc w:val="center"/>
        <w:divId w:val="2057124957"/>
        <w:rPr>
          <w:rFonts w:ascii="Verdana" w:hAnsi="Verdana"/>
          <w:sz w:val="16"/>
          <w:szCs w:val="16"/>
        </w:rPr>
      </w:pPr>
    </w:p>
    <w:tbl>
      <w:tblPr>
        <w:tblW w:w="4500" w:type="pct"/>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61"/>
        <w:gridCol w:w="5492"/>
        <w:gridCol w:w="7277"/>
      </w:tblGrid>
      <w:tr w:rsidR="00DE42DF" w:rsidTr="00371AD8">
        <w:trPr>
          <w:divId w:val="2057124957"/>
          <w:tblHeader/>
          <w:jc w:val="center"/>
        </w:trPr>
        <w:tc>
          <w:tcPr>
            <w:tcW w:w="350" w:type="pct"/>
            <w:tcBorders>
              <w:top w:val="outset" w:sz="6" w:space="0" w:color="000000"/>
              <w:left w:val="outset" w:sz="6" w:space="0" w:color="000000"/>
              <w:bottom w:val="outset" w:sz="6" w:space="0" w:color="000000"/>
              <w:right w:val="outset" w:sz="6" w:space="0" w:color="000000"/>
            </w:tcBorders>
            <w:vAlign w:val="center"/>
            <w:hideMark/>
          </w:tcPr>
          <w:p w:rsidR="00DE42DF" w:rsidRDefault="007F6645">
            <w:pPr>
              <w:pStyle w:val="1"/>
              <w:jc w:val="center"/>
            </w:pPr>
            <w:r>
              <w:t xml:space="preserve">№ </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DE42DF" w:rsidRPr="00371AD8" w:rsidRDefault="007F6645">
            <w:pPr>
              <w:pStyle w:val="1"/>
              <w:jc w:val="center"/>
              <w:rPr>
                <w:b w:val="0"/>
              </w:rPr>
            </w:pPr>
            <w:r w:rsidRPr="00371AD8">
              <w:rPr>
                <w:b w:val="0"/>
              </w:rPr>
              <w:t>Рекомендации</w:t>
            </w:r>
          </w:p>
        </w:tc>
        <w:tc>
          <w:tcPr>
            <w:tcW w:w="2650" w:type="pct"/>
            <w:tcBorders>
              <w:top w:val="outset" w:sz="6" w:space="0" w:color="000000"/>
              <w:left w:val="outset" w:sz="6" w:space="0" w:color="000000"/>
              <w:bottom w:val="outset" w:sz="6" w:space="0" w:color="000000"/>
              <w:right w:val="outset" w:sz="6" w:space="0" w:color="000000"/>
            </w:tcBorders>
            <w:vAlign w:val="center"/>
            <w:hideMark/>
          </w:tcPr>
          <w:p w:rsidR="00DE42DF" w:rsidRPr="00371AD8" w:rsidRDefault="007F6645">
            <w:pPr>
              <w:pStyle w:val="1"/>
              <w:jc w:val="center"/>
              <w:rPr>
                <w:b w:val="0"/>
              </w:rPr>
            </w:pPr>
            <w:r w:rsidRPr="00371AD8">
              <w:rPr>
                <w:b w:val="0"/>
              </w:rPr>
              <w:t>Информация о результатах рассмотрения рекомендаций по итогам 2023 года</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DE42DF" w:rsidRDefault="007F6645">
            <w:pPr>
              <w:pStyle w:val="3"/>
            </w:pPr>
            <w:r>
              <w:rPr>
                <w:b/>
                <w:bCs/>
              </w:rPr>
              <w:t>1</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rPr>
                <w:b/>
                <w:bCs/>
              </w:rPr>
              <w:t>Рекомендовать:</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t> </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t>1.1</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обеспечить своевременное и в полном объеме освоение бюджетных средств на реализацию мероприятий муниципальных программ;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В 2024 году предусмотрены бюджетные ассигнования на реализацию мероприятий 27 муниципальных программ городского округа Тольятти в сумме 21 480 378 тыс. руб., финансирование за отчетный период составило 20 245 300 тыс. руб. или 94,3% от плановых значений, в сравнении с 2023 годом показатель исполнения муниципальных программ снизился на 2,6 %.</w:t>
            </w:r>
            <w:r>
              <w:br/>
              <w:t xml:space="preserve">Для обеспечения своевременного и полного освоения бюджетных средств в 2024 году в рамках муниципальных программ главными распорядителями бюджетных средств проводилась работа: направлялись заявки в отраслевые министерства Самарской области для привлечения средств вышестоящих бюджетов на софинансирование мероприятий муниципальных программ, разрабатывались правовые акты по освоению средств бюджета, обеспечивались процедуры размещения муниципальных закупок, </w:t>
            </w:r>
            <w:r>
              <w:lastRenderedPageBreak/>
              <w:t xml:space="preserve">принятия и оплаты выполненных работ. </w:t>
            </w:r>
            <w:r>
              <w:br/>
              <w:t xml:space="preserve">В тоже время за отчетный год по отдельным муниципальным программам сложился низкий показатель исполнения. </w:t>
            </w:r>
            <w:r>
              <w:br/>
              <w:t>«Развитие потребительского рынка в городском округе Тольятти на 2022-2026 годы»: при утвержденном плане 1 240 тыс. руб. исполнены расходы на сумму 665 тыс. руб. или 53,6 % от утвержденного плана. Не освоены расходы на сумму 575 тыс. руб., из них:</w:t>
            </w:r>
            <w:r>
              <w:br/>
              <w:t>- 300 тыс. руб. - по замерам фактической площади места размещения НТО. Замеры производятся при возникновении спорных моментов при установлении фактической площади места размещения, неполное освоение связано с отсутствием потребности. В отчетном периоде произведены замеры по 60 объектам;</w:t>
            </w:r>
            <w:r>
              <w:br/>
              <w:t>- 233 тыс. руб. определение рыночной стоимости платы по договору на размещение НТО, ввиду снижения потребности относительно планируемого количества НТО, подлежащих оценке рыночной стоимости платы.</w:t>
            </w:r>
            <w:r>
              <w:br/>
              <w:t>«Охрана окружающей среды на территории городского округа Тольятти на 2022-2026 годы»: при утвержденном плане 147 237 тыс. руб. исполнение составило 83 471 тыс. руб. или 56,7% от утвержденного плана, не освоены средства в сумме 63 766 тыс. руб., из них:</w:t>
            </w:r>
            <w:r>
              <w:br/>
              <w:t xml:space="preserve">- 34 464 тыс. руб.- осуществление контроля, выявление и оценка накопленного вреда окружающей среде свалок напротив 1-3 вставок ПАО «АвтоВАЗ», южнее завода ОАО «АвтоВАЗАгрегат», в районе села Тимофеевка, в связи с неразмещением закупок; </w:t>
            </w:r>
            <w:r>
              <w:br/>
              <w:t>- 13 737 тыс. руб. - нарушение подрядной организацией при выполнении муниципального контракта на рекультивацию вскрытой свалки инертных отходов, расположенной напротив 1-3 вставок ПАО «АвтоВАЗ» требований утвержденной проектной документации. Со стороны администрации городского округа Тольятти осуществляется претензионно - исковая работа;</w:t>
            </w:r>
            <w:r>
              <w:br/>
              <w:t xml:space="preserve">- 8 918 тыс. руб.- проектно- изыскательские работы по ликвидации </w:t>
            </w:r>
            <w:r>
              <w:lastRenderedPageBreak/>
              <w:t>объекта «Полигон по захоронению твердых бытовых отходов Узюково г. Тольятти (Самарская область), в связи с несоответствием фактического состояния объекта заключению государственной экспертизы;</w:t>
            </w:r>
            <w:r>
              <w:br/>
              <w:t>- 4 160 тыс. руб.- корректировка проектно-сметной документации по ликвидации накопленного вреда окружающей среде по объекту «свалка инертных отходов, расположенная напротив 1-3 вставок ПАО «АВТОВАЗ», в связи с претензионной работой по ликвидации свалки;</w:t>
            </w:r>
            <w:r>
              <w:br/>
              <w:t>- 1 141 тыс. руб. - рекультивация бывшей городской свалки промышленных и бытовых отходов Комсомольского района (южнее завода ОАО «АвтоВазАгрегат»), проведение исследований и измерений в целях контроля выполненных работ по национальному проекту «Экология», в связи с уточнением цены муниципальных контрактов;</w:t>
            </w:r>
            <w:r>
              <w:br/>
              <w:t xml:space="preserve">- 946 тыс. руб.- подбор трупов животных (биологических отходов), обнаруженных на территории г.о. Тольятти. </w:t>
            </w:r>
            <w:r>
              <w:br/>
              <w:t>Оплата производилась в соответствии с фактическим количеством биологических отходов;</w:t>
            </w:r>
            <w:r>
              <w:br/>
              <w:t>- 400 тыс. руб.- демеркуризация бесхозяйных ртутьсодержащих отходов. Расходы не осуществлялись в связи с тем, что ртутьсодержащие отходы на территории городского округа Тольятти не выявлены, муниципальный контракт расторгнут по соглашению сторон вследствие окончания срока оказания услуг.</w:t>
            </w:r>
            <w:r>
              <w:br/>
              <w:t>«Формирование современной городской среды на 2018-2025 годы»: при утвержденном плане 224 185 тыс. руб. исполнение составило 141 377 тыс. руб. или 63,1% от утвержденного плана, не освоены средства в сумме 82 808 тыс. руб., из них:</w:t>
            </w:r>
            <w:r>
              <w:br/>
              <w:t xml:space="preserve">-41 533 тыс. руб.- благоустройство общественных территорий в рамках федерального проекта «Формирование комфортной городской среды» (из них экономия от размещения муниципальной закупки - 12 180 тыс. руб.; неисполнение контракта по благоустройству парка Центрального района - 29353 тыс. руб. Объем субсидий в </w:t>
            </w:r>
            <w:r>
              <w:lastRenderedPageBreak/>
              <w:t>соответствии с уведомлениями министерства управления финансами Самарской области сокращен;</w:t>
            </w:r>
            <w:r>
              <w:br/>
              <w:t>- 35 851 тыс. руб.- нарушения подрядчиком условий по качеству, объемам и срокам запланированных работ по благоустройству парка Центрального района;</w:t>
            </w:r>
            <w:r>
              <w:br/>
              <w:t xml:space="preserve">-5 424 тыс. руб. - нераспределенный остаток, экономия по благоустройству общественных территорий городского округа. </w:t>
            </w:r>
            <w:r>
              <w:br/>
              <w:t>«Развитие транспортной системы и дорожного хозяйства городского округа Тольятти на 2021-2025гг.»: при утвержденном плане 3 823 356 тыс. руб. исполнение составило 3 187 978 тыс. руб. или 83,4% от плана, не освоены средства в сумме 635 378 тыс. руб., из них основные:</w:t>
            </w:r>
            <w:r>
              <w:br/>
              <w:t>- 344 936 тыс. руб. - перевозка пассажиров на муниципальных маршрутах., в связи с оплатой за фактически выполненный объем перевозок;</w:t>
            </w:r>
            <w:r>
              <w:br/>
              <w:t>-109 803 тыс. руб.- капитальный ремонт ул. Никонова, при выполнении работ потребовалась корректировка проектно-сметной документации (окончание во втором квартале 2025 года).</w:t>
            </w:r>
            <w:r>
              <w:br/>
              <w:t>«Создание условий для улучшения качества жизни жителей городского округа Тольятти» на 2020-2024 годы: при утвержденном плане 116 823 тыс. руб. исполнение составило 99 676 тыс. руб. или 85,3 % от плана, не освоены средства 17 147 тыс. руб., из них основные:</w:t>
            </w:r>
            <w:r>
              <w:br/>
              <w:t>-11 319 тыс. руб. - публично нормативные обязательства, выплаты носят заявительный характер;</w:t>
            </w:r>
            <w:r>
              <w:br/>
              <w:t>- 2 691 тыс. руб. - вознаграждение, причитающееся приемному родителю, патронатному воспитателю, выплаты производились исходя из фактического количества получателей;</w:t>
            </w:r>
            <w:r>
              <w:br/>
              <w:t xml:space="preserve">- 2 000 тыс. руб.- возмещение затрат по предоставлению бесплатного, льготного питания обучающимся в муниципальных </w:t>
            </w:r>
            <w:r>
              <w:lastRenderedPageBreak/>
              <w:t>общеобразовательных учреждениях, расходы осуществляются исходя из фактического посещения детьми образовательных учреждений.</w:t>
            </w:r>
            <w:r>
              <w:br/>
              <w:t>«Укрепление общественного здоровья в городском округе Тольятти» на 2021-2024 годы: при утвержденном плане 14 425 тыс. руб., исполнение составило 12 477 тыс. руб. или 86,5 % от утвержденного плана, не исполнены расходы в сумме 1 948 тыс. руб., в том числе основные- расходы на оплату жилого помещения, занимаемого по договору найма, гражданам, замещающим отдельные должности медицинских работников - 1 920 тыс. руб., выплаты публично нормативных обязательств носят заявительный характер.</w:t>
            </w:r>
            <w:r>
              <w:br/>
              <w:t xml:space="preserve">«Ремонт помещений, находящихся в муниципальной собственности городского округа Тольятти, на 2023-2027 годы»: при утвержденном плане 17 417 тыс. руб. исполнение составило 15 067 тыс. руб. или 86,5% от утвержденного плана. Отклонение в сумме 2 350 тыс. руб. сложилось в связи с размещением муниципального заказа по проведению ремонтных работ в 4-х жилых помещениях общей площадью 181,2 кв. м. в счет лимитов планового периода 2025 года по причине ограниченных сроков выполнения работ по окончании года (дополнительно выделены средства Решением Думы №363 от 27.11.2024). </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lastRenderedPageBreak/>
              <w:t>1.2</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продолжить работу по привлечению средств из вышестоящих бюджетов и внебюджетных средств;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Общий объем средств вышестоящих бюджетов, предусмотренных городскому округу Тольятти на 2024 год составил 11 292 989 тыс. руб., что на 1 388 095 тыс. руб. или на 14 % выше уровня 2023 года, в том числе: увеличены субвенции на сумму 882 846 тыс. руб., иные межбюджетные трансферты на 1 134 212 тыс. руб. и одновременно уменьшены субсидии на 626 174 тыс. руб., дотации (на выравнивание уровня бюджетной обеспеченности, на поддержку мер по обеспечению сбалансированности местных бюджетов, на поощрение муниципальных управленческих команд, финансовое обеспечение реализации мероприятий по исполнению расходных </w:t>
            </w:r>
            <w:r>
              <w:lastRenderedPageBreak/>
              <w:t>обязательств, возникающих при выполнении полномочий органов местного самоуправления по вопросам местного значения) – 2 789 тыс. руб.</w:t>
            </w:r>
            <w:r>
              <w:br/>
              <w:t xml:space="preserve">В 2024 году структурными подразделениями администрации городского округа Тольятти продолжена работа по привлечению средств из вышестоящего бюджета. </w:t>
            </w:r>
            <w:r>
              <w:br/>
              <w:t>Направлены заявки в отраслевые министерства Самарской области на выделение средств из федерального, областного бюджетов на решение вопросов местного значения, на исполнение переданных полномочий на 2025 год – 7 945,2 млн. руб., 2026 год – 5 169,5 млн. руб., 2027 год – 3 686,3 млн. руб. в рамках реализации государственных программ, в том числе рамках национальных проектов: в 2025 году – 1 027,7 млн. руб.: «Культура» - 241,6 млн. руб., «Демография» - 781,1 млн. руб., «Демография» в 2026 году – 210,8 млн. руб.</w:t>
            </w:r>
            <w:r>
              <w:br/>
              <w:t>Активное привлечение в городской округ федеральных и областных средств в рамках национальных и федеральных проектов, государственных программ и непрограммных направлений деятельности</w:t>
            </w:r>
            <w:r>
              <w:br/>
              <w:t>В 2024 году 4 муниципальные учреждения городского округа Тольятти – школы №№ 4,26,37 и Тольяттинский краеведческий музей стали победителями конкурса грантов ПАО «Татнефть».</w:t>
            </w:r>
            <w:r>
              <w:br/>
              <w:t>В результате была создана многофункциональная спортивная площадка на территории школы № 4, оборудован и оснащён кабинет химии в лицее № 37, разработана проектно-сметная документация для устройства на территории школы № 26 городка безопасности жизнедеятельности, проведён капитальный ремонт краеведческого музея для создания детского музейного центра «ЛабКлаб» на общую сумму 32,5 млн.руб.,в том числе сумма грантов ПАО «Татнефть» – 29 млн. руб., средства городского бюджета – 3,2 млн. руб., средства юридических лиц – 0,3 млн. руб., в том числе:</w:t>
            </w:r>
            <w:r>
              <w:br/>
              <w:t xml:space="preserve">- создание многофункциональной спортивной площадки на </w:t>
            </w:r>
            <w:r>
              <w:lastRenderedPageBreak/>
              <w:t>территории школы № 4– 14,5 млн. руб. (средства ПАО «Татнефть» – 13,1 млн. руб., средства городского бюджета – 1,4 млн. руб.);</w:t>
            </w:r>
            <w:r>
              <w:br/>
              <w:t>- оборудование и оснащение кабинета химии в лицее № 37 - 6 млн. руб. (средства ПАО «Татнефть» – 5,4 млн. руб., средства городского бюджета – 0,6 млн. руб.);</w:t>
            </w:r>
            <w:r>
              <w:br/>
              <w:t>- разработка проектно-сметной документации для устройства на территории школы № 26 городка безопасности жизнедеятельности – 0,6 млн. руб. (средства ПАО «Татнефть» – 0,5 млн. руб., средства городского бюджета – 0,1 млн. руб.);</w:t>
            </w:r>
            <w:r>
              <w:br/>
              <w:t xml:space="preserve">- капитальный ремонт краеведческого музея для создания детского музейного центра «ЛабКлаб» – 11,4 млн. руб. (средства ПАО «Татнефть» – 10 млн. руб., средства городского бюджета – 1,1 млн. руб., средства юридических лиц- 0,3 млн.руб.). </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lastRenderedPageBreak/>
              <w:t>1.3</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продолжить работу по повышению эффективности взаимодействия инструкторов по спорту для работы с населением по месту жительства и депутатов, избранных по одномандатным избирательным округам;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В соответствии с наказами депутатов Думы городского округа Тольятти, направленными на создание условий для развития физкультурно-спортивной работы по месту жительства на территории городского округа Тольятти на 31.12.2024г. зарегистрированы и работают 49 общественных клубов по различным спортивным направлениям и месту жительства. В том числе 28 клубов по месту жительства и 21 общественных клубов любителей спорта.</w:t>
            </w:r>
            <w:r>
              <w:br/>
              <w:t>Организация работы по месту жительства в городском округе Тольятти осуществляется в рамках реализации Муниципальной программы «Развитие физической культуры и спорта на территории городского округа Тольятти на 2022-2026 годы» и решения задачи «Развитие системы спортивных и физкультурных мероприятий с населением городского округа по месту жительства», направленной на создание условий для привлечения жителей городского округа Тольятти к систематическим занятиям физической культурой.</w:t>
            </w:r>
            <w:r>
              <w:br/>
              <w:t xml:space="preserve">Развитие системы спортивных и физкультурных мероприятий с населением по месту жительства является одной из уставных задач </w:t>
            </w:r>
            <w:r>
              <w:lastRenderedPageBreak/>
              <w:t xml:space="preserve">Центра физической культуры и спорта городского округа Тольятти (далее – МБУС ЦФиС). </w:t>
            </w:r>
            <w:r>
              <w:br/>
              <w:t xml:space="preserve">Для решения этих задач привлечено 8 инструкторов по спорту МБУС ЦФиС, 5 инструкторов по адаптивному спорту организуют проведение физкультурно-массовых мероприятий по месту жительства, 7 инструкторов проводят работу по адаптивному спорту и 27 инструкторов по спорту ведут занятия в клубах по месту жительства. </w:t>
            </w:r>
            <w:r>
              <w:br/>
              <w:t>Всего за 12 месяцев 2024 года Управлением физической культуры и спорта в рамках исполнения Календарного плана организованы и проведены 8 общегородских массовых физкультурно-спортивных мероприятий по месту жительства с общим охватом 7719 человек (7702 человек в 2023 году). Увеличение показателя связано с изменением системы организации и проведения физкультурных и спортивных мероприятий по месту жительства.</w:t>
            </w:r>
            <w:r>
              <w:br/>
              <w:t xml:space="preserve">Деятельность физкультурно-спортивных клубов по месту жительства направлена на организацию круглогодичной работы с населением по месту жительства. В 2024 году на территории городского округа Тольятти осуществляет свою работу 28 спортивных клубов по месту жительства, в которых занимаются 2120 детей и взрослых. </w:t>
            </w:r>
            <w:r>
              <w:br/>
              <w:t>В течение 2024 года инструкторами по спорту в клубах по месту жительства организовано и проведено дополнительно более 500 физкультурно - спортивных мероприятий по месту жительства, с общим участием 21 556 человек.</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lastRenderedPageBreak/>
              <w:t>1.4</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принять меры к повышению эффективности выполнения мероприятий по антитеррористической защищенности и по обеспечению пожарной безопасности муниципальных образовательных учреждений;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Для соответствия объектов образовательных учреждений требованиям антитеррористической защищенности департаментом образования администрации городского округа Тольятти принимаются все необходимые меры по исполнению мероприятий по техническому оснащению средствами/системами комплексной безопасности объектов образования, имущество которых находится в муниципальной собственности в соответствии с присвоенной </w:t>
            </w:r>
            <w:r>
              <w:lastRenderedPageBreak/>
              <w:t>категорией опасности.</w:t>
            </w:r>
            <w:r>
              <w:br/>
              <w:t>В 2024 году в рамках обеспечения обеспечения антитеррористической защищенности и безопасности в учреждениях, подведомственных департаменту образования были реализованы следующие мероприятия для создания безопасных условий пребывания:</w:t>
            </w:r>
            <w:r>
              <w:br/>
              <w:t>- оснащение (дооснащение) системой видеонаблюдения 14 учреждений (школы – 5, д/с – 8, пансионат «Радуга»);</w:t>
            </w:r>
            <w:r>
              <w:br/>
              <w:t>- оборудование контрольно-пропускными пунктами при входе (въезде) на территорию объекта – пансионат «Радуга»;</w:t>
            </w:r>
            <w:r>
              <w:br/>
              <w:t>- оснащение муниципальных объектов образования системами охранной сигнализации – 27 зданий образовательных учреждений, пансионат «Радуга», д/с 116;</w:t>
            </w:r>
            <w:r>
              <w:br/>
              <w:t>- устройство и дооснащение наружного освещения в 5 учреждениях (д/с - 1; школы - 4);</w:t>
            </w:r>
            <w:r>
              <w:br/>
              <w:t>- восстановление целостности ограждения территорий в 5 общеобразовательных учреждениях.</w:t>
            </w:r>
            <w:r>
              <w:br/>
              <w:t>В 2025 году запланировано провести мероприятия антитеррористической направленности в образовательных учреждениях, подведомственных департаменту образования, на сумму 85 932 тыс. руб., в 2026 – 25 242 тыс.руб.</w:t>
            </w:r>
            <w:r>
              <w:br/>
              <w:t>В целях обеспечения требований пожарной безопасности в части работоспособности систем противопожарной безопасности (систем АПС и СОУЭ) в 2024 году в муниципальном бюджете были предусмотрены средства в объеме 35 913,4 тыс.руб. на капитальный ремонт систем АПС и СОУЭ в 9 образовательных учреждениях.Соответствующие работы выполнены в полном объеме.Также в рамках капитального ремонта выполнен капитальный ремонт систем АПС и СОУЭ в МБУ "Лицей № 37".</w:t>
            </w:r>
            <w:r>
              <w:br/>
              <w:t xml:space="preserve">В 2025 году в бюджете отрасли "Образование" предусмотрены средства в объеме 86 010,0 тыс.руб. на капитальный ремонт систем АПС и СОУЭ в 14 образовательных учреждениях, а также в 2025 в </w:t>
            </w:r>
            <w:r>
              <w:lastRenderedPageBreak/>
              <w:t>рамках областной программы бюджету г.о. Тольятти выделена областная субсидия в объеме 9 000,0 тыс.руб. на замену систем противопожарной безопасности в трех образовательных учреждениях.</w:t>
            </w:r>
            <w:r>
              <w:br/>
              <w:t>Выполнение мероприятий по доведению муниципальных образовательных учреждений до требуемого уровня пожарной безопасности осуществляется в рамках планирования и осуществления текущей деятельности этих учреждений.</w:t>
            </w:r>
            <w:r>
              <w:br/>
              <w:t>Основной проблемный вопрос на объектах образования возникает в связи с истечением сроков эксплуатации (более 10 лет) автоматических систем противопожарной защиты (далее – АПЗ) и элементов этих систем.</w:t>
            </w:r>
            <w:r>
              <w:br/>
              <w:t>В целях повышения уровня пожарной безопасности объектов образования ежегодно в рамках выделенного финансирования осуществляются мероприятия по проектированию и(или) последующему монтажу новых систем АПЗ. В связи со значительными объёмами финансирования замена систем АПЗ на всех объектах образования происходит в течение нескольких лет.</w:t>
            </w:r>
            <w:r>
              <w:br/>
              <w:t>До замены на новые существующие системы АПЗ с истекшим сроком эксплуатации в рамках договоров на их обслуживание ежегодно проходят испытание на работоспособность и периодически проверяются на предмет исправности и передачи сигнала в пожарную охрану.</w:t>
            </w:r>
            <w:r>
              <w:br/>
              <w:t>В 2024 году на заседаниях антитеррористической комиссии городского округа Тольятти рассмотрены вопросы с заслушиванием руководителя департамента образования по следующим вопросам:</w:t>
            </w:r>
            <w:r>
              <w:br/>
              <w:t>-25.04.2024 года - «Об исполнении постановления Правительства Российской Федерации от 14.05.2021 № 732</w:t>
            </w:r>
            <w:r>
              <w:br/>
              <w:t>«Об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w:t>
            </w:r>
            <w:r>
              <w:br/>
            </w:r>
            <w:r>
              <w:lastRenderedPageBreak/>
              <w:t>-27.08.2024 года - «О состоянии антитеррористической защищенности образовательных учреждений в рамках подготовки к новому учебному году. Об исполнении «Комплексного плана противодействия идеологии терроризма в Российской Федерации на 2024 – 2028 годы». Копии протоколов размещены на официальном сайте администрации городского округа Тольятти в разделе противодействие терроризму.</w:t>
            </w:r>
            <w:r>
              <w:br/>
              <w:t xml:space="preserve">Все здания муниципальных образовательных учреждений обследованы на предмет антитеррористической защищенности, категорированы и имеют паспорт безопасности. Выполнение мероприятий по доведению муниципальных образовательных учреждений до требуемого уровня антитеррористической защищенности осуществляется в рамках планирования и осуществления текущей деятельности департамента образования и деятельности этих учреждений. </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lastRenderedPageBreak/>
              <w:t>1.5</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принять меры по сокращению интервала движения по муниципальным маршрутам регулярных перевозок городского округа Тольятти, осуществляемых по регулируемым тарифам;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С 1 января 2025 года по основным маршрутам городского округа Тольятти (№№ 2, 13, 40, 73) увеличено количество рейсов для сокращения интервала движения. С 1 марта 2025 года планируется увеличение работ по автобусным маршрутам №№ 41, 65. Также с 1 января 2025 года был запущен новый муниципальный автобусный маршрут № 65 «ОП Западный пляж - ОП Треугольник - ОП Западный пляж», для обеспечения транспортной доступности 3Б, 8, 11,11А, 13,14,17, 20, 21 кварталов. Администрацией городского округа Тольятти совместно с предприятиями - перевозчиками принимаются все возможные меры по обеспечению ритмичной и бесперебойной работы автобусных и троллейбусных маршрутов. </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t>1.6</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принять меры по вывозу снега с территории жилых кварталов городского округа Тольятти и организации мест для складирования снега, вывозимого с территории жилых кварталов городского округа и с магистральных дорог, в </w:t>
            </w:r>
            <w:r>
              <w:lastRenderedPageBreak/>
              <w:t xml:space="preserve">Центральном и Комсомольском районах;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lastRenderedPageBreak/>
              <w:t xml:space="preserve">Вывоз снега с территории жилых кварталов Центрального района в 2024 году осуществлялся МБУ "Зеленстрой" в соответствии с утвержденным муниципальным заданием, в рамках муниципальной программы «Благоустройство территорий городского округа Тольятти на 2015-2024 годы», утвержденной постановлением мэрии </w:t>
            </w:r>
            <w:r>
              <w:lastRenderedPageBreak/>
              <w:t xml:space="preserve">городского округа Тольятти от 24.03.2015 № 905-п/1. Места для складирования снега определены в соответствии с постановлением администрации городского округа Тольятти от 30.08.2021 № 2935-п/1 «Об отведении площадок приема снега в городском округе Тольятти». </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lastRenderedPageBreak/>
              <w:t>1.7</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принять меры по исполнению наказов избирателей депутатам Думы городского округа Тольятти VIII созыва в части благоустройства внутриквартальных территорий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Исполнение наказов избирателей возможно при реализации муниципальной программы «Благоустройство территорий городского округа Тольятти на 2025-2030 годы» в рамках выделенного целевого финансирования. Поадресный перечень согласовывается с депутатами избирательных округов Думы г.о. Тольятти. </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t>1.8</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учитывая неосвоение в 2023 году бюджетных средств в полном объеме и неисполнение мероприятий по расчистке неликвидных лесных участков, пострадавших от засухи и последствий лесных пожаров, создать условия для увеличения объемов и качества данных работ (на площади не менее 100 га в год), прежде всего в местах примыкания лесного массива к жилым кварталам и вблизи пешеходных маршрутов внутри лесного массива;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Реализация мероприятий по расчистке неликвидных лесных участков, пострадавших в результате засухи и последствий лесных пожаров, на территории Тольяттинского лесничества осуществляется в рамках муниципального задания МБУ «Зеленстрой». Неиспользованные в 2023 году средства областного бюджета в размере 6 021 тыс. руб. по расчистке неликвидных лесных участков, пострадавших в результате засухи и последствий лесных пожаров, на общей площади 25,4 га, перенесены на 2024 год.</w:t>
            </w:r>
            <w:r>
              <w:br/>
              <w:t>В 2024 году на расчистку неликвидных лесных участков, пострадавших в результате засухи и последствий лесных пожаров запланировано финансирование объеме 21 516 тыс. руб.,(средства областного бюджета – 11 579 тыс. руб., средства бюджета городского округа Тольятти – 9 937 тыс. руб.), на общей площади 75,4 га.</w:t>
            </w:r>
            <w:r>
              <w:br/>
              <w:t xml:space="preserve">Работы выполнены в полном объеме. </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t>1.9</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при организации летнего отдыха детей городского округа Тольятти не снижать достигнутые ранее объемы детского оздоровления, отдыха и занятости детей в каникулярное время;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spacing w:after="240" w:afterAutospacing="0"/>
            </w:pPr>
            <w:r>
              <w:t>Количество детей, охваченных оздоровлением и отдыхом в каникулярное время не снижается. С детьми организованы мероприятия в различных формах проведения.</w:t>
            </w:r>
            <w:r>
              <w:br/>
              <w:t xml:space="preserve">Количество учащихся, находящихся в лагерях дневного пребывания </w:t>
            </w:r>
            <w:r>
              <w:lastRenderedPageBreak/>
              <w:t>в 2023 году составило 12 467 детей, что составляет 17,4% от общего количества учащихся 1-10-х классов (без учета учащихся структурных подразделений «вечерняя школа», в муниципальных образовательных учреждениях – 71753 человека.</w:t>
            </w:r>
            <w:r>
              <w:br/>
              <w:t>Количество детей, получивших услуги по отдыху и оздоровлению в детских оздоровительных учреждениях (организациях) городского округа, в 2023 году составило 15 688 детей, из них 2 689 детей, находящихся в трудной жизненной ситуации, на объектах детского отдыха, находящихся в ведомственном подчинении департамента образования и управления физической культуры и спорта администрации городского округа Тольятти, что больше на 1 688 человек относительно планового значения показателя.</w:t>
            </w:r>
            <w:r>
              <w:br/>
              <w:t>Количество учащихся, находящихся в лагерях дневного пребывания в 2024 году составило 13 039 детей, что составляет 18% от общего количества учащихся 1-10-х классов (без учета учащихся структурных подразделений «вечерняя школа», в муниципальных образовательных учреждениях – 72 453 человека (по состоянию на 31.05.2024).</w:t>
            </w:r>
            <w:r>
              <w:br/>
              <w:t xml:space="preserve">Количество детей, получивших услуги по отдыху и оздоровлению в детских оздоровительных учреждениях (организациях) городского округа, в 2024 году составило 15 417 детей, из них 2 937 детей, находящихся в трудной жизненной ситуации, на объектах детского отдыха, находящихся в ведомственном подчинении департамента образования и управления физической культуры и спорта администрации городского округа Тольятти, что больше на 1 417 человек, находящихся в трудной жизненной ситуации, относительно планового значения показателя. </w:t>
            </w:r>
          </w:p>
        </w:tc>
      </w:tr>
      <w:tr w:rsidR="00DE42DF">
        <w:trPr>
          <w:divId w:val="2057124957"/>
          <w:jc w:val="center"/>
        </w:trPr>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3"/>
            </w:pPr>
            <w:r>
              <w:lastRenderedPageBreak/>
              <w:t>1.10</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активизировать работу по приобретению здания для размещения аварийно-спасательной службы МКУ «Центр гражданской защиты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DE42DF" w:rsidRDefault="007F6645">
            <w:pPr>
              <w:pStyle w:val="4"/>
            </w:pPr>
            <w:r>
              <w:t xml:space="preserve">В целях приобретения объекта недвижимого имущества для размещения МКУ «ЦГЗ г.о. Тольятти» администрацией городского округа Тольятти были подготовлены запросы в оценочные компании о предоставлении ценовой информации о рыночных ценах объектов </w:t>
            </w:r>
            <w:r>
              <w:lastRenderedPageBreak/>
              <w:t>недвижимого имущества, необходимой для определения начальной (максимальной) цены контракта. Минимальная цена контракта на оказание услуг была предложена ООО «Глобус», которое в последствии отказалось от заключения муниципального контракта.</w:t>
            </w:r>
            <w:r>
              <w:br/>
              <w:t xml:space="preserve">По итогам повторных запросов в оценочные и риэлтерские компании объекты, соответствующие указанным в задании на оценку требованиям (местоположение, площадь и др.) не выявлены. </w:t>
            </w:r>
            <w:r>
              <w:br/>
              <w:t>Таким образом, до изменения требований к объекту, произвести расчет обоснования начальной (максимальной) цены контракта по изучению рынка недвижимости не представляется возможным.</w:t>
            </w:r>
          </w:p>
        </w:tc>
      </w:tr>
    </w:tbl>
    <w:p w:rsidR="007F6645" w:rsidRDefault="007F6645">
      <w:pPr>
        <w:spacing w:before="0" w:beforeAutospacing="0" w:after="0" w:afterAutospacing="0"/>
        <w:divId w:val="2057124957"/>
        <w:rPr>
          <w:rFonts w:eastAsia="Times New Roman"/>
        </w:rPr>
      </w:pPr>
    </w:p>
    <w:sectPr w:rsidR="007F6645" w:rsidSect="007D4D7B">
      <w:headerReference w:type="default" r:id="rId6"/>
      <w:pgSz w:w="16838" w:h="11906" w:orient="landscape"/>
      <w:pgMar w:top="1134" w:right="851" w:bottom="851" w:left="851" w:header="709" w:footer="709" w:gutter="0"/>
      <w:pgNumType w:start="69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4DF" w:rsidRDefault="006354DF" w:rsidP="00371AD8">
      <w:pPr>
        <w:spacing w:before="0" w:after="0"/>
      </w:pPr>
      <w:r>
        <w:separator/>
      </w:r>
    </w:p>
  </w:endnote>
  <w:endnote w:type="continuationSeparator" w:id="0">
    <w:p w:rsidR="006354DF" w:rsidRDefault="006354DF" w:rsidP="00371A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4DF" w:rsidRDefault="006354DF" w:rsidP="00371AD8">
      <w:pPr>
        <w:spacing w:before="0" w:after="0"/>
      </w:pPr>
      <w:r>
        <w:separator/>
      </w:r>
    </w:p>
  </w:footnote>
  <w:footnote w:type="continuationSeparator" w:id="0">
    <w:p w:rsidR="006354DF" w:rsidRDefault="006354DF" w:rsidP="00371AD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254"/>
      <w:docPartObj>
        <w:docPartGallery w:val="Page Numbers (Top of Page)"/>
        <w:docPartUnique/>
      </w:docPartObj>
    </w:sdtPr>
    <w:sdtEndPr/>
    <w:sdtContent>
      <w:p w:rsidR="00371AD8" w:rsidRDefault="00F86DD4">
        <w:pPr>
          <w:pStyle w:val="a4"/>
          <w:jc w:val="center"/>
        </w:pPr>
        <w:r>
          <w:fldChar w:fldCharType="begin"/>
        </w:r>
        <w:r>
          <w:instrText xml:space="preserve"> PAGE   \* MERGEFORMAT </w:instrText>
        </w:r>
        <w:r>
          <w:fldChar w:fldCharType="separate"/>
        </w:r>
        <w:r w:rsidR="00142795">
          <w:rPr>
            <w:noProof/>
          </w:rPr>
          <w:t>695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D8"/>
    <w:rsid w:val="00020280"/>
    <w:rsid w:val="001211FB"/>
    <w:rsid w:val="00142795"/>
    <w:rsid w:val="00371AD8"/>
    <w:rsid w:val="00572875"/>
    <w:rsid w:val="006354DF"/>
    <w:rsid w:val="007D4D7B"/>
    <w:rsid w:val="007F6645"/>
    <w:rsid w:val="008D10A8"/>
    <w:rsid w:val="00A62A17"/>
    <w:rsid w:val="00AE3029"/>
    <w:rsid w:val="00DE42DF"/>
    <w:rsid w:val="00F86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2E2426-0CF0-4190-9B32-9E5FE557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Pr>
      <w:b/>
      <w:bCs/>
    </w:rPr>
  </w:style>
  <w:style w:type="paragraph" w:customStyle="1" w:styleId="2">
    <w:name w:val="стиль2"/>
    <w:basedOn w:val="a"/>
    <w:rPr>
      <w:sz w:val="29"/>
      <w:szCs w:val="29"/>
    </w:rPr>
  </w:style>
  <w:style w:type="paragraph" w:customStyle="1" w:styleId="3">
    <w:name w:val="стиль3"/>
    <w:basedOn w:val="a"/>
  </w:style>
  <w:style w:type="paragraph" w:customStyle="1" w:styleId="4">
    <w:name w:val="стиль4"/>
    <w:basedOn w:val="a"/>
    <w:pPr>
      <w:jc w:val="both"/>
    </w:pPr>
  </w:style>
  <w:style w:type="paragraph" w:customStyle="1" w:styleId="5">
    <w:name w:val="стиль5"/>
    <w:basedOn w:val="a"/>
    <w:pPr>
      <w:jc w:val="center"/>
    </w:pPr>
    <w:rPr>
      <w:sz w:val="20"/>
      <w:szCs w:val="20"/>
    </w:rPr>
  </w:style>
  <w:style w:type="paragraph" w:customStyle="1" w:styleId="6">
    <w:name w:val="стиль6"/>
    <w:basedOn w:val="a"/>
    <w:pPr>
      <w:jc w:val="center"/>
    </w:pPr>
    <w:rPr>
      <w:sz w:val="28"/>
      <w:szCs w:val="28"/>
    </w:rPr>
  </w:style>
  <w:style w:type="paragraph" w:styleId="a3">
    <w:name w:val="Normal (Web)"/>
    <w:basedOn w:val="a"/>
    <w:uiPriority w:val="99"/>
    <w:semiHidden/>
    <w:unhideWhenUsed/>
  </w:style>
  <w:style w:type="paragraph" w:styleId="a4">
    <w:name w:val="header"/>
    <w:basedOn w:val="a"/>
    <w:link w:val="a5"/>
    <w:uiPriority w:val="99"/>
    <w:unhideWhenUsed/>
    <w:rsid w:val="00371AD8"/>
    <w:pPr>
      <w:tabs>
        <w:tab w:val="center" w:pos="4677"/>
        <w:tab w:val="right" w:pos="9355"/>
      </w:tabs>
      <w:spacing w:before="0" w:after="0"/>
    </w:pPr>
  </w:style>
  <w:style w:type="character" w:customStyle="1" w:styleId="a5">
    <w:name w:val="Верхний колонтитул Знак"/>
    <w:basedOn w:val="a0"/>
    <w:link w:val="a4"/>
    <w:uiPriority w:val="99"/>
    <w:rsid w:val="00371AD8"/>
    <w:rPr>
      <w:rFonts w:eastAsiaTheme="minorEastAsia"/>
      <w:sz w:val="24"/>
      <w:szCs w:val="24"/>
    </w:rPr>
  </w:style>
  <w:style w:type="paragraph" w:styleId="a6">
    <w:name w:val="footer"/>
    <w:basedOn w:val="a"/>
    <w:link w:val="a7"/>
    <w:uiPriority w:val="99"/>
    <w:semiHidden/>
    <w:unhideWhenUsed/>
    <w:rsid w:val="00371AD8"/>
    <w:pPr>
      <w:tabs>
        <w:tab w:val="center" w:pos="4677"/>
        <w:tab w:val="right" w:pos="9355"/>
      </w:tabs>
      <w:spacing w:before="0" w:after="0"/>
    </w:pPr>
  </w:style>
  <w:style w:type="character" w:customStyle="1" w:styleId="a7">
    <w:name w:val="Нижний колонтитул Знак"/>
    <w:basedOn w:val="a0"/>
    <w:link w:val="a6"/>
    <w:uiPriority w:val="99"/>
    <w:semiHidden/>
    <w:rsid w:val="00371AD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124957">
      <w:bodyDiv w:val="1"/>
      <w:marLeft w:val="272"/>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3666</Words>
  <Characters>20898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Отображение шаблона информации об исполнении рекомендаций в адрес главы и администрации</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Отображение шаблона информации об исполнении рекомендаций в адрес главы и администрации</dc:title>
  <dc:subject/>
  <dc:creator>User</dc:creator>
  <cp:keywords/>
  <dc:description/>
  <cp:lastModifiedBy>Потапова Мария Викторовна</cp:lastModifiedBy>
  <cp:revision>2</cp:revision>
  <dcterms:created xsi:type="dcterms:W3CDTF">2025-05-28T12:05:00Z</dcterms:created>
  <dcterms:modified xsi:type="dcterms:W3CDTF">2025-05-28T12:05:00Z</dcterms:modified>
</cp:coreProperties>
</file>