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B7E" w:rsidRPr="00A62A17" w:rsidRDefault="00E66B7E" w:rsidP="00E66B7E">
      <w:pPr>
        <w:spacing w:before="0" w:beforeAutospacing="0" w:after="0" w:afterAutospacing="0"/>
        <w:jc w:val="right"/>
        <w:divId w:val="693766578"/>
        <w:rPr>
          <w:rFonts w:eastAsia="Times New Roman"/>
          <w:bCs/>
        </w:rPr>
      </w:pPr>
      <w:bookmarkStart w:id="0" w:name="_GoBack"/>
      <w:bookmarkEnd w:id="0"/>
      <w:r w:rsidRPr="00A62A17">
        <w:rPr>
          <w:rFonts w:eastAsia="Times New Roman"/>
          <w:bCs/>
        </w:rPr>
        <w:t>Приложение 3</w:t>
      </w:r>
    </w:p>
    <w:p w:rsidR="00E66B7E" w:rsidRPr="00A62A17" w:rsidRDefault="00E66B7E" w:rsidP="00E66B7E">
      <w:pPr>
        <w:spacing w:before="0" w:beforeAutospacing="0" w:after="0" w:afterAutospacing="0"/>
        <w:jc w:val="right"/>
        <w:divId w:val="693766578"/>
        <w:rPr>
          <w:rFonts w:eastAsia="Times New Roman"/>
          <w:bCs/>
        </w:rPr>
      </w:pPr>
      <w:r w:rsidRPr="00A62A17">
        <w:rPr>
          <w:rFonts w:eastAsia="Times New Roman"/>
          <w:bCs/>
        </w:rPr>
        <w:t>к отчету главы городского округа Тольятти</w:t>
      </w:r>
    </w:p>
    <w:p w:rsidR="00E66B7E" w:rsidRPr="00A62A17" w:rsidRDefault="00E66B7E" w:rsidP="00E66B7E">
      <w:pPr>
        <w:spacing w:before="0" w:beforeAutospacing="0" w:after="0" w:afterAutospacing="0"/>
        <w:jc w:val="right"/>
        <w:divId w:val="693766578"/>
        <w:rPr>
          <w:rFonts w:eastAsia="Times New Roman"/>
          <w:bCs/>
        </w:rPr>
      </w:pPr>
      <w:r w:rsidRPr="00A62A17">
        <w:rPr>
          <w:rFonts w:eastAsia="Times New Roman"/>
          <w:bCs/>
        </w:rPr>
        <w:t>о результатах его деятельности</w:t>
      </w:r>
    </w:p>
    <w:p w:rsidR="00E66B7E" w:rsidRPr="00A62A17" w:rsidRDefault="00E66B7E" w:rsidP="00E66B7E">
      <w:pPr>
        <w:spacing w:before="0" w:beforeAutospacing="0" w:after="0" w:afterAutospacing="0"/>
        <w:jc w:val="right"/>
        <w:divId w:val="693766578"/>
        <w:rPr>
          <w:rFonts w:eastAsia="Times New Roman"/>
          <w:bCs/>
        </w:rPr>
      </w:pPr>
      <w:r w:rsidRPr="00A62A17">
        <w:rPr>
          <w:rFonts w:eastAsia="Times New Roman"/>
          <w:bCs/>
        </w:rPr>
        <w:t xml:space="preserve">и  деятельности администрации </w:t>
      </w:r>
    </w:p>
    <w:p w:rsidR="00E66B7E" w:rsidRPr="00A62A17" w:rsidRDefault="00E66B7E" w:rsidP="00E66B7E">
      <w:pPr>
        <w:spacing w:before="0" w:beforeAutospacing="0" w:after="0" w:afterAutospacing="0"/>
        <w:jc w:val="right"/>
        <w:divId w:val="693766578"/>
        <w:rPr>
          <w:rFonts w:eastAsia="Times New Roman"/>
        </w:rPr>
      </w:pPr>
      <w:r w:rsidRPr="00A62A17">
        <w:rPr>
          <w:rFonts w:eastAsia="Times New Roman"/>
          <w:bCs/>
        </w:rPr>
        <w:t>городского округа Тольятти за 202</w:t>
      </w:r>
      <w:r>
        <w:rPr>
          <w:rFonts w:eastAsia="Times New Roman"/>
          <w:bCs/>
        </w:rPr>
        <w:t>5</w:t>
      </w:r>
      <w:r w:rsidRPr="00A62A17">
        <w:rPr>
          <w:rFonts w:eastAsia="Times New Roman"/>
          <w:bCs/>
        </w:rPr>
        <w:t xml:space="preserve"> год</w:t>
      </w:r>
    </w:p>
    <w:tbl>
      <w:tblPr>
        <w:tblW w:w="452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"/>
        <w:gridCol w:w="897"/>
        <w:gridCol w:w="5390"/>
        <w:gridCol w:w="7107"/>
        <w:gridCol w:w="35"/>
      </w:tblGrid>
      <w:tr w:rsidR="00852034" w:rsidTr="00E66B7E">
        <w:trPr>
          <w:gridBefore w:val="1"/>
          <w:gridAfter w:val="1"/>
          <w:divId w:val="693766578"/>
          <w:wBefore w:w="17" w:type="pct"/>
          <w:wAfter w:w="13" w:type="p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6B7E" w:rsidRDefault="00E66B7E">
            <w:pPr>
              <w:pStyle w:val="6"/>
              <w:rPr>
                <w:b/>
                <w:bCs/>
              </w:rPr>
            </w:pPr>
          </w:p>
          <w:p w:rsidR="00852034" w:rsidRDefault="00072508">
            <w:pPr>
              <w:pStyle w:val="6"/>
            </w:pPr>
            <w:r>
              <w:rPr>
                <w:b/>
                <w:bCs/>
              </w:rPr>
              <w:t>Информация о результатах рассмотрения рекомендаций</w:t>
            </w:r>
            <w:r>
              <w:rPr>
                <w:b/>
                <w:bCs/>
              </w:rPr>
              <w:br/>
              <w:t>в адрес главы городского округа и администрации городского округа</w:t>
            </w:r>
            <w:r>
              <w:rPr>
                <w:b/>
                <w:bCs/>
              </w:rPr>
              <w:br/>
              <w:t>по итогам рассмотрения ежегодного отчета главы городского округа Тольятти</w:t>
            </w:r>
            <w:r>
              <w:rPr>
                <w:b/>
                <w:bCs/>
              </w:rPr>
              <w:br/>
              <w:t>о результатах его деятельности и деятельности администрации городского округа Тольятти за 2024 год</w:t>
            </w:r>
          </w:p>
        </w:tc>
      </w:tr>
      <w:tr w:rsidR="00E66B7E" w:rsidTr="00E66B7E">
        <w:trPr>
          <w:gridBefore w:val="1"/>
          <w:gridAfter w:val="1"/>
          <w:divId w:val="693766578"/>
          <w:wBefore w:w="17" w:type="pct"/>
          <w:wAfter w:w="13" w:type="pc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7E" w:rsidRDefault="00E66B7E">
            <w:pPr>
              <w:pStyle w:val="6"/>
              <w:rPr>
                <w:b/>
                <w:bCs/>
              </w:rPr>
            </w:pP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tblHeader/>
          <w:jc w:val="center"/>
        </w:trPr>
        <w:tc>
          <w:tcPr>
            <w:tcW w:w="3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2034" w:rsidRDefault="00072508">
            <w:pPr>
              <w:pStyle w:val="1"/>
              <w:jc w:val="center"/>
            </w:pPr>
            <w:r>
              <w:t xml:space="preserve">№ 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2034" w:rsidRDefault="00072508" w:rsidP="00E23770">
            <w:pPr>
              <w:pStyle w:val="1"/>
              <w:jc w:val="center"/>
            </w:pPr>
            <w:r>
              <w:t>Рекомендации</w:t>
            </w:r>
          </w:p>
        </w:tc>
        <w:tc>
          <w:tcPr>
            <w:tcW w:w="26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2034" w:rsidRDefault="00072508" w:rsidP="00E23770">
            <w:pPr>
              <w:pStyle w:val="1"/>
              <w:jc w:val="center"/>
            </w:pPr>
            <w:r>
              <w:t>Информация о результатах рассмотрения рекомендаций по итогам 2024 года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2034" w:rsidRDefault="00072508">
            <w:pPr>
              <w:pStyle w:val="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3"/>
            </w:pPr>
            <w:r>
              <w:rPr>
                <w:b/>
                <w:bCs/>
              </w:rPr>
              <w:t>Продолжить работу: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3"/>
            </w:pPr>
            <w:r>
              <w:t> 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1.1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привлечению средств из вышестоящих бюджетов на расчистку неликвидных лесных участков в целях предотвращения лесных пожаров и увеличения объемов работ (на площади не менее 100 га в год), прежде всего в местах примыкания лесного массива к жилым кварталам и вблизи пешеходных маршрутов внутри лесного массива, в том числе для обустройства буферной зоны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 xml:space="preserve">Направленная в министерство природных ресурсов и экологии </w:t>
            </w:r>
            <w:r w:rsidR="00927CEC" w:rsidRPr="00927CEC">
              <w:t xml:space="preserve">  </w:t>
            </w:r>
            <w:r>
              <w:t>Самарской области заявка на выделение в 2025 году субсидий городскому округу Тольятти в сумме 24 836 тыс.</w:t>
            </w:r>
            <w:r w:rsidR="00F41B2C">
              <w:t xml:space="preserve"> </w:t>
            </w:r>
            <w:r>
              <w:t>руб. (общая заявленная потребность составляла 27 906 тыс.</w:t>
            </w:r>
            <w:r w:rsidR="00F41B2C">
              <w:t xml:space="preserve"> </w:t>
            </w:r>
            <w:r>
              <w:t>руб.) оставлена без исполнения.</w:t>
            </w:r>
            <w:r>
              <w:br/>
              <w:t>В рамках деятельности МБУ «Зеленстро</w:t>
            </w:r>
            <w:r w:rsidR="00F41B2C">
              <w:t xml:space="preserve">й» за счет средств бюджета городского округа </w:t>
            </w:r>
            <w:r>
              <w:t>Тольятти на расчистку неликвидных лесных участков в целях предотвращения лесных пожаров в 2025 году направлены средства в размере 11 698 тыс.</w:t>
            </w:r>
            <w:r w:rsidR="00F41B2C">
              <w:t xml:space="preserve"> </w:t>
            </w:r>
            <w:r>
              <w:t>руб. В городском бюджете на расчистку неликвидных участков в 2026 году предусмотрено 15 312 тыс.</w:t>
            </w:r>
            <w:r w:rsidR="00F41B2C">
              <w:t xml:space="preserve"> </w:t>
            </w:r>
            <w:r>
              <w:t>руб., в 2027 году - 15 924 тыс.</w:t>
            </w:r>
            <w:r w:rsidR="00F41B2C">
              <w:t xml:space="preserve"> </w:t>
            </w:r>
            <w:r>
              <w:t xml:space="preserve">руб.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1.2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изменению механизма и размеров (увеличение) финансирования территориального общественного самоуправления в целях повышения эффективности деятельности по решению вопросов местного значения и осуществления взаимодействия с органами местного </w:t>
            </w:r>
            <w:r>
              <w:lastRenderedPageBreak/>
              <w:t xml:space="preserve">самоуправления городского округа Тольятти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lastRenderedPageBreak/>
              <w:t xml:space="preserve">Поддержка территориального общественного самоуправления (далее – ТОС) городского округа Тольятти осуществляется в рамках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 – 2027 годы», утвержденной </w:t>
            </w:r>
            <w:r>
              <w:lastRenderedPageBreak/>
              <w:t>постановлением администрации городского округа Тольятти от 23.09.2020 № 2850-п/1.</w:t>
            </w:r>
            <w:r>
              <w:br/>
              <w:t>В 2025 году общий размер средств бюджета, направленных на оказание финансовой поддержки ТОС составил 14 843,7 тыс. руб., в том</w:t>
            </w:r>
            <w:r w:rsidR="00DF6EF8">
              <w:t xml:space="preserve"> </w:t>
            </w:r>
            <w:r>
              <w:t>числе:</w:t>
            </w:r>
            <w:r>
              <w:br/>
              <w:t>– на предоставление субсидии ТОС, осуществляющим деятельность в качестве юридического лица – 5 085,0 тыс. руб. Субсидия предоставлена 25 ТОС. На средства субсидии ТОС реализуют проекты благоустройства, социальных инициатив, организовывают и проводят мероприятия по месту жительства;</w:t>
            </w:r>
            <w:r>
              <w:br/>
              <w:t>– на оказание содействие в реализации инициатив населения, проживающего на территории городского округа Тольятти (через МКУ «Центр поддержки общественных инициатив») – 2 525,0 тыс. руб. Для 27 ТОС, осуществляющим деятельность без статуса юридического лица организовано 96 мероприятий;</w:t>
            </w:r>
            <w:r>
              <w:br/>
              <w:t>– на организацию и проведение Форума «Тольятти: Территория Особого Статуса», посвященному 30-летию ТОС городского округа Тольятти – 381,</w:t>
            </w:r>
            <w:r w:rsidR="00F41B2C">
              <w:t xml:space="preserve"> </w:t>
            </w:r>
            <w:r>
              <w:t>2 тыс. руб.;</w:t>
            </w:r>
            <w:r>
              <w:br/>
              <w:t>– на выплату вознаграждений 9 победителям ежегодного городского конкурса «Лучшие практики ТОС» и приобретение МФУ для использования в помещениях ТОС, победивших в конкурсе – 837,</w:t>
            </w:r>
            <w:r w:rsidR="00F41B2C">
              <w:t xml:space="preserve"> </w:t>
            </w:r>
            <w:r>
              <w:t>0 тыс. руб.;</w:t>
            </w:r>
            <w:r>
              <w:br/>
              <w:t>– на текущий ремонт 10 помещений, переданных ТОС в безвозмездное пользование – 2 164,</w:t>
            </w:r>
            <w:r w:rsidR="00F41B2C">
              <w:t xml:space="preserve"> </w:t>
            </w:r>
            <w:r>
              <w:t>0 тыс. руб.;</w:t>
            </w:r>
            <w:r>
              <w:br/>
              <w:t>– на оплату коммунальных услуг, обслуживания помещений, услуг связи – 3 851,</w:t>
            </w:r>
            <w:r w:rsidR="00F41B2C">
              <w:t xml:space="preserve"> </w:t>
            </w:r>
            <w:r>
              <w:t>5 тыс. руб.</w:t>
            </w:r>
            <w:r>
              <w:br/>
              <w:t>В 2025 году, в сравнении с 2024 годом, по указанным выше направлениям израсходовано средств бюджета городского округа Тольятти на 2 977,</w:t>
            </w:r>
            <w:r w:rsidR="00F41B2C">
              <w:t xml:space="preserve"> </w:t>
            </w:r>
            <w:r>
              <w:t>0 тыс. руб. больше.</w:t>
            </w:r>
            <w:r>
              <w:br/>
              <w:t xml:space="preserve">В том числе, в первоначально утвержденном бюджете городского округа на период 2025-2027 годов на предоставление субсидий ТОС юридическим лицами и на оказание содействие в реализации инициатив населения, проживающего на территории городского округа Тольятти (через МКУ «Центр поддержки общественных </w:t>
            </w:r>
            <w:r>
              <w:lastRenderedPageBreak/>
              <w:t>инициатив») предусматривались расходы в сумме 5 410,</w:t>
            </w:r>
            <w:r w:rsidR="00F41B2C">
              <w:t xml:space="preserve"> </w:t>
            </w:r>
            <w:r>
              <w:t>0 тыс. руб. (ежегодно).</w:t>
            </w:r>
            <w:r>
              <w:br/>
              <w:t>Дополнительно, на данные направления в 2025 году было выделено 1 295,</w:t>
            </w:r>
            <w:r w:rsidR="00F41B2C">
              <w:t xml:space="preserve"> </w:t>
            </w:r>
            <w:r>
              <w:t>0 тыс. руб.</w:t>
            </w:r>
            <w:r>
              <w:br/>
              <w:t xml:space="preserve">Это позволило увеличить размер финансового обеспечения затрат по направлению расходов субсидии ТОС юридических лиц «текущие расходы, связанные с деятельностью юридического лица» в 2 раза – с 25 тыс. руб. до 50 тыс. руб. Для ТОС не юридических лиц МКУ «Центр поддержки общественных инициатив» организовано на 31 мероприятие больше.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реализации мероприятий по оптимизации органов исполнительной власти, повышению эффективности управления и производительности труда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spacing w:after="0" w:afterAutospacing="0"/>
              <w:jc w:val="left"/>
            </w:pPr>
            <w:r>
              <w:t>В соответствии с планом текущей деятельности Думы городского округа Тольятти, а также рассмотрев рекомендации Думы городского округа Тольятти о продолжении работы по реализации в 2025 году мероприятий по оптимизации органов исполнительной власти, повышению эффективности управления и производительности труда, изложенные в подпункте 3 пункта 1 Приложения № 2 к решению Думы городского округа</w:t>
            </w:r>
            <w:r w:rsidR="00F41B2C">
              <w:t xml:space="preserve"> Тольятти от 04.06.2025 № 568 «</w:t>
            </w:r>
            <w:r>
              <w:t>О ежегодном отчете главы городского округа Тольятти о результатах его деятельности и деятельности администрации городского округа Тольятти за 2024 год», сообщаю следующее.</w:t>
            </w:r>
            <w:r>
              <w:br/>
              <w:t>Во исполнение рекомендаций Губернатора Самарской области Федорищева В.А. об оптимизации численности сотрудников органов власти всех уровней, а также цифровизации процессов управления, в администрации городского округа Тольятти по результатам 1 этапа организационно-штатных мероприятий, проведенного в декабре 2024 года в администрации городского округа Тольятти было сокращено 13 штатных единиц (вакансии).</w:t>
            </w:r>
            <w:r>
              <w:br/>
              <w:t xml:space="preserve">Кроме того, в связи с перераспределением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в соответствии с Законом Самарской </w:t>
            </w:r>
            <w:r w:rsidR="00F41B2C">
              <w:t>области от 26.11.2024 № 105-ГД «</w:t>
            </w:r>
            <w:r>
              <w:t>О внесении изменений в статью 3 Зако</w:t>
            </w:r>
            <w:r w:rsidR="00F41B2C">
              <w:t>на Самарской области «</w:t>
            </w:r>
            <w:r>
              <w:t xml:space="preserve">О </w:t>
            </w:r>
            <w:r>
              <w:lastRenderedPageBreak/>
              <w:t xml:space="preserve">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</w:t>
            </w:r>
            <w:r w:rsidR="00F41B2C">
              <w:t>на территории Самарской области»</w:t>
            </w:r>
            <w:r>
              <w:t xml:space="preserve"> в рамках 2 этапа организационно-штатных мероприятий в 2025 году была оптимизирована численность управления архитектуры и градостроительства департамента градостроительной деятельности (должность руководителя указанного управления объединена с должностью начальника отдела комплексного развития территории, также сокращена ставка специалиста этого отдела).</w:t>
            </w:r>
            <w:r>
              <w:br/>
              <w:t>Перераспределение функций также коснулось департамента городского хозяйства администрации городского округа Тольятти. Так из управления муниципального контроля в управление благоустройства было передано 2 единицы специалистов.</w:t>
            </w:r>
            <w:r>
              <w:br/>
              <w:t>Следует также отметить, что в связи с изменением методики расчета штатной численности органов опеки и попечительства на территории городского округа Тольятти в 2025 году, Министерством одобрено введение дополнительных штатных единиц в Департамент социального обеспечения администрации городского округа Тольятти. Однако, с целью исполнения рекомендаций по оптимизации штатной численности, дополнительные штатные единицы не вводились.</w:t>
            </w:r>
            <w:r>
              <w:br/>
              <w:t>За период с 2023 года по 2025 год в деятельности администрации городского округа Тольятти наблюдается постоянное увеличение объемов работы, а именно:</w:t>
            </w:r>
            <w:r>
              <w:br/>
              <w:t>- Проведение работы в рамках Федерального</w:t>
            </w:r>
            <w:r w:rsidR="00F41B2C">
              <w:t xml:space="preserve"> закона от 30.12.2020 № 518-ФЗ «</w:t>
            </w:r>
            <w:r>
              <w:t>О внесении изменений в отдельные законодательные акты Российской Феде</w:t>
            </w:r>
            <w:r w:rsidR="00F41B2C">
              <w:t>рации»</w:t>
            </w:r>
            <w:r>
              <w:t>, а именно: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      </w:r>
            <w:r>
              <w:br/>
              <w:t xml:space="preserve">- Предоставление муниципальных услуг в электронном виде посредство системы ЕГИССО (поэтапное введение информации об </w:t>
            </w:r>
            <w:r>
              <w:lastRenderedPageBreak/>
              <w:t>этапах предоставляемой услуги);</w:t>
            </w:r>
            <w:r>
              <w:br/>
              <w:t>- Наделение полномочиями ОМС по составлению протоколов об административных правонарушениях в рамках исполнения Закона Самарской области от 01.11.2007 № 115-ГД «Об административных правонарушениях на территории Самарской области» (ОМС наделены дополнительными полномочиями по составлению протоколов по статьям 2.1, 2.11, 2.1.6, 8.9 настоящего закона);</w:t>
            </w:r>
            <w:r>
              <w:br/>
              <w:t>- Реализация государственной политики по поддержке участников СВО и членов их семей;</w:t>
            </w:r>
            <w:r>
              <w:br/>
              <w:t>- Осуществление полномочий по предоставлению дополнительных видов социальной поддержки (льготное питание детей участников СВО, иных категорий);</w:t>
            </w:r>
            <w:r>
              <w:br/>
              <w:t>- Реализация политики по повышению туристической привлекательности городского округа (развитие промышленного туризма);</w:t>
            </w:r>
            <w:r>
              <w:br/>
              <w:t>- Увеличение объемов работ в связи с реализацией мероприятий программы по повышению уровня комфортной городской среды;</w:t>
            </w:r>
            <w:r>
              <w:br/>
              <w:t>- Организация и проведение комплексных кадастровых работ, внесение данных в ФИАС.</w:t>
            </w:r>
            <w:r>
              <w:br/>
              <w:t>Кроме того, в указанный период наблюдается тенденция к увеличению количества обращений граждан. Так, в 2023 году зарегистрировано в общественной приемной администрации городского округа Тольятти 8 679 обращений граждан, в 2024 году – 9 976 обращений, в истекшем периоде 2025 года – 4 286 обращений.</w:t>
            </w:r>
            <w:r>
              <w:br/>
              <w:t>Аналогичное увеличение прослеживается в части поступления обращений юридических лиц, органов государственной власти, правоохранительных и следственных органов, регистрируемых в канцелярии администрации городского округа Тольятти: в 2023 году – 14 115 писем, в 2024 году - 15 362 писем, в истекшем периоде 2025 года – 7 698 писем.</w:t>
            </w:r>
            <w:r>
              <w:br/>
              <w:t xml:space="preserve">Следует отметить, что наблюдается рост обращений, поступающих непосредственно в органы (структурные подразделения), регистрация которых осуществляется в бюро документооборота </w:t>
            </w:r>
            <w:r>
              <w:lastRenderedPageBreak/>
              <w:t>самих органов.</w:t>
            </w:r>
            <w:r>
              <w:br/>
              <w:t>Увеличение количества обращений граждан и юридических лиц, безусловно, свидетельствует об увеличении объема работы у сотрудников администрации в рамках рассмотрения и принятия решений по данным обращениям.</w:t>
            </w:r>
            <w:r>
              <w:br/>
              <w:t>Наблюдается ежегодный рост поступивших сообщений в системе «Инцидент-менеджмент»: 2023 год – 27 565 сообщений, 2024 год – 53 304 сообщений, истекший период 2025 года – 22 305 сообщений. Увеличивается количество подписчиков госпабликов: 2023 год – 5 897 подписчиков, 2024 год - 6 871, 2025 год – 7 135.</w:t>
            </w:r>
            <w:r>
              <w:br/>
              <w:t>С целью оптимизации процессов реагирования на обращения граждан, поступающих посредством ПОС, через электронную почту администрации, а также общественную приемную, в администрации городского округа Тольятти создан Муниципальный центра управления, объединивший сотрудников общественной приемной и муниципального центра управления (отдела). При оптимизации была высвобождена одна единица специалиста.</w:t>
            </w:r>
            <w:r>
              <w:br/>
              <w:t>Также напоминаю, что в целях повышения эффективности деятельности администрации городского округа Тольятти также проведены мероприятия по изменению структуры администрации, в результате которых решением Думы городского округа Тольятти от 09.04.2025 № 514 была утверждена новая структура администрации городского округа Тольятти.</w:t>
            </w:r>
            <w:r>
              <w:br/>
              <w:t>При этом, изменение административно-функционального подчинения отдельных органов администрации между главой городского округа и его заместителями, создание новых органов администрации (Управление по работе с участниками СВО и членами их семей) было осуществлено за счет перераспределения трудовых ресурсов администрации.</w:t>
            </w:r>
            <w:r>
              <w:br/>
              <w:t xml:space="preserve">Следует отметить, что оптимизация штатной численности не всегда означает сокращение персонала. Оптимизация штатной численности подразумевает анализ текущей структуры организации, распределение функций между сотрудниками и </w:t>
            </w:r>
            <w:r>
              <w:lastRenderedPageBreak/>
              <w:t>определение оптимального количества работников для выполнения поставленных задач.</w:t>
            </w:r>
            <w:r>
              <w:br/>
              <w:t>В рамках оптимизации в администрации городского округа Тольятти проведен анализ структуры организации. Дублирующие функции, избыточное количество сотрудников в отдельных подразделениях не выявлены.</w:t>
            </w:r>
            <w:r>
              <w:br/>
              <w:t xml:space="preserve">В связи с изложенным, дальнейшее проведение мероприятий по оптимизации штатной численности в администрации городского </w:t>
            </w:r>
            <w:r w:rsidR="0070273A">
              <w:t>округа Тольятти не планируется.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1.4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повышению туристической привлекательности городского округа и качества, количества проводимых мероприятий, по обустройству туристского центра города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>С целью повышения туристической привлекательности городского округа Тольятти в 2025 году продолжена работа по оказанию содействия и поддержке в организации и проведении мероприятий туристической направленности.</w:t>
            </w:r>
            <w:r>
              <w:br/>
              <w:t xml:space="preserve">В течение 2025 года оказана информационная поддержка 19 мероприятиям, вошедшим в «Календарь событий Тольятти 2025». </w:t>
            </w:r>
            <w:r w:rsidR="00927CEC" w:rsidRPr="00927CEC">
              <w:t xml:space="preserve"> </w:t>
            </w:r>
            <w:r>
              <w:t xml:space="preserve">6 крупных событийных (туристических) мероприятий – Международный фестиваль «Барабаны мира», Зимний фестиваль активного отдыха «ВьюгаФест», Ретрофестиваль «ЖИГУЛИ», Театральный фестиваль «Премьера одной репетиции», Фестиваль музыки и искусств «Тремоло» были включены во Всероссийский сборник туристических событий «Россия событийная – 2025», а также представлены на платформе медиапроекта «Отдых в России». </w:t>
            </w:r>
            <w:r>
              <w:br/>
              <w:t>В 2025 году при участии управления туризма администрации городского округа Тольтти организовано и проведено 2 событийных мероприятия – Гастрономический фестиваль «Рыба Моя» и Ретрофестиваль «ЖИГУЛИ».</w:t>
            </w:r>
            <w:r>
              <w:br/>
              <w:t>Общая сумма бюджетных ассигнований составила 15 694,02 тыс. руб., в том числе за счет местного бюджета – 4 918,26 тыс. руб., федерального бюджета – 6 600,41 тыс. руб., областного бюджета – 900,06 тыс. руб., внебюджетные средства - 3 275,29 тыс. руб.</w:t>
            </w:r>
            <w:r>
              <w:br/>
              <w:t xml:space="preserve">В рамках мероприятий по подготовке и проведению Международного спортивного форума «Россия - спортивная держава» осуществлялась координация работ и мероприятий по </w:t>
            </w:r>
            <w:r>
              <w:lastRenderedPageBreak/>
              <w:t>формированию и благоустройству прилегающих территорий по траекториям гостевых маршрутов к основным площадкам проведения мероприятий на территории городского округа Тольятти и по траекториям пешеходных и автобусных туристических маршрутов. С целью оперативного межведомственного взаимодействия был создан специальный раздел «Гостевые маршруты» на платформе ЕМГИС, на котором были нанесены 4 траектории гостевых и туристических маршрутов и отмечены объекты для работы по благоустройству и устранению замечаний. В частности, осуществлялась координация следующих мероприятий:</w:t>
            </w:r>
            <w:r>
              <w:br/>
              <w:t>- работы по восстановлению арт-объекта, посвященного первому автомобилю ВАЗ-2101 в Сквере 50-летия в честь АВТОВАЗа;</w:t>
            </w:r>
            <w:r>
              <w:br/>
              <w:t>- работы по обновлению информационных баннеров на площадке у стелы-панно «Радость труда»;</w:t>
            </w:r>
            <w:r>
              <w:br/>
              <w:t>- работы по благоустройству подпорной стены на Лесопарковом шоссе. Общие затраты бюджетных средств на реализацию мероприятия составили 84,</w:t>
            </w:r>
            <w:r w:rsidR="0070273A">
              <w:t xml:space="preserve"> </w:t>
            </w:r>
            <w:r>
              <w:t>24 тыс.</w:t>
            </w:r>
            <w:r w:rsidR="0070273A">
              <w:t xml:space="preserve"> </w:t>
            </w:r>
            <w:r>
              <w:t>руб.;</w:t>
            </w:r>
            <w:r>
              <w:br/>
              <w:t>- работы по благоустройству и вертикальному озеленению у обзорной площадки рядом с Памятником В.Н.Татищеву;</w:t>
            </w:r>
            <w:r>
              <w:br/>
              <w:t>- установка 8 знаков дорожной туристической навигации к основным объектам показа на территории городского округа Тольятти (по заказу ГБУ СО «ТИЦ Самарской области).</w:t>
            </w:r>
            <w:r>
              <w:br/>
              <w:t>В течение 2025 года продолжалась координация работ развитию территории туристского центра города Тольятти. Постановлением администрации городского округа Тольятти от 25.12.2025 года №2798-п/1 «О внесении изменений в постановление администрации городского округа Тольятти от 10.10.2023 №2863-п/1 «Об определении границ территории туристского центра города Тольятти» уточнены границы территории туристского центра города, общая площадь которой составила 337,7 га.</w:t>
            </w:r>
            <w:r>
              <w:br/>
              <w:t xml:space="preserve">В рамках муниципального контракта в 2025 году была запущена работа по подготовке мероприятий концепции территориально-пространственного развития общественной территории туристского </w:t>
            </w:r>
            <w:r>
              <w:lastRenderedPageBreak/>
              <w:t xml:space="preserve">центра города для реализации в 2026 году.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52034" w:rsidRDefault="00072508">
            <w:pPr>
              <w:pStyle w:val="3"/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3"/>
            </w:pPr>
            <w:r>
              <w:rPr>
                <w:b/>
                <w:bCs/>
              </w:rPr>
              <w:t>Принять меры: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3"/>
            </w:pPr>
            <w:r>
              <w:t> 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2.1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повышению эффективности выполнения мероприятий по антитеррористической защищенности и по обеспечению пожарной безопасности муниципальных учреждений, находящихся в ведомственном подчинении департамента образования, департамента культуры и управления физической культуры и спорта администрации городского округа Тольятти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spacing w:after="0" w:afterAutospacing="0"/>
              <w:jc w:val="left"/>
            </w:pPr>
            <w:r>
              <w:t>10.04.2025 года на заседании анти</w:t>
            </w:r>
            <w:r w:rsidR="00006F9D">
              <w:t xml:space="preserve">террористической комиссии </w:t>
            </w:r>
            <w:r w:rsidR="00006F9D">
              <w:br/>
              <w:t xml:space="preserve">городского округа </w:t>
            </w:r>
            <w:r>
              <w:t>Тольятти рассмотрен вопрос «Об исполнении постановления Правительства Российской Федерации от 14.05.2021 № 732 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(территорий)». Приняты меры по повышению эффективности выполнения мероприятий по антитеррористической защищенности объектов отдыха детей.</w:t>
            </w:r>
            <w:r>
              <w:br/>
              <w:t>28.08.2025 года на заседании антитеррористической комиссии г</w:t>
            </w:r>
            <w:r w:rsidR="0070273A">
              <w:t xml:space="preserve">ородского округа </w:t>
            </w:r>
            <w:r>
              <w:t>Тольятти рассмотрен вопрос «О состоянии антитеррористической защищенности образовательных учреждений в рамках подготовки к новому учебному году</w:t>
            </w:r>
            <w:r w:rsidR="00006F9D">
              <w:t>»</w:t>
            </w:r>
            <w:r>
              <w:t>. Приняты меры по повышению эффективности выполнения мероприятий по антитеррористической защищенности муниципальных объектов просвещения, культуры и спорта.</w:t>
            </w:r>
            <w:r>
              <w:br/>
              <w:t>В 2025 году в связи с актуализацией паспорта безопасности организовано проведение повторного категорирования объектов культуры и просвещени</w:t>
            </w:r>
            <w:r w:rsidR="004D4B4F">
              <w:t>я, расположенных на территории городского округа Тольятти.</w:t>
            </w:r>
            <w:r>
              <w:t xml:space="preserve"> </w:t>
            </w:r>
            <w:r>
              <w:br/>
              <w:t>С целью повышения эффективности выполнения мероприятий по обеспечению пожарной безопасности муниципальных объектов постановлением администрации городского округа Тольятти от 22.05.2025 №929-п/1 создана рабочая группа по оказанию содействия муниципальным учреждениям социальной направленности городского округа Тольятти в обеспечении соблюдения требований пожарной безопасности и консультированию их руководителей. В 2025 году проведено 2 заседания рабочей группы по возникшим проблемным вопросам применения требований пожарной безопасности. Учреждения приняли в работу принятые на заседании решения.</w:t>
            </w:r>
            <w:r>
              <w:br/>
            </w:r>
            <w:r>
              <w:lastRenderedPageBreak/>
              <w:t>По подведомственности департамента образования:</w:t>
            </w:r>
            <w:r>
              <w:br/>
              <w:t>В части антитеррористической защищенности.</w:t>
            </w:r>
            <w:r>
              <w:br/>
              <w:t>В 2025 году за счет средств бюджета городского округа Тольятти выполнены мероприятия в сфере антитеррористической защищенности на муниципальных объектах образования в 60 учреждениях, находящихся в ведомственном подчинении департамента образования на общую сумму 85,</w:t>
            </w:r>
            <w:r w:rsidR="004D4B4F">
              <w:t xml:space="preserve"> </w:t>
            </w:r>
            <w:r>
              <w:t>932 тыс. руб.</w:t>
            </w:r>
            <w:r>
              <w:br/>
              <w:t>На 2026 год бюджетом городского округа Тольятти предусмотрены средства в размере 50,</w:t>
            </w:r>
            <w:r w:rsidR="004D4B4F">
              <w:t xml:space="preserve"> </w:t>
            </w:r>
            <w:r>
              <w:t>559 тыс. руб. на мероприятия в сфере антитеррористической защищенности на муниципальных объектах образования в 17 учреждениях.</w:t>
            </w:r>
            <w:r>
              <w:br/>
              <w:t xml:space="preserve">В целях обеспечения требований пожарной безопасности в части работоспособности систем противопожарной безопасности (систем АПС и СОУЭ) в 2025 году в учреждениях, находящихся в ведомственном подчинении департамента образования администрации городского округа Тольятти проведены мероприятия по замене АПС и СОУЭ на сумму 90 784,5 тыс. руб. </w:t>
            </w:r>
            <w:r w:rsidR="00927CEC" w:rsidRPr="00927CEC">
              <w:t xml:space="preserve"> </w:t>
            </w:r>
            <w:r>
              <w:t xml:space="preserve">(в 15 образовательных учреждениях), в 2026 году на указанные мероприятия выделены средства в размере 121 853 тыс. руб </w:t>
            </w:r>
            <w:r w:rsidR="00927CEC" w:rsidRPr="00927CEC">
              <w:t xml:space="preserve">           </w:t>
            </w:r>
            <w:r>
              <w:t>(в 20 образовательных учреждениях).</w:t>
            </w:r>
            <w:r>
              <w:br/>
              <w:t>В 2026 году в рамках областной программы бюджету городского округа Тольятти выделена областная субсидия в объеме 8 100 тыс.</w:t>
            </w:r>
            <w:r w:rsidR="004D4B4F">
              <w:t xml:space="preserve"> </w:t>
            </w:r>
            <w:r>
              <w:t>руб. на замену систем прот</w:t>
            </w:r>
            <w:r w:rsidR="004D4B4F">
              <w:t>ивопожарной безопасности в МБУ «Школа №91»</w:t>
            </w:r>
            <w:r>
              <w:t xml:space="preserve"> (по адресу: ул. Льва Толстого, 26А), в 2027 году выделена областная субсидия в объеме 4 085 тыс.</w:t>
            </w:r>
            <w:r w:rsidR="001476BC">
              <w:t xml:space="preserve"> </w:t>
            </w:r>
            <w:r>
              <w:t>руб. на замену систем противопожарной безопа</w:t>
            </w:r>
            <w:r w:rsidR="004D4B4F">
              <w:t>сности в МБУ детский сад № 128 «Гвоздичка»</w:t>
            </w:r>
            <w:r>
              <w:t xml:space="preserve"> (по адресу: пр-т Ст. Разина, 37), в 2028 году выделена областная субсидия в объеме 8 270 тыс.</w:t>
            </w:r>
            <w:r w:rsidR="001476BC">
              <w:t xml:space="preserve"> </w:t>
            </w:r>
            <w:r>
              <w:t>руб. на замену систем прот</w:t>
            </w:r>
            <w:r w:rsidR="004D4B4F">
              <w:t>ивопожарной безопасности в МБУ «</w:t>
            </w:r>
            <w:r>
              <w:t>Лицей №6</w:t>
            </w:r>
            <w:r w:rsidR="004D4B4F">
              <w:t xml:space="preserve">7» </w:t>
            </w:r>
            <w:r>
              <w:t>(по адресу: пр-т Ст. Разина, 73) .</w:t>
            </w:r>
            <w:r>
              <w:br/>
              <w:t>Выполнение мероприятий по доведению муниципальных образовательных учреждений до требуемого уровня пожарной безопасности осуществляется в рамках планирования и осуществления текущей деятельности этих учреждений.</w:t>
            </w:r>
            <w:r>
              <w:br/>
            </w:r>
            <w:r>
              <w:lastRenderedPageBreak/>
              <w:t>По подведомственности департамента культуры:</w:t>
            </w:r>
            <w:r>
              <w:br/>
              <w:t>В части антитеррористической защищенности.</w:t>
            </w:r>
            <w:r>
              <w:br/>
              <w:t>В 2025 году за счет средств бюджета городского округа Тольятти выполнены мероприятия в сфере антитеррористической защищенности на муниципальных объектах культуры в 17 учреждениях, находящихся в ведомственном подчинении департамента культуры на общую сумму 18,</w:t>
            </w:r>
            <w:r w:rsidR="004D4B4F">
              <w:t xml:space="preserve"> </w:t>
            </w:r>
            <w:r>
              <w:t>427 тыс. руб.</w:t>
            </w:r>
            <w:r>
              <w:br/>
              <w:t>На 2026 год бюджетом городского округа Тольятти предусмотрены средства в размере 3,</w:t>
            </w:r>
            <w:r w:rsidR="004D4B4F">
              <w:t xml:space="preserve"> </w:t>
            </w:r>
            <w:r>
              <w:t>299 тыс. руб. на мероприятия в сфере антитеррористической защищенности на муниципальных объектах культуры в 6 учреждениях.</w:t>
            </w:r>
            <w:r>
              <w:br/>
              <w:t>В части пожарной безопасности.</w:t>
            </w:r>
            <w:r>
              <w:br/>
              <w:t>В 2025 году за счет средств бюджета городского округа Тольятти выполнены мероприятия в сфере пожарной безопасности на муниципальных объектах культуры в 14 учреждениях, находящихся в ведомственном подчинении департамента культуры на общую сумму 19,</w:t>
            </w:r>
            <w:r w:rsidR="004D4B4F">
              <w:t xml:space="preserve"> </w:t>
            </w:r>
            <w:r>
              <w:t xml:space="preserve">690 тыс. руб. На 2026 год бюджетом городского округа Тольятти предусмотрены средства в размере </w:t>
            </w:r>
            <w:r w:rsidR="00927CEC" w:rsidRPr="00927CEC">
              <w:t xml:space="preserve">   </w:t>
            </w:r>
            <w:r>
              <w:t>12,</w:t>
            </w:r>
            <w:r w:rsidR="004D4B4F">
              <w:t xml:space="preserve"> </w:t>
            </w:r>
            <w:r>
              <w:t>643 тыс. руб. на мероприятия в сфере пожарной безопасности на муниципальных объектах культуры в 6 учреждениях.</w:t>
            </w:r>
            <w:r>
              <w:br/>
              <w:t>По по</w:t>
            </w:r>
            <w:r w:rsidR="004D4B4F">
              <w:t xml:space="preserve">дведомственности управления физической </w:t>
            </w:r>
            <w:r>
              <w:t>культуры и спорта:</w:t>
            </w:r>
            <w:r>
              <w:br/>
              <w:t>В части антитеррористической защищенности.</w:t>
            </w:r>
            <w:r>
              <w:br/>
              <w:t xml:space="preserve">В 2025 году за счет средств бюджета городского округа Тольятти выполнены мероприятия в сфере антитеррористической защищенности на муниципальных объектах спорта в 9 учреждениях, находящихся в ведомственном подчинении Департамента физической культуры и спорта на общую сумму </w:t>
            </w:r>
            <w:r w:rsidR="00927CEC" w:rsidRPr="00927CEC">
              <w:t xml:space="preserve">     </w:t>
            </w:r>
            <w:r>
              <w:t>10 999,1 тыс. руб.</w:t>
            </w:r>
            <w:r>
              <w:br/>
              <w:t>На 2026 год бюджетом городского округа Тольятти предусмотрены средства в размере 17 047,0 тыс. руб. на мероприятия в сфере антитеррористической защищенности на муниципальных объектах спорта в 5 учреждениях.</w:t>
            </w:r>
            <w:r>
              <w:br/>
              <w:t>В части пожарной безопасности.</w:t>
            </w:r>
            <w:r>
              <w:br/>
            </w:r>
            <w:r>
              <w:lastRenderedPageBreak/>
              <w:t>В 2025 году за счет средств бюджета городского округа Тольятти выполнены мероприятия в сфере пожарной безопасности на муниципальных объектах спорта в 11 учреждениях, находящихся в ведомственном подчинении Департамента физической культуры и спорта на общую сумму 14 294,6 тыс. руб.</w:t>
            </w:r>
            <w:r>
              <w:br/>
              <w:t>На 2026 год бюджетом городского округа Тольятти предусмотрены средства в размере 7 919,0 тыс. руб. на мероприятия в сфере пожарной безопасности на муниципальных объектах спорта в 3 учреждениях.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сокращению интервала движения по муниципальным маршрутам регулярных перевозок, осуществляемых по регулируемым тарифам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>В настоящее время объем выполненных работ пассажирских предприятий (организации) осуществляющих перевозки по регулируемым тарифам составляет:</w:t>
            </w:r>
            <w:r>
              <w:br/>
              <w:t>- для автобусов: 97,79%; в направлении АО «АВТОВАЗ» - 98,97%;</w:t>
            </w:r>
            <w:r>
              <w:br/>
              <w:t>- для троллейбусов: 96,4%.</w:t>
            </w:r>
            <w:r>
              <w:br/>
              <w:t>Вместе с тем, с 1 января 2025 года по основным маршрутам городского округа Тольятти (№№ 2, 13, 40, 73) увеличено количество рейсов для сокращения интервала движения. 1 марта 2025 года планируется увеличение работ по автобусным маршрутам №№ 41, 65. Также с 1 января 2025 года был запущен новый муниципальный автобусный маршрут № 65 «ОП Западный пляж - ОП Треугольник - ОП Западный пляж», для обеспечения транспортной доступности 3Б, 8, 11,</w:t>
            </w:r>
            <w:r w:rsidR="00C7451B">
              <w:t xml:space="preserve"> </w:t>
            </w:r>
            <w:r>
              <w:t>11А,</w:t>
            </w:r>
            <w:r w:rsidR="00C7451B">
              <w:t xml:space="preserve"> </w:t>
            </w:r>
            <w:r>
              <w:t>13,</w:t>
            </w:r>
            <w:r w:rsidR="00C7451B">
              <w:t xml:space="preserve"> </w:t>
            </w:r>
            <w:r>
              <w:t>14,</w:t>
            </w:r>
            <w:r w:rsidR="00C7451B">
              <w:t xml:space="preserve"> </w:t>
            </w:r>
            <w:r>
              <w:t>17,</w:t>
            </w:r>
            <w:r w:rsidR="00C7451B">
              <w:t xml:space="preserve"> </w:t>
            </w:r>
            <w:r>
              <w:t>20,</w:t>
            </w:r>
            <w:r w:rsidR="00C7451B">
              <w:t xml:space="preserve"> </w:t>
            </w:r>
            <w:r>
              <w:t xml:space="preserve">21 кварталов. В связи с улучшением транспортной доступности 19 квартала в сентябре 2025 года была изменена схема движения автобусного маршрута № 65. </w:t>
            </w:r>
            <w:r>
              <w:br/>
              <w:t>Нехватка водителей остается на достаточно высоком уровне, однако благодаря принятым в 2024 году мерам по повышению заработной платы, ситуация в значительной степени стабилизировалась и позволила сократить некомплект водительского состава примерено на 20%.</w:t>
            </w:r>
            <w:r>
              <w:br/>
              <w:t xml:space="preserve">Администрацией городского округа Тольятти совместно с предприятиями - перевозчиками принимаются все возможные меры по обеспечению ритмичной и бесперебойной работы автобусных и троллейбусных маршрутов.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2.3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исполнению наказов избирателей депутатам Думы городского округа Тольятти VIII созыва в части благоустройства внутриквартальных территорий городского округа Тольятти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 xml:space="preserve">Исполнение наказов избирателей возможно при реализации муниципальной программы «Благоустройство территорий городского округа Тольятти на 2025-2030 годы», утвержденной постановлением администрации городского округа Тольятти от 29.10.2024 № 2031-п/1, в рамках выделенного целевого финансирования. Поадресный перечень согласовывается с депутатами избирательных округов Думы городского округа Тольятти.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2.4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увеличению финансирования муниципальной программы «Формирование современной городской среды на 2018-2025 годы», утвержденной постановлением администрации городского округа Тольятти от 11.12.2017 № 4013-п/1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>Мероприятия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4013-п/1 реализуются в рамках национального проекта «Инфраструктура для жизни», финансирование осуществляется за счет средств вышестоящих бюджетов с соблюдением установленной доли софинансирования.</w:t>
            </w:r>
            <w:r>
              <w:br/>
              <w:t>В бюджете городского округа Тольятти на 2025 год предусмотрены средства в сумме 193 335 тыс. руб. (средства вышестоящего бюджета 183 668 тыс. руб.) из них</w:t>
            </w:r>
            <w:r>
              <w:br/>
              <w:t>- на благоустройство 10 дворовых территорий многоквартирных домов предусмотрено финансирование в сумме 35 927 тыс. руб.</w:t>
            </w:r>
            <w:r w:rsidR="00C7451B">
              <w:t xml:space="preserve"> </w:t>
            </w:r>
            <w:r>
              <w:t>(средства вышестоящего бюджета – 34 131 тыс. руб.);</w:t>
            </w:r>
            <w:r>
              <w:br/>
              <w:t>- на благоустройство 3 общественных территорий предусмотрено финансирование в сумме 157 408 тыс. руб. (средства вышестоящего бюджета 149 537 тыс. руб.)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2.5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своевременному, качественному и полному освоению средств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в том числе по разработке проектно-сметной документации на благоустройство общественных территорий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 xml:space="preserve">В целях своевременного, качественного и полного освоения средств, в том числе по разработке проектно-сметной документации на благоустройство общественных территорий, в рамках реализации муниципальной программы «Благоустройство территории городского округа Тольятти на 2025-2030 годы», утвержденной постановлением администрации городского округа Тольятти от 29.10.2024 № 2031-п/1, в 2025 году разработано 22 проекта на благоустройство общественных территорий.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t>2.6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по созданию приюта для животных без владельцев </w:t>
            </w:r>
            <w:r>
              <w:lastRenderedPageBreak/>
              <w:t xml:space="preserve">на территории городского округа и обеспечению его функционирования за счет средств вышестоящих бюджетов (путем софинансирования расходов за счет средств бюджета городского округа) либо с использованием механизмов муниципально-частного партнерства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lastRenderedPageBreak/>
              <w:t xml:space="preserve">В статье 16 Федерального закона от 06.10.2003 № 131 – ФЗ «Об </w:t>
            </w:r>
            <w:r>
              <w:lastRenderedPageBreak/>
              <w:t>общих принципах организации местного самоуправления в Российской Федерации» указан закрытый и исчерпывающий перечень вопросов местного значения городского округа, решение которых возложено на органы местного самоуправления городского округа.</w:t>
            </w:r>
            <w:r>
              <w:br/>
              <w:t>В соответствии с требованиями порядка организации деятельности приютов для животных без владельцев и норм содержания животных в них на территории Самарской области, утвержденного Постановлением Правительства Самарской области от 09.01.2020 №4 «Об утверждении Порядка организации деятельности приютов для животных без владельцев и норм содержания животных в них на территории Самарской области» приюты для животных размещаются на изолированной территории, разграниченной раздельными зонами, в специально предназначенных для этого зданиях, строениях, сооружениях, расположенных на расстоянии не менее 150 метров от зоны жилой застройки.</w:t>
            </w:r>
            <w:r>
              <w:br/>
              <w:t>В настоящее время подходящие муниципальные нежилые здания (помещения, сооружения), которые могли бы быть использованы для организации на территории городского округа Тольятти отсутствуют.</w:t>
            </w:r>
            <w:r>
              <w:br/>
              <w:t xml:space="preserve">В этой связи, 04.10.2024 специалистами администрации городского округа Тольятти совместно с представителями департамента (комитета) ветеринарии Самарской области и Самарской Губернской Думы проведён комиссионный осмотр земельных участков в границах городского округа Тольятти на предмет их пригодности для размещения приюта для животных. Наиболее пригодным признан участок с кадастровым номером: 63:09:0102156:696, площадью 5 389 кв. м., по адресу Российская Федерация, Самарская область, г. Тольятти, Автозаводский район, южнее здания №103-а по ул. Северная. Согласно письму комитета ветеринарии Самарской области от 08.12.2025 № КВ-02/5189 по поручению от 26.09.2025 первого вице-губернатора – председателя Правительства Самарской области Смирнова М.А. ответственным исполнителем по осуществлению мероприятий по разработке и </w:t>
            </w:r>
            <w:r>
              <w:lastRenderedPageBreak/>
              <w:t>подготовке проектной документации и строительству приютов для животных является Министерство строительства Самарской области (далее - Минстрой). Минстрой направило письмо в Министерство финансов Самарской области по вопросу внесения изменений в Закон Самарской области от 17.12.2024 № 115-ГД «Об областном бюджете на 2025 год и на плановый период 2026-2027 годов» в части предоставления Минстрою, как главному распорядителю бюджетных средств, финансирования на мероприятия по проектированию и строительству приютов для животных.</w:t>
            </w:r>
            <w:r>
              <w:br/>
              <w:t>По информации полученной от комитета Ветеринарии Самарской области приют будет рассчитан на содержание 300 животных без владельцев.</w:t>
            </w:r>
            <w:r>
              <w:br/>
              <w:t>В бюджете городского округа на 2025 год средства на создание приюта для животных без владельцев на территории городского округа Тольятти и обеспечению его функционирования не предусмотрены.</w:t>
            </w:r>
            <w:r>
              <w:br/>
              <w:t xml:space="preserve">Для осуществления переданных отдельных государственных полномочий Самарской области по организации мероприятий при осуществлении деятельности по обращению с животными без владельцев дополнительно использованы средства бюджета городского округа Тольятти в сумме 6 128 тыс. руб., в том числе 2 959 тыс. руб. на возмещение разницы между нормативной и фактической стоимостью отлова 663 животных и 3 169 тыс. руб. на отлов 193 животных в целях непрерывности процесса в межбюджетный период. 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При организации летнего отдыха детей городского округа Тольятти в 2025 году не снижать достигнутые ранее объемы детского оздоровления, отдыха и занятости детей в каникулярное время, а также принимать меры для увеличения количества детских оздоровительных учреждений и для увеличения количества выделяемых путевок в детские лагеря (в том числе, детям, относящимся к </w:t>
            </w:r>
            <w:r>
              <w:lastRenderedPageBreak/>
              <w:t xml:space="preserve">льготным категориям)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lastRenderedPageBreak/>
              <w:t>Администрацией городского округа Тольятти и муниципальными образовательными учреждениями городского округа Тольятти постоянно уделяется большое внимание организации отдыха детей в каникулярное время и принимаются меры для сохранения достигнутых ранее объемов проведения разноплановых мероприятий, а также сохранению сети и материально-технической базы стационарных детских оздоровительных лагерей.</w:t>
            </w:r>
            <w:r>
              <w:br/>
              <w:t xml:space="preserve">Услуги по отдыху и оздоровлению несовершеннолетних, в том </w:t>
            </w:r>
            <w:r>
              <w:lastRenderedPageBreak/>
              <w:t>числе находящихся в трудной жизненной ситуации, в детских оздоровительных учреждениях (организациях) городского округа оказывают муниципальные учреждения, находящиеся в ведомственном подчинении департамента образования администрации городского округа Тольятти и департамента физической культуры и спорта администрации городского округа Тольятти.</w:t>
            </w:r>
            <w:r>
              <w:br/>
              <w:t xml:space="preserve">В 2025 года в городском округе Тольятти услуги оказывали 100% (7 объектов) действующих объектов детских тольяттинских лагерей, расположенных на территории города и муниципальных районов Ставропольский и Шигонский. </w:t>
            </w:r>
            <w:r>
              <w:br/>
              <w:t xml:space="preserve">Заезды организованы за счет различных источников финансирования (городской, областной бюджеты, средства предприятий, родителей). </w:t>
            </w:r>
            <w:r>
              <w:br/>
              <w:t>За счет средств бюджета городского округа Тольятти были организованы профильные заезды.</w:t>
            </w:r>
            <w:r>
              <w:br/>
              <w:t xml:space="preserve">Так, на спортивной базе «Плес» МБУДО СШОР № 10 «Олимп» городского округа Тольятти в рамках муниципального задания проведены учебно-тренировочные сборы для 450 юных спортсменов. </w:t>
            </w:r>
            <w:r>
              <w:br/>
              <w:t xml:space="preserve">Участниками учебно-тренировочных сборов в рамках муниципального задания, организованных на базе отдыха «Спартак» МБУДО СШ № 9 «Велотол» городского округа Тольятти, стали 146 юных спортсменов. </w:t>
            </w:r>
            <w:r>
              <w:br/>
              <w:t>В целях организации отдыха обучающихся в осеннее каникулярное время 2025-2026 учебного года в МАООУ Пансионате «Звездный» в рамках муниципального задания организован профильный заезд с участием 100 несовершеннолетних.</w:t>
            </w:r>
            <w:r>
              <w:br/>
              <w:t xml:space="preserve">В МАООУ «Пансионат «Радуга» городского округа Тольятти (2 объекта) отдохнуло 5 392 ребенка, из них 1 015 детей, находящихся в трудной жизненной ситуации, 2 563 ребенка – за счет средств бюджета городского округа Тольятти. </w:t>
            </w:r>
            <w:r>
              <w:br/>
              <w:t xml:space="preserve">На базе загородного лагеря МБОУДО «Центр Гранит» городского округа Тольятти в летний период были организованы заезды детей </w:t>
            </w:r>
            <w:r>
              <w:lastRenderedPageBreak/>
              <w:t>Самарской области в рамках государственных контрактов (311 чел</w:t>
            </w:r>
            <w:r w:rsidR="001476BC">
              <w:t>овек</w:t>
            </w:r>
            <w:r>
              <w:t xml:space="preserve"> за 5 смен), в рамках муниципального задания в профильных заездах приняли участие 319 обучающихся.</w:t>
            </w:r>
            <w:r>
              <w:br/>
              <w:t>В июне, июле 2025 года организована работа 2-х детских лагерей палаточного типа с участием 326 обучающихся.</w:t>
            </w:r>
            <w:r>
              <w:br/>
              <w:t>На базе муниципальных общеобразовательных учреждений, находящихся в ведомственном подчинении департамента образования администрации городского округа Тольятти, в период летних (июнь, август) были организованы лагеря с дневным пребыванием детей. Количество учащихся, находящихся в лагерях дневного пребывания в 2025 году составило 13 502 ребенка.</w:t>
            </w:r>
            <w:r>
              <w:br/>
              <w:t>Сохранился стабильно высокий уровень охвата детей, находящихся в трудной жизненной ситуацией, отдыхом и оздоровлением в муниципальных учреждениях городского округа Тольятти.</w:t>
            </w:r>
            <w:r>
              <w:br/>
              <w:t>Изменение количества стационарных лагерей в 2026 году не запланировано, планируется увеличить оздоровленных детей за счет улучшения материально-технических условий, инфраструктуры функционирующих лагерей.</w:t>
            </w:r>
            <w:r>
              <w:br/>
              <w:t>Из бюджета Самарской области в рамках реализации мероприятий государственной программы Самарской области «Развитие социальной защиты населения в Самарской области» между администрацией городского округа Тольятти и министерством образования Самарской области заключено Соглашение о предоставлении субсидии из областного бюджета бюджету городского округа Тольятти субсидии в целях софинансирования расходных обязательств муниципального образования по развитию инфраструктуры муниципальных учреждений отдыха и оздоровления детей на следующие мероприятия:</w:t>
            </w:r>
            <w:r>
              <w:br/>
              <w:t>- ОСП база отдыха «Спартак» МБУДО СШ № 9 «Велотол» - возведение быстровозводимой конструкции;</w:t>
            </w:r>
            <w:r>
              <w:br/>
              <w:t>- загородный лагерь МБОУДО «Центр Гранит» - капитальный ремонт ограждения;</w:t>
            </w:r>
            <w:r>
              <w:br/>
              <w:t xml:space="preserve">- МАООУ Пансионат «Звездный» - капитальный ремонт ограждения; </w:t>
            </w:r>
            <w:r>
              <w:br/>
            </w:r>
            <w:r>
              <w:lastRenderedPageBreak/>
              <w:t>- ОСП «Электроник-Дубрава» - капитальный ремонт ограждения, капитальный ремонт кровли жилых корпусов и изготовление и монтаж лестницы с поручнем.</w:t>
            </w:r>
            <w:r>
              <w:br/>
              <w:t xml:space="preserve">Из бюджета городского округа Тольятти в 2026 году запланированы средства на следующие мероприятия: </w:t>
            </w:r>
            <w:r>
              <w:br/>
              <w:t>- ОСП «Электроник-Дубрава» - капитальный ремонт АПС и СОУЭ в жилом корпусе, замена станции обезжелезивания питьевой воды, а также противопожарные мероприятия – ремонт путей эвакуации в 1, 2, 3, 4 корпусах;</w:t>
            </w:r>
            <w:r>
              <w:br/>
              <w:t>- ОСП база отдыха «Спартак» МБУДО СШ № 9 «Велотол» - приобретение основных средств для укомплектования быстро-возводимой конструкции, мягкого инвентаря, благоустройство территории;</w:t>
            </w:r>
            <w:r>
              <w:br/>
              <w:t>- МБОУДО «Центр Гранит» - капитальный ремонт АПС и СОУЭ, а также оснащение техническими средствами комплексной безопасности (СКУД);</w:t>
            </w:r>
            <w:r>
              <w:br/>
              <w:t>- МБУДО ДМЦ – приобретение открытой носовой палубы с мотором (катер) для прохождения летней плавательной практики обучающимися.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 xml:space="preserve">Включить в расходную часть бюджета городского округа Тольятти расходы на обеспечение мест массового пребывания граждан средствами видеонаблюдения в полном объеме в соответствии с потребностью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>Обеспечение работы систем видеонаблюдения в местах массового пребывания граждан осуществляется в рамках расходов департамента городского хозяйства на содержание городских территорий и утвержденного муниципального задания МБУ «Зеленстрой».</w:t>
            </w:r>
            <w:r>
              <w:br/>
              <w:t>Обеспечение мест массового пребывания граждан средствами видеонаблюдения в соответствии с потребностью возможно при реализации муниципальной программы «Благоустройство территорий городского округа Тольятти на 2025-2030 годы» при условии выделения целевого финансирования</w:t>
            </w:r>
            <w:r>
              <w:br/>
              <w:t>Расходы на закупку, установку и содержание средств видеонаблюдения и работы по подключению к муниципальной информационной системе «Интеллектуальная система видеонаблюдения» несут собственники, в ведении которых находятся объекты.</w:t>
            </w:r>
            <w:r>
              <w:br/>
            </w:r>
            <w:r>
              <w:lastRenderedPageBreak/>
              <w:t>Департамент информационных технологий и связи осуществляет содержание, предоставляет техническую возможность подключения объектов к муниципальной информационной системе «Интеллектуальная система видеонаблюдения» и несет ответственность за координацию работы в сфере организации деятельности по оснащению городского округа Тольятти системой видеонаблюдения, в том числе, в рамках проектов «Безопасный город» и «Умный город».</w:t>
            </w:r>
          </w:p>
        </w:tc>
      </w:tr>
      <w:tr w:rsidR="00852034" w:rsidTr="00E66B7E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divId w:val="693766578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>
            <w:pPr>
              <w:pStyle w:val="3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E23770">
            <w:pPr>
              <w:pStyle w:val="4"/>
              <w:jc w:val="left"/>
            </w:pPr>
            <w:r>
              <w:t>Представить в Думу городского округа Тольятти информацию о дальнейших действиях в отношении жилых помещений, признанных непригодными для проживания, расположенных по адресам: Комсомольский район, ул.</w:t>
            </w:r>
            <w:r w:rsidR="001476BC">
              <w:t xml:space="preserve"> </w:t>
            </w:r>
            <w:r>
              <w:t>Носова, д.19; Комсомольский район, ул.</w:t>
            </w:r>
            <w:r w:rsidR="001476BC">
              <w:t xml:space="preserve"> </w:t>
            </w:r>
            <w:r>
              <w:t xml:space="preserve">Железнодорожная, д.51Б.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2034" w:rsidRDefault="00072508" w:rsidP="00DF6EF8">
            <w:pPr>
              <w:pStyle w:val="4"/>
              <w:jc w:val="left"/>
            </w:pPr>
            <w:r>
              <w:t xml:space="preserve">Собственникам жилых помещений, расположенных по адресам: </w:t>
            </w:r>
            <w:r w:rsidR="00927CEC" w:rsidRPr="00D22FF9">
              <w:t xml:space="preserve">  </w:t>
            </w:r>
            <w:r>
              <w:t>ул.</w:t>
            </w:r>
            <w:r w:rsidR="001476BC">
              <w:t xml:space="preserve"> </w:t>
            </w:r>
            <w:r>
              <w:t>Железнодорожная, д.51Б, ул.</w:t>
            </w:r>
            <w:r w:rsidR="001476BC">
              <w:t xml:space="preserve"> </w:t>
            </w:r>
            <w:r>
              <w:t xml:space="preserve">Носова, д.19, кв.7, жилые помещение которых признаны непригодным для проживания, предоставлены жилые помещения муниципального специализированного жилищного фонда городского округа Тольятти по договору найма жилого помещения маневренного фонда на период до завершения ремонтно-восстановительных работ, в соответствии с распоряжением от 05.04.2024 № 2867-р/5 и распоряжением от 18.12.2024 № 11712-р/5. Проведение ремонтно-восстановительных работ в жилых помещениях, находящихся в частной собственности к компетенции департамента по управлению муниципальным имуществом не относится. </w:t>
            </w:r>
          </w:p>
        </w:tc>
      </w:tr>
    </w:tbl>
    <w:p w:rsidR="00072508" w:rsidRDefault="00072508">
      <w:pPr>
        <w:spacing w:before="0" w:beforeAutospacing="0" w:after="0" w:afterAutospacing="0"/>
        <w:divId w:val="693766578"/>
        <w:rPr>
          <w:rFonts w:eastAsia="Times New Roman"/>
        </w:rPr>
      </w:pPr>
    </w:p>
    <w:sectPr w:rsidR="00072508" w:rsidSect="00CD609F">
      <w:headerReference w:type="default" r:id="rId8"/>
      <w:pgSz w:w="16838" w:h="11906" w:orient="landscape"/>
      <w:pgMar w:top="851" w:right="851" w:bottom="851" w:left="1134" w:header="709" w:footer="709" w:gutter="0"/>
      <w:pgNumType w:start="7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24" w:rsidRDefault="001F6C24" w:rsidP="00E23770">
      <w:pPr>
        <w:spacing w:before="0" w:after="0"/>
      </w:pPr>
      <w:r>
        <w:separator/>
      </w:r>
    </w:p>
  </w:endnote>
  <w:endnote w:type="continuationSeparator" w:id="0">
    <w:p w:rsidR="001F6C24" w:rsidRDefault="001F6C24" w:rsidP="00E2377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24" w:rsidRDefault="001F6C24" w:rsidP="00E23770">
      <w:pPr>
        <w:spacing w:before="0" w:after="0"/>
      </w:pPr>
      <w:r>
        <w:separator/>
      </w:r>
    </w:p>
  </w:footnote>
  <w:footnote w:type="continuationSeparator" w:id="0">
    <w:p w:rsidR="001F6C24" w:rsidRDefault="001F6C24" w:rsidP="00E2377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55860"/>
      <w:docPartObj>
        <w:docPartGallery w:val="Page Numbers (Top of Page)"/>
        <w:docPartUnique/>
      </w:docPartObj>
    </w:sdtPr>
    <w:sdtEndPr/>
    <w:sdtContent>
      <w:p w:rsidR="00E23770" w:rsidRDefault="00D95EE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2FF9">
          <w:rPr>
            <w:noProof/>
          </w:rPr>
          <w:t>727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770"/>
    <w:rsid w:val="00006F9D"/>
    <w:rsid w:val="00072508"/>
    <w:rsid w:val="001476BC"/>
    <w:rsid w:val="001F6C24"/>
    <w:rsid w:val="00325283"/>
    <w:rsid w:val="004815FA"/>
    <w:rsid w:val="004D4B4F"/>
    <w:rsid w:val="00636C71"/>
    <w:rsid w:val="006B2889"/>
    <w:rsid w:val="0070273A"/>
    <w:rsid w:val="007C2B47"/>
    <w:rsid w:val="00823FD5"/>
    <w:rsid w:val="00852034"/>
    <w:rsid w:val="008D2889"/>
    <w:rsid w:val="00927CEC"/>
    <w:rsid w:val="009F280F"/>
    <w:rsid w:val="00C7451B"/>
    <w:rsid w:val="00CD609F"/>
    <w:rsid w:val="00D22FF9"/>
    <w:rsid w:val="00D95EED"/>
    <w:rsid w:val="00DF6EF8"/>
    <w:rsid w:val="00E23770"/>
    <w:rsid w:val="00E66B7E"/>
    <w:rsid w:val="00F4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Pr>
      <w:b/>
      <w:bCs/>
    </w:rPr>
  </w:style>
  <w:style w:type="paragraph" w:customStyle="1" w:styleId="2">
    <w:name w:val="стиль2"/>
    <w:basedOn w:val="a"/>
    <w:rPr>
      <w:sz w:val="29"/>
      <w:szCs w:val="29"/>
    </w:rPr>
  </w:style>
  <w:style w:type="paragraph" w:customStyle="1" w:styleId="3">
    <w:name w:val="стиль3"/>
    <w:basedOn w:val="a"/>
  </w:style>
  <w:style w:type="paragraph" w:customStyle="1" w:styleId="4">
    <w:name w:val="стиль4"/>
    <w:basedOn w:val="a"/>
    <w:pPr>
      <w:jc w:val="both"/>
    </w:pPr>
  </w:style>
  <w:style w:type="paragraph" w:customStyle="1" w:styleId="5">
    <w:name w:val="стиль5"/>
    <w:basedOn w:val="a"/>
    <w:pPr>
      <w:jc w:val="center"/>
    </w:pPr>
    <w:rPr>
      <w:sz w:val="20"/>
      <w:szCs w:val="20"/>
    </w:rPr>
  </w:style>
  <w:style w:type="paragraph" w:customStyle="1" w:styleId="6">
    <w:name w:val="стиль6"/>
    <w:basedOn w:val="a"/>
    <w:pPr>
      <w:jc w:val="center"/>
    </w:pPr>
    <w:rPr>
      <w:sz w:val="28"/>
      <w:szCs w:val="28"/>
    </w:rPr>
  </w:style>
  <w:style w:type="paragraph" w:styleId="a3">
    <w:name w:val="Normal (Web)"/>
    <w:basedOn w:val="a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2377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23770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2377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377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Pr>
      <w:b/>
      <w:bCs/>
    </w:rPr>
  </w:style>
  <w:style w:type="paragraph" w:customStyle="1" w:styleId="2">
    <w:name w:val="стиль2"/>
    <w:basedOn w:val="a"/>
    <w:rPr>
      <w:sz w:val="29"/>
      <w:szCs w:val="29"/>
    </w:rPr>
  </w:style>
  <w:style w:type="paragraph" w:customStyle="1" w:styleId="3">
    <w:name w:val="стиль3"/>
    <w:basedOn w:val="a"/>
  </w:style>
  <w:style w:type="paragraph" w:customStyle="1" w:styleId="4">
    <w:name w:val="стиль4"/>
    <w:basedOn w:val="a"/>
    <w:pPr>
      <w:jc w:val="both"/>
    </w:pPr>
  </w:style>
  <w:style w:type="paragraph" w:customStyle="1" w:styleId="5">
    <w:name w:val="стиль5"/>
    <w:basedOn w:val="a"/>
    <w:pPr>
      <w:jc w:val="center"/>
    </w:pPr>
    <w:rPr>
      <w:sz w:val="20"/>
      <w:szCs w:val="20"/>
    </w:rPr>
  </w:style>
  <w:style w:type="paragraph" w:customStyle="1" w:styleId="6">
    <w:name w:val="стиль6"/>
    <w:basedOn w:val="a"/>
    <w:pPr>
      <w:jc w:val="center"/>
    </w:pPr>
    <w:rPr>
      <w:sz w:val="28"/>
      <w:szCs w:val="28"/>
    </w:rPr>
  </w:style>
  <w:style w:type="paragraph" w:styleId="a3">
    <w:name w:val="Normal (Web)"/>
    <w:basedOn w:val="a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23770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23770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2377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377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66578">
      <w:bodyDiv w:val="1"/>
      <w:marLeft w:val="272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E74006-6030-4B9C-B3B5-71A67304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5415</Words>
  <Characters>30869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Отображение шаблона информации об исполнении рекомендаций в адрес главы и администрации</vt:lpstr>
    </vt:vector>
  </TitlesOfParts>
  <Company/>
  <LinksUpToDate>false</LinksUpToDate>
  <CharactersWithSpaces>36212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Отображение шаблона информации об исполнении рекомендаций в адрес главы и администрации</dc:title>
  <dc:creator>User</dc:creator>
  <cp:lastModifiedBy>Лабитова Татьяна Игоревна</cp:lastModifiedBy>
  <cp:revision>2</cp:revision>
  <dcterms:created xsi:type="dcterms:W3CDTF">2026-06-16T05:34:00Z</dcterms:created>
  <dcterms:modified xsi:type="dcterms:W3CDTF">2026-06-16T05:34:00Z</dcterms:modified>
</cp:coreProperties>
</file>