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2"/>
        <w:gridCol w:w="7932"/>
      </w:tblGrid>
      <w:tr w:rsidR="0085352A" w:rsidTr="00213743">
        <w:tc>
          <w:tcPr>
            <w:tcW w:w="7847" w:type="dxa"/>
          </w:tcPr>
          <w:p w:rsidR="0085352A" w:rsidRDefault="0085352A" w:rsidP="0085352A">
            <w:pPr>
              <w:jc w:val="right"/>
            </w:pPr>
          </w:p>
        </w:tc>
        <w:tc>
          <w:tcPr>
            <w:tcW w:w="7996" w:type="dxa"/>
          </w:tcPr>
          <w:p w:rsidR="0085352A" w:rsidRPr="0085352A" w:rsidRDefault="0085352A" w:rsidP="0085352A">
            <w:pPr>
              <w:jc w:val="right"/>
              <w:rPr>
                <w:rFonts w:ascii="Times New Roman" w:hAnsi="Times New Roman" w:cs="Times New Roman"/>
                <w:sz w:val="20"/>
                <w:szCs w:val="20"/>
              </w:rPr>
            </w:pPr>
            <w:r w:rsidRPr="0085352A">
              <w:rPr>
                <w:rFonts w:ascii="Times New Roman" w:hAnsi="Times New Roman" w:cs="Times New Roman"/>
                <w:sz w:val="20"/>
                <w:szCs w:val="20"/>
              </w:rPr>
              <w:t xml:space="preserve">Приложение </w:t>
            </w:r>
            <w:r w:rsidR="00FE07F6">
              <w:rPr>
                <w:rFonts w:ascii="Times New Roman" w:hAnsi="Times New Roman" w:cs="Times New Roman"/>
                <w:sz w:val="20"/>
                <w:szCs w:val="20"/>
              </w:rPr>
              <w:t>№</w:t>
            </w:r>
            <w:r w:rsidRPr="0085352A">
              <w:rPr>
                <w:rFonts w:ascii="Times New Roman" w:hAnsi="Times New Roman" w:cs="Times New Roman"/>
                <w:sz w:val="20"/>
                <w:szCs w:val="20"/>
              </w:rPr>
              <w:t xml:space="preserve">1 </w:t>
            </w:r>
          </w:p>
          <w:p w:rsidR="0085352A" w:rsidRPr="003520A0" w:rsidRDefault="0085352A" w:rsidP="0085352A">
            <w:pPr>
              <w:jc w:val="right"/>
            </w:pPr>
            <w:r w:rsidRPr="0085352A">
              <w:rPr>
                <w:rFonts w:ascii="Times New Roman" w:hAnsi="Times New Roman" w:cs="Times New Roman"/>
                <w:sz w:val="20"/>
                <w:szCs w:val="20"/>
              </w:rPr>
              <w:t>К Отчету главы городского округа Тольятти о результатах его деятельности</w:t>
            </w:r>
            <w:r>
              <w:rPr>
                <w:rFonts w:ascii="Times New Roman" w:hAnsi="Times New Roman" w:cs="Times New Roman"/>
                <w:sz w:val="20"/>
                <w:szCs w:val="20"/>
              </w:rPr>
              <w:t xml:space="preserve"> и деятельности администрации городского округа Тольятти</w:t>
            </w:r>
            <w:r w:rsidR="003520A0" w:rsidRPr="003520A0">
              <w:rPr>
                <w:rFonts w:ascii="Times New Roman" w:hAnsi="Times New Roman" w:cs="Times New Roman"/>
                <w:sz w:val="20"/>
                <w:szCs w:val="20"/>
              </w:rPr>
              <w:t xml:space="preserve"> </w:t>
            </w:r>
            <w:r w:rsidR="003520A0">
              <w:rPr>
                <w:rFonts w:ascii="Times New Roman" w:hAnsi="Times New Roman" w:cs="Times New Roman"/>
                <w:sz w:val="20"/>
                <w:szCs w:val="20"/>
              </w:rPr>
              <w:t>за</w:t>
            </w:r>
            <w:r w:rsidR="003520A0" w:rsidRPr="003520A0">
              <w:rPr>
                <w:rFonts w:ascii="Times New Roman" w:hAnsi="Times New Roman" w:cs="Times New Roman"/>
                <w:sz w:val="20"/>
                <w:szCs w:val="20"/>
              </w:rPr>
              <w:t xml:space="preserve"> 2024</w:t>
            </w:r>
            <w:r w:rsidR="003520A0">
              <w:rPr>
                <w:rFonts w:ascii="Times New Roman" w:hAnsi="Times New Roman" w:cs="Times New Roman"/>
                <w:sz w:val="20"/>
                <w:szCs w:val="20"/>
              </w:rPr>
              <w:t xml:space="preserve"> год</w:t>
            </w:r>
          </w:p>
        </w:tc>
      </w:tr>
    </w:tbl>
    <w:p w:rsidR="00270F9C" w:rsidRDefault="00270F9C" w:rsidP="0085352A">
      <w:pPr>
        <w:jc w:val="right"/>
      </w:pPr>
    </w:p>
    <w:p w:rsidR="0085352A" w:rsidRDefault="0085352A" w:rsidP="0085352A">
      <w:pPr>
        <w:jc w:val="center"/>
        <w:rPr>
          <w:rStyle w:val="221"/>
          <w:b/>
          <w:bCs/>
        </w:rPr>
      </w:pPr>
      <w:r>
        <w:rPr>
          <w:rStyle w:val="221"/>
          <w:b/>
          <w:bCs/>
        </w:rPr>
        <w:t>ПЕРЕЧЕНЬ ПОКАЗАТЕЛЕЙ ЕЖЕГОДНОГО ОТЧЕТА ГЛАВЫ ГОРОДСКОГО ОКРУГА ТОЛЬЯТТИ</w:t>
      </w:r>
      <w:r>
        <w:rPr>
          <w:b/>
          <w:bCs/>
          <w:sz w:val="28"/>
          <w:szCs w:val="28"/>
        </w:rPr>
        <w:br/>
      </w:r>
      <w:r>
        <w:rPr>
          <w:rStyle w:val="221"/>
          <w:b/>
          <w:bCs/>
        </w:rPr>
        <w:t>О РЕЗУЛЬТАТАХ ЕГО ДЕЯТЕЛЬНОСТИ И ДЕЯТЕЛЬНОСТИ АДМИНИСТРАЦИИ ГОРОДСКОГО ОКРУГА ТОЛЬЯТТИ</w:t>
      </w:r>
      <w:r>
        <w:rPr>
          <w:b/>
          <w:bCs/>
          <w:sz w:val="28"/>
          <w:szCs w:val="28"/>
        </w:rPr>
        <w:br/>
      </w:r>
      <w:r>
        <w:rPr>
          <w:rStyle w:val="221"/>
          <w:b/>
          <w:bCs/>
        </w:rPr>
        <w:t>ЗА 202</w:t>
      </w:r>
      <w:r w:rsidR="003520A0" w:rsidRPr="003520A0">
        <w:rPr>
          <w:rStyle w:val="221"/>
          <w:b/>
          <w:bCs/>
        </w:rPr>
        <w:t>4</w:t>
      </w:r>
      <w:r>
        <w:rPr>
          <w:rStyle w:val="221"/>
          <w:b/>
          <w:bCs/>
        </w:rPr>
        <w:t xml:space="preserve"> ГОД</w:t>
      </w:r>
    </w:p>
    <w:tbl>
      <w:tblPr>
        <w:tblW w:w="5031" w:type="pct"/>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67"/>
        <w:gridCol w:w="2533"/>
        <w:gridCol w:w="986"/>
        <w:gridCol w:w="1408"/>
        <w:gridCol w:w="1268"/>
        <w:gridCol w:w="1127"/>
        <w:gridCol w:w="1127"/>
        <w:gridCol w:w="1127"/>
        <w:gridCol w:w="1407"/>
        <w:gridCol w:w="1127"/>
        <w:gridCol w:w="3208"/>
      </w:tblGrid>
      <w:tr w:rsidR="00213743" w:rsidRPr="004713CA" w:rsidTr="00EE53FD">
        <w:trPr>
          <w:tblHeader/>
        </w:trPr>
        <w:tc>
          <w:tcPr>
            <w:tcW w:w="471"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п/п</w:t>
            </w:r>
          </w:p>
        </w:tc>
        <w:tc>
          <w:tcPr>
            <w:tcW w:w="2551"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w:t>
            </w:r>
          </w:p>
        </w:tc>
        <w:tc>
          <w:tcPr>
            <w:tcW w:w="992"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Единица</w:t>
            </w:r>
            <w:r w:rsidRPr="004713CA">
              <w:rPr>
                <w:rFonts w:ascii="Times New Roman" w:eastAsiaTheme="minorEastAsia" w:hAnsi="Times New Roman" w:cs="Times New Roman"/>
                <w:kern w:val="0"/>
                <w:sz w:val="20"/>
                <w:szCs w:val="20"/>
                <w:lang w:eastAsia="ru-RU"/>
              </w:rPr>
              <w:br/>
              <w:t>измерения</w:t>
            </w:r>
          </w:p>
        </w:tc>
        <w:tc>
          <w:tcPr>
            <w:tcW w:w="1418"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Норматив</w:t>
            </w:r>
          </w:p>
        </w:tc>
        <w:tc>
          <w:tcPr>
            <w:tcW w:w="1276"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A17F4C">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Предыдущий период</w:t>
            </w:r>
            <w:r w:rsidR="00A17F4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2023 год</w:t>
            </w:r>
          </w:p>
        </w:tc>
        <w:tc>
          <w:tcPr>
            <w:tcW w:w="3402" w:type="dxa"/>
            <w:gridSpan w:val="3"/>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Отчетный период 2024 год</w:t>
            </w:r>
          </w:p>
        </w:tc>
        <w:tc>
          <w:tcPr>
            <w:tcW w:w="1417"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 на последующий период</w:t>
            </w:r>
            <w:r w:rsidR="00213743">
              <w:rPr>
                <w:rFonts w:ascii="Times New Roman" w:eastAsiaTheme="minorEastAsia" w:hAnsi="Times New Roman" w:cs="Times New Roman"/>
                <w:kern w:val="0"/>
                <w:sz w:val="20"/>
                <w:szCs w:val="20"/>
                <w:lang w:eastAsia="ru-RU"/>
              </w:rPr>
              <w:t xml:space="preserve">                2025 год</w:t>
            </w:r>
          </w:p>
        </w:tc>
        <w:tc>
          <w:tcPr>
            <w:tcW w:w="1134"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Темп роста/    снижения</w:t>
            </w:r>
            <w:r w:rsidRPr="004713CA">
              <w:rPr>
                <w:rFonts w:ascii="Times New Roman" w:eastAsiaTheme="minorEastAsia" w:hAnsi="Times New Roman" w:cs="Times New Roman"/>
                <w:kern w:val="0"/>
                <w:sz w:val="20"/>
                <w:szCs w:val="20"/>
                <w:lang w:eastAsia="ru-RU"/>
              </w:rPr>
              <w:br/>
              <w:t>(2024 г./ 2023 г.),</w:t>
            </w:r>
            <w:r w:rsidR="003D607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w:t>
            </w:r>
          </w:p>
        </w:tc>
        <w:tc>
          <w:tcPr>
            <w:tcW w:w="3231" w:type="dxa"/>
            <w:vMerge w:val="restart"/>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Примечание</w:t>
            </w:r>
            <w:r w:rsidRPr="004713CA">
              <w:rPr>
                <w:rFonts w:ascii="Times New Roman" w:eastAsiaTheme="minorEastAsia" w:hAnsi="Times New Roman" w:cs="Times New Roman"/>
                <w:kern w:val="0"/>
                <w:sz w:val="20"/>
                <w:szCs w:val="20"/>
                <w:lang w:eastAsia="ru-RU"/>
              </w:rPr>
              <w:br/>
              <w:t>(причины отклонения фактических показателей от плановых; меры по их устранению)</w:t>
            </w:r>
          </w:p>
        </w:tc>
      </w:tr>
      <w:tr w:rsidR="00AF3539" w:rsidRPr="004713CA" w:rsidTr="00EE53FD">
        <w:trPr>
          <w:tblHeader/>
        </w:trPr>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992"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1418"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1134" w:type="dxa"/>
            <w:tcBorders>
              <w:top w:val="outset" w:sz="6" w:space="0" w:color="000000"/>
              <w:left w:val="outset" w:sz="6" w:space="0" w:color="000000"/>
              <w:bottom w:val="outset" w:sz="6" w:space="0" w:color="000000"/>
              <w:right w:val="outset" w:sz="6" w:space="0" w:color="000000"/>
            </w:tcBorders>
            <w:noWrap/>
            <w:vAlign w:val="center"/>
            <w:hideMark/>
          </w:tcPr>
          <w:p w:rsidR="004713CA" w:rsidRPr="004713CA" w:rsidRDefault="004713CA" w:rsidP="00213743">
            <w:pPr>
              <w:spacing w:before="100" w:beforeAutospacing="1" w:after="100" w:afterAutospacing="1" w:line="240" w:lineRule="auto"/>
              <w:ind w:hanging="4"/>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План </w:t>
            </w:r>
            <w:r w:rsidR="00213743">
              <w:rPr>
                <w:rFonts w:ascii="Times New Roman" w:eastAsiaTheme="minorEastAsia" w:hAnsi="Times New Roman" w:cs="Times New Roman"/>
                <w:kern w:val="0"/>
                <w:sz w:val="20"/>
                <w:szCs w:val="20"/>
                <w:lang w:eastAsia="ru-RU"/>
              </w:rPr>
              <w:t xml:space="preserve">                   </w:t>
            </w:r>
            <w:r w:rsidR="002C5211">
              <w:rPr>
                <w:rFonts w:ascii="Times New Roman" w:eastAsiaTheme="minorEastAsia" w:hAnsi="Times New Roman" w:cs="Times New Roman"/>
                <w:kern w:val="0"/>
                <w:sz w:val="20"/>
                <w:szCs w:val="20"/>
                <w:lang w:eastAsia="ru-RU"/>
              </w:rPr>
              <w:t xml:space="preserve">  </w:t>
            </w:r>
            <w:r w:rsidR="00A17F4C">
              <w:rPr>
                <w:rFonts w:ascii="Times New Roman" w:eastAsiaTheme="minorEastAsia" w:hAnsi="Times New Roman" w:cs="Times New Roman"/>
                <w:kern w:val="0"/>
                <w:sz w:val="20"/>
                <w:szCs w:val="20"/>
                <w:lang w:eastAsia="ru-RU"/>
              </w:rPr>
              <w:t xml:space="preserve">       </w:t>
            </w:r>
            <w:r w:rsidR="002C5211">
              <w:rPr>
                <w:rFonts w:ascii="Times New Roman" w:eastAsiaTheme="minorEastAsia" w:hAnsi="Times New Roman" w:cs="Times New Roman"/>
                <w:kern w:val="0"/>
                <w:sz w:val="20"/>
                <w:szCs w:val="20"/>
                <w:lang w:eastAsia="ru-RU"/>
              </w:rPr>
              <w:t xml:space="preserve">        </w:t>
            </w:r>
          </w:p>
        </w:tc>
        <w:tc>
          <w:tcPr>
            <w:tcW w:w="1134" w:type="dxa"/>
            <w:tcBorders>
              <w:top w:val="outset" w:sz="6" w:space="0" w:color="000000"/>
              <w:left w:val="outset" w:sz="6" w:space="0" w:color="000000"/>
              <w:bottom w:val="outset" w:sz="6" w:space="0" w:color="000000"/>
              <w:right w:val="outset" w:sz="6" w:space="0" w:color="000000"/>
            </w:tcBorders>
            <w:noWrap/>
            <w:vAlign w:val="center"/>
            <w:hideMark/>
          </w:tcPr>
          <w:p w:rsidR="004713CA" w:rsidRPr="004713CA" w:rsidRDefault="004713CA" w:rsidP="00213743">
            <w:pPr>
              <w:spacing w:before="100" w:beforeAutospacing="1" w:after="100" w:afterAutospacing="1" w:line="240" w:lineRule="auto"/>
              <w:ind w:hanging="4"/>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Факт </w:t>
            </w:r>
          </w:p>
        </w:tc>
        <w:tc>
          <w:tcPr>
            <w:tcW w:w="1134" w:type="dxa"/>
            <w:tcBorders>
              <w:top w:val="outset" w:sz="6" w:space="0" w:color="000000"/>
              <w:left w:val="outset" w:sz="6" w:space="0" w:color="000000"/>
              <w:bottom w:val="outset" w:sz="6" w:space="0" w:color="000000"/>
              <w:right w:val="outset" w:sz="6" w:space="0" w:color="000000"/>
            </w:tcBorders>
            <w:noWrap/>
            <w:vAlign w:val="center"/>
            <w:hideMark/>
          </w:tcPr>
          <w:p w:rsidR="004713CA" w:rsidRPr="004713CA" w:rsidRDefault="004713CA" w:rsidP="00213743">
            <w:pPr>
              <w:spacing w:before="100" w:beforeAutospacing="1" w:after="100" w:afterAutospacing="1" w:line="240" w:lineRule="auto"/>
              <w:ind w:hanging="4"/>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Откл. </w:t>
            </w:r>
          </w:p>
        </w:tc>
        <w:tc>
          <w:tcPr>
            <w:tcW w:w="1417"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1134"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323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Экономика и финансы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Степень выполнения плановых показателей налоговых и неналоговых доходов бюджета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101,5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102,6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3D607F"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Степень исполнения бюджета городского округа по расходам </w:t>
            </w:r>
          </w:p>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-6,0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E80880"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val="en-US"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F153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Утвержд</w:t>
            </w:r>
            <w:r w:rsidR="006F153F">
              <w:rPr>
                <w:rFonts w:ascii="Times New Roman" w:eastAsiaTheme="minorEastAsia" w:hAnsi="Times New Roman" w:cs="Times New Roman"/>
                <w:kern w:val="0"/>
                <w:sz w:val="20"/>
                <w:szCs w:val="20"/>
                <w:lang w:eastAsia="ru-RU"/>
              </w:rPr>
              <w:t>е</w:t>
            </w:r>
            <w:r w:rsidRPr="004713CA">
              <w:rPr>
                <w:rFonts w:ascii="Times New Roman" w:eastAsiaTheme="minorEastAsia" w:hAnsi="Times New Roman" w:cs="Times New Roman"/>
                <w:kern w:val="0"/>
                <w:sz w:val="20"/>
                <w:szCs w:val="20"/>
                <w:lang w:eastAsia="ru-RU"/>
              </w:rPr>
              <w:t>нный план по решению Думы городского округа Тольятти от 22.11.2023 № 71 (в редакции от 25.12.2024 № 394) на 2024 год составил 22 714 164 тыс. руб., кассовые расходы за 2024 год составили 21 340 922 тыс. руб. или 94</w:t>
            </w:r>
            <w:r w:rsidR="002B0355">
              <w:rPr>
                <w:rFonts w:ascii="Times New Roman" w:eastAsiaTheme="minorEastAsia" w:hAnsi="Times New Roman" w:cs="Times New Roman"/>
                <w:kern w:val="0"/>
                <w:sz w:val="20"/>
                <w:szCs w:val="20"/>
                <w:lang w:eastAsia="ru-RU"/>
              </w:rPr>
              <w:t>,0</w:t>
            </w:r>
            <w:r w:rsidRPr="004713CA">
              <w:rPr>
                <w:rFonts w:ascii="Times New Roman" w:eastAsiaTheme="minorEastAsia" w:hAnsi="Times New Roman" w:cs="Times New Roman"/>
                <w:kern w:val="0"/>
                <w:sz w:val="20"/>
                <w:szCs w:val="20"/>
                <w:lang w:eastAsia="ru-RU"/>
              </w:rPr>
              <w:t>% от плана. Невыполнение плана на 1 373 242 тыс. руб. (6</w:t>
            </w:r>
            <w:r w:rsidR="002B0355">
              <w:rPr>
                <w:rFonts w:ascii="Times New Roman" w:eastAsiaTheme="minorEastAsia" w:hAnsi="Times New Roman" w:cs="Times New Roman"/>
                <w:kern w:val="0"/>
                <w:sz w:val="20"/>
                <w:szCs w:val="20"/>
                <w:lang w:eastAsia="ru-RU"/>
              </w:rPr>
              <w:t>,0</w:t>
            </w:r>
            <w:r w:rsidRPr="004713CA">
              <w:rPr>
                <w:rFonts w:ascii="Times New Roman" w:eastAsiaTheme="minorEastAsia" w:hAnsi="Times New Roman" w:cs="Times New Roman"/>
                <w:kern w:val="0"/>
                <w:sz w:val="20"/>
                <w:szCs w:val="20"/>
                <w:lang w:eastAsia="ru-RU"/>
              </w:rPr>
              <w:t xml:space="preserve">%) сложилось за счет средств бюджета городского округа </w:t>
            </w:r>
            <w:r w:rsidR="006F153F">
              <w:rPr>
                <w:rFonts w:ascii="Times New Roman" w:eastAsiaTheme="minorEastAsia" w:hAnsi="Times New Roman" w:cs="Times New Roman"/>
                <w:kern w:val="0"/>
                <w:sz w:val="20"/>
                <w:szCs w:val="20"/>
                <w:lang w:eastAsia="ru-RU"/>
              </w:rPr>
              <w:t xml:space="preserve">Тольятти </w:t>
            </w:r>
            <w:r w:rsidRPr="004713CA">
              <w:rPr>
                <w:rFonts w:ascii="Times New Roman" w:eastAsiaTheme="minorEastAsia" w:hAnsi="Times New Roman" w:cs="Times New Roman"/>
                <w:kern w:val="0"/>
                <w:sz w:val="20"/>
                <w:szCs w:val="20"/>
                <w:lang w:eastAsia="ru-RU"/>
              </w:rPr>
              <w:t xml:space="preserve">– </w:t>
            </w:r>
            <w:r w:rsidR="006F153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630 045 тыс. руб., за счет средств вышестоящих бюджетов – </w:t>
            </w:r>
            <w:r w:rsidR="006F153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743</w:t>
            </w:r>
            <w:r w:rsidR="006F153F">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197</w:t>
            </w:r>
            <w:r w:rsidR="006F153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тыс.</w:t>
            </w:r>
            <w:r w:rsidR="006F153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руб.</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Уровень долговой нагрузки на бюджет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E045A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должен превышать общий годовой объем доходов без учета объема безвозмездных поступлений</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- 4,1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54,9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уровня долговой нагрузки на бюджет городского округа Тольятти на 2024 год скорректирован с 44,4% до 27,6% в соответствии с решением Думы городского округа Тольятти от 25.12.2024 № 394. Уровень долговой нагрузки на бюджет городского округа Тольятти за 2024 год по сравнению с 2023 годом снизился на 19,3 п</w:t>
            </w:r>
            <w:r w:rsidR="00240484">
              <w:rPr>
                <w:rFonts w:ascii="Times New Roman" w:eastAsiaTheme="minorEastAsia" w:hAnsi="Times New Roman" w:cs="Times New Roman"/>
                <w:kern w:val="0"/>
                <w:sz w:val="20"/>
                <w:szCs w:val="20"/>
                <w:lang w:eastAsia="ru-RU"/>
              </w:rPr>
              <w:t>роцентных пункта.</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Динамика расходов бюджета городского округа, формируемых в рамках программ, в общем объеме расходов бюджета (без учета субвенций на исполнение делегируемых государственных полномочий)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положительная динамика</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F153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 на 2024 год изменен с 92,9% на 95,3% в соответствии с решением Думы городского округа Тольятти от 22.11.2023 № 71 (по состоянию на 01.01.2025). По итогам 2024</w:t>
            </w:r>
            <w:r w:rsidR="00CD5447">
              <w:rPr>
                <w:rFonts w:ascii="Times New Roman" w:eastAsiaTheme="minorEastAsia" w:hAnsi="Times New Roman" w:cs="Times New Roman"/>
                <w:kern w:val="0"/>
                <w:sz w:val="20"/>
                <w:szCs w:val="20"/>
                <w:lang w:eastAsia="ru-RU"/>
              </w:rPr>
              <w:t xml:space="preserve"> года</w:t>
            </w:r>
            <w:r w:rsidRPr="004713CA">
              <w:rPr>
                <w:rFonts w:ascii="Times New Roman" w:eastAsiaTheme="minorEastAsia" w:hAnsi="Times New Roman" w:cs="Times New Roman"/>
                <w:kern w:val="0"/>
                <w:sz w:val="20"/>
                <w:szCs w:val="20"/>
                <w:lang w:eastAsia="ru-RU"/>
              </w:rPr>
              <w:t xml:space="preserve"> исполнение расходов составило 95,8%. По сравнению с 2023 годом расходы в рамках программ увеличились на сумму</w:t>
            </w:r>
            <w:r w:rsidR="00AF3539">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2 073 284 тыс. руб. (2023 год - 12 332 575 тыс. руб., 2024 год – 14 405 859 тыс. руб.).</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Степень исполнения средств вышестоящих бюджетов, за исключением произведенных возвратов в следующем финансовом году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92,9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-7,1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CA7D69">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2024 году по сравнению с 2023 </w:t>
            </w:r>
            <w:r w:rsidR="00CD5447">
              <w:rPr>
                <w:rFonts w:ascii="Times New Roman" w:eastAsiaTheme="minorEastAsia" w:hAnsi="Times New Roman" w:cs="Times New Roman"/>
                <w:kern w:val="0"/>
                <w:sz w:val="20"/>
                <w:szCs w:val="20"/>
                <w:lang w:eastAsia="ru-RU"/>
              </w:rPr>
              <w:t xml:space="preserve">годом </w:t>
            </w:r>
            <w:r w:rsidRPr="004713CA">
              <w:rPr>
                <w:rFonts w:ascii="Times New Roman" w:eastAsiaTheme="minorEastAsia" w:hAnsi="Times New Roman" w:cs="Times New Roman"/>
                <w:kern w:val="0"/>
                <w:sz w:val="20"/>
                <w:szCs w:val="20"/>
                <w:lang w:eastAsia="ru-RU"/>
              </w:rPr>
              <w:t xml:space="preserve">процент исполнения расходов </w:t>
            </w:r>
            <w:r w:rsidR="00CD5447" w:rsidRPr="004713CA">
              <w:rPr>
                <w:rFonts w:ascii="Times New Roman" w:eastAsiaTheme="minorEastAsia" w:hAnsi="Times New Roman" w:cs="Times New Roman"/>
                <w:kern w:val="0"/>
                <w:sz w:val="20"/>
                <w:szCs w:val="20"/>
                <w:lang w:eastAsia="ru-RU"/>
              </w:rPr>
              <w:t xml:space="preserve">снизился </w:t>
            </w:r>
            <w:r w:rsidRPr="004713CA">
              <w:rPr>
                <w:rFonts w:ascii="Times New Roman" w:eastAsiaTheme="minorEastAsia" w:hAnsi="Times New Roman" w:cs="Times New Roman"/>
                <w:kern w:val="0"/>
                <w:sz w:val="20"/>
                <w:szCs w:val="20"/>
                <w:lang w:eastAsia="ru-RU"/>
              </w:rPr>
              <w:t xml:space="preserve">с 96,8% до 92,9%. Плановые ассигнования по вышестоящим средствам 2024 года утверждены в сумме 10 489 340 тыс. руб. </w:t>
            </w:r>
            <w:r w:rsidR="003935E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Кассовое исполнение составило 9 746 143 тыс. руб. </w:t>
            </w:r>
            <w:r w:rsidR="003935E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В областной бюджет возвращены неиспользованные средства по состоянию на 01.01.2025 в сумме 116 228 тыс. руб. Невыполнение плана (с учетом возвратов) составило 626 969 тыс. руб.</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Объем инвестиций в основной капитал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80 666 862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80 873 814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 Фактический показатель за 2024 год соответствует предварительным данным Самарастата по инвестициям в основной капитал организаций Тольятти, не относящимся к субъектам малого предпринимательства. Уточненные данные будут представлены Самарастатом в августе 2025 года. </w:t>
            </w:r>
            <w:r w:rsidRPr="004713CA">
              <w:rPr>
                <w:rFonts w:ascii="Times New Roman" w:eastAsiaTheme="minorEastAsia" w:hAnsi="Times New Roman" w:cs="Times New Roman"/>
                <w:kern w:val="0"/>
                <w:sz w:val="20"/>
                <w:szCs w:val="20"/>
                <w:lang w:eastAsia="ru-RU"/>
              </w:rPr>
              <w:br/>
              <w:t>2. Фактический показатель за 2023 год скорректирован на аналогичные данные Самарастата в целях сопоставимости с фактом 2024 года.</w:t>
            </w:r>
            <w:r w:rsidRPr="004713CA">
              <w:rPr>
                <w:rFonts w:ascii="Times New Roman" w:eastAsiaTheme="minorEastAsia" w:hAnsi="Times New Roman" w:cs="Times New Roman"/>
                <w:kern w:val="0"/>
                <w:sz w:val="20"/>
                <w:szCs w:val="20"/>
                <w:lang w:eastAsia="ru-RU"/>
              </w:rPr>
              <w:br/>
              <w:t xml:space="preserve">Из расчета показателя исключены оценочные данные администрации городского округа Тольятти по субъектам малого предпринимательства ввиду отсутствия полных и актуальных данных по ним. </w:t>
            </w:r>
            <w:r w:rsidRPr="004713CA">
              <w:rPr>
                <w:rFonts w:ascii="Times New Roman" w:eastAsiaTheme="minorEastAsia" w:hAnsi="Times New Roman" w:cs="Times New Roman"/>
                <w:kern w:val="0"/>
                <w:sz w:val="20"/>
                <w:szCs w:val="20"/>
                <w:lang w:eastAsia="ru-RU"/>
              </w:rPr>
              <w:br/>
              <w:t xml:space="preserve">3. Плановые значения показателя на 2024 и 2025 годы, рассчитанные по аналогичному кругу организаций, отсутствуют.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Степень соблюдения требований законодательства о контрактной системе в сфере закупок в части осуществления закупок у субъектов малого предпринимательства, социально ориентированных некоммерческих организаций администрацией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17,5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81,7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Норматив по объему закупок с преимуществами для СМП, СОНКО (25% СГОЗ) перевыполнен. При этом снижение показателя по сравнению с прошлым периодом обусловлено ростом стоимостного объема закупок, которые по объективным причинам невозможно осуществить у СМП, СОНКО либо при определении поставщика (подрядчика, исполнителя) установить в извещении об осуществлении закупки требование к поставщику (подрядчику, исполнителю), не являющемуся СМП, СОНКО, о привлечении к исполнению контракта субподрядчиков, соисполнителей из числа СМП, СОНКО (например, закупка автобусов, выполнение работ, связанных с осуществлением регулярных перевозок пассажиров и багажа).</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Степень устранения нарушений, выявленных в результате контроля за соблюдением заказчиками законодательства о контрактной системе в сфере закупок:</w:t>
            </w:r>
            <w:r w:rsidRPr="004713CA">
              <w:rPr>
                <w:rFonts w:ascii="Times New Roman" w:eastAsiaTheme="minorEastAsia" w:hAnsi="Times New Roman" w:cs="Times New Roman"/>
                <w:kern w:val="0"/>
                <w:sz w:val="20"/>
                <w:szCs w:val="20"/>
                <w:lang w:eastAsia="ru-RU"/>
              </w:rPr>
              <w:br/>
              <w:t xml:space="preserve">- плановые проверки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При расчете показателя учтены результаты плановых проверок соблюдения заказчиками законодательства о контрактной системе, проведенных департаментом экономического развития администрации городского округа Тольятти. В 2024 году было проведено 5 плановых проверок, по результатам 4 проверок были выявлены нарушения. Выдано 3 предписания об устранении нарушений законодательства о контрактной системе в сфере закупок, все предписания исполнены. Информация о выявленных нарушениях направлялась в Государственную инспекцию финансового контроля Самарской области для принятия мер административного воздействия. По состоянию на 01.01.2025 в отношении должностных лиц заказчиков городского округа Тольятти были возбуждены дела об административных правонарушениях, в отношении должностных лиц 4 заказчиков назначено наказание в виде предупреждения, а также начислены штрафы в общей сумме 100 тыс.</w:t>
            </w:r>
            <w:r w:rsidR="002C5211">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руб.</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внеплановые проверки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При расчете показателя учитывается количество выданных при проведении внеплановых проверок и исполненных заказчиками предписаний департамента экономического развития администрации городского округа Тольятти об устранении нарушений законодательства о контрактной системе. В 2024 году проведено 2 внеплановых проверки по обращениям заказчиков о согласовании возможности заключения контракта по результатам несостоявшихся процедур закупок. Нарушений не выявлено, предписания не выдавались.</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Степень охвата контрольными мероприятиями процедур осуществления закупок:</w:t>
            </w:r>
            <w:r w:rsidRPr="004713CA">
              <w:rPr>
                <w:rFonts w:ascii="Times New Roman" w:eastAsiaTheme="minorEastAsia" w:hAnsi="Times New Roman" w:cs="Times New Roman"/>
                <w:kern w:val="0"/>
                <w:sz w:val="20"/>
                <w:szCs w:val="20"/>
                <w:lang w:eastAsia="ru-RU"/>
              </w:rPr>
              <w:br/>
              <w:t xml:space="preserve">- предварительный контроль;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характеризует работу администрации городского округа Тольятти по предварительному контролю документов закупки на предмет соблюдения требований законодательства о контрактной системе и выявления факторов, влияющих на эффективность закупки, осуществляемому до размещения извещения о закупке. При расчете показателя учтено общее количество проведенных в 2024 году конкурентных закупок и проверенных пакетов документов (700). При осуществлении такого контроля в 68,4% пакетов документов выявлены замечания, которые требовалось устранить до опубликования извещения о закупке.</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плановые проверки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2024 году проведено 5 плановых проверок согласно утвержденному плану проверок. При проведении плановых проверок осуществляется проверка закупочной деятельности заказчика за проверяемый период, то есть проверке подлежат все закупки заказчика за данный период.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внеплановые проверки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-4,1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18,0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рассчитывается как отношение количества охваченных проверками процедур закупок (2) к общему количеству проведенных процедур закупок, подлежащих проверке (225). Внеплановым проверкам администрации городского округа Тольятти подлежали процедуры закупок, не охваченные предварительным контролем. В сравнении с прошлым годом количество внеплановых проверок снизилось в связи с увеличением объема охваченных предварительным контролем процедур в соответствии с постановлением администрации</w:t>
            </w:r>
            <w:r w:rsidR="001E6505">
              <w:rPr>
                <w:rFonts w:ascii="Times New Roman" w:eastAsiaTheme="minorEastAsia" w:hAnsi="Times New Roman" w:cs="Times New Roman"/>
                <w:kern w:val="0"/>
                <w:sz w:val="20"/>
                <w:szCs w:val="20"/>
                <w:lang w:eastAsia="ru-RU"/>
              </w:rPr>
              <w:t xml:space="preserve"> городского округа </w:t>
            </w:r>
            <w:r w:rsidRPr="004713CA">
              <w:rPr>
                <w:rFonts w:ascii="Times New Roman" w:eastAsiaTheme="minorEastAsia" w:hAnsi="Times New Roman" w:cs="Times New Roman"/>
                <w:kern w:val="0"/>
                <w:sz w:val="20"/>
                <w:szCs w:val="20"/>
                <w:lang w:eastAsia="ru-RU"/>
              </w:rPr>
              <w:t xml:space="preserve">Тольятти от 04.08.2023 №2439-п/1 (закупки, осуществляемые заказчиками Тольятти через Главное управление организации торгов Самарской области (ГУОТ) и ГКУ Самарской области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Управление автомобильными дорогами</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в том числе увеличением количества закупок на приобретение жилых помещений для детей-сирот, проводимых на основании типовых форм документов, разработанных ГУОТ, и не подлежащих предварительному контролю.</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Уровень рентабельности муниципальных предприятий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3935E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Показатель определяется на основании информации, полученной по результатам подведения итогов деятельности муниципальных предприятий. </w:t>
            </w:r>
            <w:r w:rsidRPr="004713CA">
              <w:rPr>
                <w:rFonts w:ascii="Times New Roman" w:eastAsiaTheme="minorEastAsia" w:hAnsi="Times New Roman" w:cs="Times New Roman"/>
                <w:kern w:val="0"/>
                <w:sz w:val="20"/>
                <w:szCs w:val="20"/>
                <w:lang w:eastAsia="ru-RU"/>
              </w:rPr>
              <w:br/>
              <w:t>В соответствии с постановлением мэрии городского округа Тольятти от 01.04.2014 № 983-п/1 «Об утверждении Положения о порядке планирования финансово - хозяйственной деятельности муниципальных предприятий, подведения итогов финансово - хозяйственной деятельности муниципальных предприятий и муниципальных учреждений и проведения оценки эффективности управления имуществом, закреплённым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 подготовка проекта постановления администрации городского округа Тольятти «Об утверждении сводного отчета по итогам финансово - хозяйственной деятельности муниципальных предприятий городского округа Тольятти за отчетный год и об итогах оценки эффективности управления имуществом, закреплённым на праве хозяйственного ведения за муниципальными предприятиями городского округа Тольятти за отчетный год» осуществляется в срок до 01 июня текущего года. В связи с этим данные по итогам 2024 года отсутствуют.</w:t>
            </w:r>
            <w:r w:rsidRPr="004713CA">
              <w:rPr>
                <w:rFonts w:ascii="Times New Roman" w:eastAsiaTheme="minorEastAsia" w:hAnsi="Times New Roman" w:cs="Times New Roman"/>
                <w:kern w:val="0"/>
                <w:sz w:val="20"/>
                <w:szCs w:val="20"/>
                <w:lang w:eastAsia="ru-RU"/>
              </w:rPr>
              <w:br/>
              <w:t xml:space="preserve">По итогам 2023 года, утвержденным постановлением администрации городского округа Тольятти от 27.05.2024 № 936-п/1 «Об утверждении сводного отчета по итогам финансово - хозяйственной деятельности муниципальных предприятий городского округа Тольятти за 2023 год и об итогах оценки эффективности управления имуществом, закрепленным на праве хозяйственного ведения за муниципальными предприятиями городского округа Тольятти, за 2023 год», муниципальными предприятиями в совокупности получена чистая прибыль в размере </w:t>
            </w:r>
            <w:r w:rsidR="001E6505">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26 465 тыс. руб., выручка </w:t>
            </w:r>
            <w:r w:rsidR="001E6505">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1 703 303 тыс. руб., рентабельность составила 1,6% ((26 465 тыс. руб./1 703 303 тыс. руб.) *100%). </w:t>
            </w:r>
            <w:r w:rsidRPr="004713CA">
              <w:rPr>
                <w:rFonts w:ascii="Times New Roman" w:eastAsiaTheme="minorEastAsia" w:hAnsi="Times New Roman" w:cs="Times New Roman"/>
                <w:kern w:val="0"/>
                <w:sz w:val="20"/>
                <w:szCs w:val="20"/>
                <w:lang w:eastAsia="ru-RU"/>
              </w:rPr>
              <w:br/>
              <w:t xml:space="preserve">В соответствии с Положением, данный показатель не утверждается постановлением администрации городского округа Тольятти, поэтому план 2024 года и план на 2025 год отсутствуют.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Динамика поступления доходов в виде дивидендов акционерных обществ, часть акций которых находится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1611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1219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366,1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Дивиденды в 2024 году поступили в сумме 1 611 тыс. руб. (АО «Производственное объединение коммунального хозяйства» 1 540,58 тыс. руб., АО «Муниципальное управление жилищно-коммунального хозяйства» 70 тыс. руб.). В сравнении с прошлым годом поступления увеличились на 1 171 тыс. руб. (факт за 2023 год </w:t>
            </w:r>
            <w:r w:rsidR="00653236">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440 тыс. руб. – АО рынок «Кунеевский»). Плановый показатель на 2024 год представлен на основании решения Думы городского округа Тольятти от 20.12.2023 №</w:t>
            </w:r>
            <w:r w:rsidR="00653236">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 xml:space="preserve">93 «О внесении изменений в решение Думы городского округа Тольятти от 22.11.2023 №71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О бюджете городского округа Тольятти на 2024 год и плановый период 2025 и 2026 годов». Плановый показатель на 2025 год представлен на основании решения Думы городского округа Тольятти от 11.12.2024 №376 «О бюджете городского округа Тольятти на 2025 год и плановый период 2026 и 2027 годов».</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акционерных обществ, управление акциями которых является эффективным в соответствии с критериями эффективности управления имуществом, находящимся в муниципальной собственности, из общего количества акционерных обществ, часть акций которых находится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По результатам проведения в 2024 году оценки эффективности управления акциями за 2023 год в соответствии с критериями, утвержденными решением Думы городского округа Тольятти от 27.04.2016 № 1053 «О критериях оценки эффективности управления имуществом, находящимся в муниципальной собственности городского округа Тольятти», выявлено и утверждено постановлением администрации городского округа Тольятти от 31.05.2024 №990-п/1 «Об итогах оценки эффективности управления акциями, находящимися в муниципальной собственности городского округа Тольятти, за 2023 год», что управление акциями, находящимися в муниципальной собственности, недостаточно эффективно в отношении акций двух обществ (АО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Производственное объединение коммунального хозяйства</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АО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Муниципальное управление жилищно-коммунального хозяйства</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и неэффективно в отношении акций трех обществ (ОАО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Дворец культуры «Тольятти» имени Н.В.</w:t>
            </w:r>
            <w:r w:rsidR="001E6505">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Абрамова</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АО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Завод по переработке твердых бытовых отходов</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ОАО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Дорожное ремонтно-строительное управление</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отношении АО рынок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Кунеевский</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оценка не установлена в связи с прекращением права собственности на обыкновенные акции в количестве 261650 штук, что составляло 100% уставного капитала, и исключением из реестра муниципальной собственности городского округа Тольятти АО рынок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Кунеевский</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и обыкновенных акций АО рынок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Кунеевский</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(распоряжение заместителя главы городского округа Тольятти от 08.05.2024 №3893-р/5, от 08.05.2024 №</w:t>
            </w:r>
            <w:r w:rsidR="00653236">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 xml:space="preserve">3892-р/5). </w:t>
            </w:r>
            <w:r w:rsidRPr="004713CA">
              <w:rPr>
                <w:rFonts w:ascii="Times New Roman" w:eastAsiaTheme="minorEastAsia" w:hAnsi="Times New Roman" w:cs="Times New Roman"/>
                <w:kern w:val="0"/>
                <w:sz w:val="20"/>
                <w:szCs w:val="20"/>
                <w:lang w:eastAsia="ru-RU"/>
              </w:rPr>
              <w:br/>
              <w:t xml:space="preserve">Оценка эффективности управления акциями за 2024 год будет проведена в отношении 6 акционерных обществ (в том числе АО </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Тольяттинское пассажирское автотранспортное предприятие №3</w:t>
            </w:r>
            <w:r w:rsidR="001E650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и утверждена постановлением администрации </w:t>
            </w:r>
            <w:r w:rsidR="00EE53FD">
              <w:rPr>
                <w:rFonts w:ascii="Times New Roman" w:eastAsiaTheme="minorEastAsia" w:hAnsi="Times New Roman" w:cs="Times New Roman"/>
                <w:kern w:val="0"/>
                <w:sz w:val="20"/>
                <w:szCs w:val="20"/>
                <w:lang w:eastAsia="ru-RU"/>
              </w:rPr>
              <w:t xml:space="preserve">городского округа Тольятти в срок </w:t>
            </w:r>
            <w:r w:rsidRPr="004713CA">
              <w:rPr>
                <w:rFonts w:ascii="Times New Roman" w:eastAsiaTheme="minorEastAsia" w:hAnsi="Times New Roman" w:cs="Times New Roman"/>
                <w:kern w:val="0"/>
                <w:sz w:val="20"/>
                <w:szCs w:val="20"/>
                <w:lang w:eastAsia="ru-RU"/>
              </w:rPr>
              <w:t>до 01.06.2025.</w:t>
            </w:r>
            <w:r w:rsidRPr="004713CA">
              <w:rPr>
                <w:rFonts w:ascii="Times New Roman" w:eastAsiaTheme="minorEastAsia" w:hAnsi="Times New Roman" w:cs="Times New Roman"/>
                <w:kern w:val="0"/>
                <w:sz w:val="20"/>
                <w:szCs w:val="20"/>
                <w:lang w:eastAsia="ru-RU"/>
              </w:rPr>
              <w:br/>
              <w:t xml:space="preserve">Муниципальными правовыми актами городского округа Тольятти план по данному показателю не утверждается, поэтому план </w:t>
            </w:r>
            <w:r w:rsidR="00EE53FD">
              <w:rPr>
                <w:rFonts w:ascii="Times New Roman" w:eastAsiaTheme="minorEastAsia" w:hAnsi="Times New Roman" w:cs="Times New Roman"/>
                <w:kern w:val="0"/>
                <w:sz w:val="20"/>
                <w:szCs w:val="20"/>
                <w:lang w:eastAsia="ru-RU"/>
              </w:rPr>
              <w:t xml:space="preserve">на </w:t>
            </w:r>
            <w:r w:rsidRPr="004713CA">
              <w:rPr>
                <w:rFonts w:ascii="Times New Roman" w:eastAsiaTheme="minorEastAsia" w:hAnsi="Times New Roman" w:cs="Times New Roman"/>
                <w:kern w:val="0"/>
                <w:sz w:val="20"/>
                <w:szCs w:val="20"/>
                <w:lang w:eastAsia="ru-RU"/>
              </w:rPr>
              <w:t>2024 год и план на 2025 год отсутствуют.</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МАУ, МБУ, МКУ, признанных эффективными в части управления переданным в оперативное управление муниципальным имуществом в соответствии с критериями эффективности управления имуществом, находящимся в муниципальной собственности, из общего количества МАУ, МБУ, МКУ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178/189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Итоги оценки эффективности управления имуществом, закрепленным на праве оперативного управления за муниципальными учреждениями городского округа Тольятти, за 2024 год будут подведены в соответствии с постановлением мэрии городского округа Тольятти от 01.04.2014 №</w:t>
            </w:r>
            <w:r w:rsidR="00EE53FD">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983-п/1 «Об утверждении Положения о порядке планирования финансово – хозяйственной деятельности муниципальных предприятий, подведения итогов финансово – хозяйственной деятельности муниципальных предприятий и муниципальных учреждений и проведения оценки эффективности управления имуществом,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 в срок до 01.06.2025.</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Общественная безопасность и противодействие коррупции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13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Исключен решением Думы городского округа Тольятти от 21.09.2016 № 1173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13.1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Проведение мероприятий по обучению и информированию населения мерам пожарной безопасности:</w:t>
            </w:r>
            <w:r w:rsidRPr="004713CA">
              <w:rPr>
                <w:rFonts w:ascii="Times New Roman" w:eastAsiaTheme="minorEastAsia" w:hAnsi="Times New Roman" w:cs="Times New Roman"/>
                <w:kern w:val="0"/>
                <w:sz w:val="20"/>
                <w:szCs w:val="20"/>
                <w:lang w:eastAsia="ru-RU"/>
              </w:rPr>
              <w:br/>
              <w:t xml:space="preserve">- обучение пожарно-техническому минимуму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1019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897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обусловлен проведения обучения в соответствии с приказом МЧС России от 18.11.2021 №</w:t>
            </w:r>
            <w:r w:rsidR="003935EA">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sidR="002C5211">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проведение сходов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1435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1364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364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обусловлен усилением профилактической работы по предложениям органа пожарного надзора и по решению КЧС и ОПБ Самарской области</w:t>
            </w:r>
            <w:r w:rsidR="002C5211">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информирование населения о мерах пожарной безопасности в СМИ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кол-во опубли- кованных материалов по пожарной тематике через СМИ</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188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123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87,0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обусловлен усилением профилактической работы по предложениям органа пожарного надзора и по решению КЧС и ОПБ Самарской области</w:t>
            </w:r>
            <w:r w:rsidR="001E6505">
              <w:rPr>
                <w:rFonts w:ascii="Times New Roman" w:eastAsiaTheme="minorEastAsia" w:hAnsi="Times New Roman" w:cs="Times New Roman"/>
                <w:kern w:val="0"/>
                <w:sz w:val="20"/>
                <w:szCs w:val="20"/>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Объем бюджетных средств, выделенных для приведения объектов муниципальной собственности в соответствие с требованиями и нормами пожарной безопасности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561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557,6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-3,4</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216450"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 xml:space="preserve">Плановый показатель скорректирован с </w:t>
            </w:r>
            <w:r w:rsidRPr="004713CA">
              <w:rPr>
                <w:rFonts w:ascii="Times New Roman" w:eastAsiaTheme="minorEastAsia" w:hAnsi="Times New Roman" w:cs="Times New Roman"/>
                <w:kern w:val="0"/>
                <w:sz w:val="20"/>
                <w:szCs w:val="20"/>
                <w:lang w:eastAsia="ru-RU"/>
              </w:rPr>
              <w:t xml:space="preserve"> </w:t>
            </w:r>
            <w:r>
              <w:rPr>
                <w:rFonts w:ascii="Times New Roman" w:eastAsiaTheme="minorEastAsia" w:hAnsi="Times New Roman" w:cs="Times New Roman"/>
                <w:kern w:val="0"/>
                <w:sz w:val="20"/>
                <w:szCs w:val="20"/>
                <w:lang w:eastAsia="ru-RU"/>
              </w:rPr>
              <w:t xml:space="preserve">584 тыс. руб. на </w:t>
            </w:r>
            <w:r w:rsidRPr="004713CA">
              <w:rPr>
                <w:rFonts w:ascii="Times New Roman" w:eastAsiaTheme="minorEastAsia" w:hAnsi="Times New Roman" w:cs="Times New Roman"/>
                <w:kern w:val="0"/>
                <w:sz w:val="20"/>
                <w:szCs w:val="20"/>
                <w:lang w:eastAsia="ru-RU"/>
              </w:rPr>
              <w:t xml:space="preserve">561 тыс. руб. </w:t>
            </w:r>
            <w:r>
              <w:rPr>
                <w:rFonts w:ascii="Times New Roman" w:eastAsiaTheme="minorEastAsia" w:hAnsi="Times New Roman" w:cs="Times New Roman"/>
                <w:kern w:val="0"/>
                <w:sz w:val="20"/>
                <w:szCs w:val="20"/>
                <w:lang w:eastAsia="ru-RU"/>
              </w:rPr>
              <w:t>в</w:t>
            </w:r>
            <w:r w:rsidR="004713CA" w:rsidRPr="004713CA">
              <w:rPr>
                <w:rFonts w:ascii="Times New Roman" w:eastAsiaTheme="minorEastAsia" w:hAnsi="Times New Roman" w:cs="Times New Roman"/>
                <w:kern w:val="0"/>
                <w:sz w:val="20"/>
                <w:szCs w:val="20"/>
                <w:lang w:eastAsia="ru-RU"/>
              </w:rPr>
              <w:t xml:space="preserve"> соответствии с решением Думы городского округа Тольятти от 25.12.2024 №</w:t>
            </w:r>
            <w:r w:rsidR="002B0355">
              <w:rPr>
                <w:rFonts w:ascii="Times New Roman" w:eastAsiaTheme="minorEastAsia" w:hAnsi="Times New Roman" w:cs="Times New Roman"/>
                <w:kern w:val="0"/>
                <w:sz w:val="20"/>
                <w:szCs w:val="20"/>
                <w:lang w:eastAsia="ru-RU"/>
              </w:rPr>
              <w:t> </w:t>
            </w:r>
            <w:r w:rsidR="004713CA" w:rsidRPr="004713CA">
              <w:rPr>
                <w:rFonts w:ascii="Times New Roman" w:eastAsiaTheme="minorEastAsia" w:hAnsi="Times New Roman" w:cs="Times New Roman"/>
                <w:kern w:val="0"/>
                <w:sz w:val="20"/>
                <w:szCs w:val="20"/>
                <w:lang w:eastAsia="ru-RU"/>
              </w:rPr>
              <w:t>394 «О внесении изменений в решение Думы городского округа Тольятти от 22.11.2023 №71 «О бюджете городского округа Тольятти на 2024 год и плановый период 2025 и 2026 годов</w:t>
            </w:r>
            <w:r>
              <w:rPr>
                <w:rFonts w:ascii="Times New Roman" w:eastAsiaTheme="minorEastAsia" w:hAnsi="Times New Roman" w:cs="Times New Roman"/>
                <w:kern w:val="0"/>
                <w:sz w:val="20"/>
                <w:szCs w:val="20"/>
                <w:lang w:eastAsia="ru-RU"/>
              </w:rPr>
              <w:t xml:space="preserve">. </w:t>
            </w:r>
            <w:r w:rsidR="004713CA" w:rsidRPr="004713CA">
              <w:rPr>
                <w:rFonts w:ascii="Times New Roman" w:eastAsiaTheme="minorEastAsia" w:hAnsi="Times New Roman" w:cs="Times New Roman"/>
                <w:kern w:val="0"/>
                <w:sz w:val="20"/>
                <w:szCs w:val="20"/>
                <w:lang w:eastAsia="ru-RU"/>
              </w:rPr>
              <w:br/>
              <w:t>Отклонение плановых значений обусловлено экономией, образовавшейся в результате проведения закупок конкурентным способом.</w:t>
            </w:r>
            <w:r w:rsidR="004713CA" w:rsidRPr="004713CA">
              <w:rPr>
                <w:rFonts w:ascii="Times New Roman" w:eastAsiaTheme="minorEastAsia" w:hAnsi="Times New Roman" w:cs="Times New Roman"/>
                <w:kern w:val="0"/>
                <w:sz w:val="20"/>
                <w:szCs w:val="20"/>
                <w:lang w:eastAsia="ru-RU"/>
              </w:rPr>
              <w:br/>
              <w:t>Освоение данных денежных средств осуществлялось в рамках муниципальной программы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2021-2025 годы».</w:t>
            </w:r>
            <w:r w:rsidR="004713CA" w:rsidRPr="004713CA">
              <w:rPr>
                <w:rFonts w:ascii="Times New Roman" w:eastAsiaTheme="minorEastAsia" w:hAnsi="Times New Roman" w:cs="Times New Roman"/>
                <w:kern w:val="0"/>
                <w:sz w:val="20"/>
                <w:szCs w:val="20"/>
                <w:lang w:eastAsia="ru-RU"/>
              </w:rPr>
              <w:br/>
              <w:t>Кассовое исполнение на 01.01.2025 года составило 557,6 тыс. руб. Запланированные мероприятия выполнены на 100% .</w:t>
            </w:r>
            <w:r w:rsidR="001E6505">
              <w:rPr>
                <w:rFonts w:ascii="Times New Roman" w:eastAsiaTheme="minorEastAsia" w:hAnsi="Times New Roman" w:cs="Times New Roman"/>
                <w:kern w:val="0"/>
                <w:sz w:val="20"/>
                <w:szCs w:val="20"/>
                <w:lang w:eastAsia="ru-RU"/>
              </w:rPr>
              <w:t xml:space="preserve"> </w:t>
            </w:r>
            <w:r w:rsidR="004713CA" w:rsidRPr="004713CA">
              <w:rPr>
                <w:rFonts w:ascii="Times New Roman" w:eastAsiaTheme="minorEastAsia" w:hAnsi="Times New Roman" w:cs="Times New Roman"/>
                <w:kern w:val="0"/>
                <w:sz w:val="20"/>
                <w:szCs w:val="20"/>
                <w:lang w:eastAsia="ru-RU"/>
              </w:rPr>
              <w:t>Отклонение вызвано экономией, полученной в результате проведения закупок конкурентным способом.</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пожаров, произошедших на объектах муниципальной собственности, а также: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28215D"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Отсутствию</w:t>
            </w:r>
            <w:r w:rsidR="004713CA" w:rsidRPr="004713CA">
              <w:rPr>
                <w:rFonts w:ascii="Times New Roman" w:eastAsiaTheme="minorEastAsia" w:hAnsi="Times New Roman" w:cs="Times New Roman"/>
                <w:kern w:val="0"/>
                <w:sz w:val="20"/>
                <w:szCs w:val="20"/>
                <w:lang w:eastAsia="ru-RU"/>
              </w:rPr>
              <w:t xml:space="preserve"> пожаров способствовала проведенная ранее профилактическая работа по усилению противопожарного режима</w:t>
            </w:r>
            <w:r>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количество погибших при пожарах;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1E6505"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травмированных при пожарах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1E6505"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16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народных дружин по охране общественного порядка, действующих в отчетный период, а также: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2C5211"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количество граждан, участвующих в них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0015DB" w:rsidRPr="004713CA" w:rsidRDefault="004713CA" w:rsidP="00EE53FD">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Народные дружины создаются по инициативе граждан Российской </w:t>
            </w:r>
            <w:r w:rsidR="002C5211">
              <w:rPr>
                <w:rFonts w:ascii="Times New Roman" w:eastAsiaTheme="minorEastAsia" w:hAnsi="Times New Roman" w:cs="Times New Roman"/>
                <w:kern w:val="0"/>
                <w:sz w:val="20"/>
                <w:szCs w:val="20"/>
                <w:lang w:eastAsia="ru-RU"/>
              </w:rPr>
              <w:t>Ф</w:t>
            </w:r>
            <w:r w:rsidRPr="004713CA">
              <w:rPr>
                <w:rFonts w:ascii="Times New Roman" w:eastAsiaTheme="minorEastAsia" w:hAnsi="Times New Roman" w:cs="Times New Roman"/>
                <w:kern w:val="0"/>
                <w:sz w:val="20"/>
                <w:szCs w:val="20"/>
                <w:lang w:eastAsia="ru-RU"/>
              </w:rPr>
              <w:t>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территориального органа Федерального органа исполнительной власти в сфере внутренних дел. Количество граждан, участвующих в охране общественного порядка, законодательством не регламентируется.</w:t>
            </w:r>
            <w:r w:rsidRPr="004713CA">
              <w:rPr>
                <w:rFonts w:ascii="Times New Roman" w:eastAsiaTheme="minorEastAsia" w:hAnsi="Times New Roman" w:cs="Times New Roman"/>
                <w:kern w:val="0"/>
                <w:sz w:val="20"/>
                <w:szCs w:val="20"/>
                <w:lang w:eastAsia="ru-RU"/>
              </w:rPr>
              <w:br/>
              <w:t>Данный критерий не является качественным показателем. Численный состав народной дружины позволил организовать работу в сфере профилактики правонарушений.</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выявленных нарушений антикоррупционного законодательства,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112,3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администрации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23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123,3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муниципальных учреждениях и предприятиях (далее – МУиП)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17.1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и доля работников, в отношении которых выявлены нарушения антикоррупционного законодательства,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213743">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r w:rsidR="0021374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 не более 17</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64/6,1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213743">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r w:rsidR="0021374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более 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73/6,3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w:t>
            </w:r>
            <w:r w:rsidRPr="00DF17CB">
              <w:rPr>
                <w:rFonts w:ascii="Times New Roman" w:eastAsiaTheme="minorEastAsia" w:hAnsi="Times New Roman" w:cs="Times New Roman"/>
                <w:kern w:val="0"/>
                <w:sz w:val="20"/>
                <w:szCs w:val="20"/>
                <w:lang w:eastAsia="ru-RU"/>
              </w:rPr>
              <w:t>/-10,7</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r w:rsidR="000F149D">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более 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114,1/103,3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Отклонение связано с большим количеством нарушений в предоставленных муниципальными служащими и руководителями муниципальных учреждений сведений о доходах, расходах, об имуществе и обязательствах имущественного характера за 2023 год.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администрации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не более 30/ </w:t>
            </w:r>
            <w:r w:rsidR="00A224F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более 17</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38/4,5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r w:rsidR="00A224F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более 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47/4,8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17/-12,2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более 30/</w:t>
            </w:r>
            <w:r w:rsidR="00A224F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более 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123,7/106,7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Отклонение связано с большим количеством нарушений в предоставленных муниципальными служащими и руководителями муниципальных учреждений сведений о доходах, расходах, об имуществе и обязательствах имущественного характера за 2023 год.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МУиП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26/13,3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26/13,9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100,0/104,5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17.2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уголовных дел, возбужденных в отношении работников за совершение коррупционных преступлений,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85,7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администрации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166,7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 Центральным межрайонным следственным отделом города Тольятти СУ СК России по Самарской области в отношении руководителя департамента дорожного хозяйства и транспорта администрации городского округа Тольятти 16.07.2024 возбуждено уголовное дело № 12401360002000245 по п.п. «г, е» ч. 3 ст. 286 УК РФ. 24.12.2024 соединено в одно производство с уголовным делом № 12402360032000409, возбужденным по ч. 1 ст.169 УК РФ, находится в производстве следственного отдела. (Трудовой договор расторгнут 02.08.2024).</w:t>
            </w:r>
            <w:r w:rsidRPr="004713CA">
              <w:rPr>
                <w:rFonts w:ascii="Times New Roman" w:eastAsiaTheme="minorEastAsia" w:hAnsi="Times New Roman" w:cs="Times New Roman"/>
                <w:kern w:val="0"/>
                <w:sz w:val="20"/>
                <w:szCs w:val="20"/>
                <w:lang w:eastAsia="ru-RU"/>
              </w:rPr>
              <w:br/>
              <w:t>2. Центральным межрайонным следственным отделом города Тольятти СУ СК России по Самарской области в отношении руководителя управления департамента градостроительной деятельности 17.09.2024 возбуждено уголовное дело № 12402360032000428 по п. «е» ч. 3 ст. 286 УК РФ. Уголовное дело находится в производстве следственного отдела.</w:t>
            </w:r>
            <w:r w:rsidRPr="004713CA">
              <w:rPr>
                <w:rFonts w:ascii="Times New Roman" w:eastAsiaTheme="minorEastAsia" w:hAnsi="Times New Roman" w:cs="Times New Roman"/>
                <w:kern w:val="0"/>
                <w:sz w:val="20"/>
                <w:szCs w:val="20"/>
                <w:lang w:eastAsia="ru-RU"/>
              </w:rPr>
              <w:br/>
              <w:t>3. Центральным межрайонным следственным отделом города Тольятти СУ СК России по Самарской области в отношении неустановленных лиц из числа сотрудников администрации в 2024 возбуждено уголовное дело № 12402360032000450 по ч. 1 ст. 293 УК РФ (халатность, по факту непринятия канализационной насосной станции в муниципальную собственность ЖК «Куба»);</w:t>
            </w:r>
            <w:r w:rsidRPr="004713CA">
              <w:rPr>
                <w:rFonts w:ascii="Times New Roman" w:eastAsiaTheme="minorEastAsia" w:hAnsi="Times New Roman" w:cs="Times New Roman"/>
                <w:kern w:val="0"/>
                <w:sz w:val="20"/>
                <w:szCs w:val="20"/>
                <w:lang w:eastAsia="ru-RU"/>
              </w:rPr>
              <w:br/>
              <w:t>4. Центральным межрайонным следственным отделом города Тольятти СУ СК России по Самарской области в отношении неустановленных лиц из числа сотрудников администрации 17.06.2024 возбуждено уголовное дело № 12402360032000356 по ч. 1 ст. 293 УК РФ (по факту ненадлежащего исполнения должностных обязанностей по организации мероприятий при осуществлении деятельности по отлову безнадзорных животных);</w:t>
            </w:r>
            <w:r w:rsidRPr="004713CA">
              <w:rPr>
                <w:rFonts w:ascii="Times New Roman" w:eastAsiaTheme="minorEastAsia" w:hAnsi="Times New Roman" w:cs="Times New Roman"/>
                <w:kern w:val="0"/>
                <w:sz w:val="20"/>
                <w:szCs w:val="20"/>
                <w:lang w:eastAsia="ru-RU"/>
              </w:rPr>
              <w:br/>
              <w:t>5. Центральным межрайонным следственным отделом города Тольятти СУ СК России по Самарской области в отношении неустановленных лиц из числа сотрудников администрации 13.09.2024 возбуждено уголовное дело № 12402360032000422 по ч. 2 ст. 169 УК РФ (по факту незаконного ограничения прав и законных интересов ООО «Стройсервис» (м/к по благоустройству «карманного парка»).</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МУиП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Отделом по расследованию преступлений, совершенных на территории Комсомольского района СУ У МВД России по г. Тольятти 28.06.2024 возбуждено уголовное дело № 12401360058000815 по ч. 3 ст. 159 УК РФ в отношении директора МБУ ДО «Икар» (иных сведений о ходе расследования не поступило, трудовой договор расторгнут с 31.07.2024).</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17.3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работников, осужденных за совершение коррупционных преступлений,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администрации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Приговором Центрального районного суда г. Тольятти от 16.08.2024, лицо, ранее замещавшее должность руководителя департамента городского хозяйства в администрации городского округа Тольятти, признано виновным в совершении преступлений, предусмотренных ст. 286 ч.1, 286 ч.1 УК РФ (превышение должностных полномочий: по факту направления документов о признании дерева сухостойным, а также изготовления аукционной документации на заключение муниципального контракта на благоустройство территории возле объекта стеллы-пано «Радость труда»). Трудовой договор с руководителем департамента городского хозяйства администрации городского округа Тольятти расторгнут с 15.05.2024. Лицу назначено наказание в виде лишения права занимать должности на государственной службе, в органах местного самоуправления, связанные с осуществлением функций представителя власти, организационно-распорядительных и административно-хозяйственных полномочий сроком на два года шесть месяцев. Приговор вступил в законную силу 03.09.2024.</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МУиП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 Центральным районным судом г. Тольятти 05.06.2024 в отношении руководителя МБУ детский сад № 46 </w:t>
            </w:r>
            <w:r w:rsidR="00EC1789">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Игрушка</w:t>
            </w:r>
            <w:r w:rsidR="00EC1789">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вынесен приговор по ч. 3 ст. 160 УК РФ (3 эпизода), определено наказание в виде 2 (двух) лет 1 (одного) месяца лишения свободы, на основании ст.73 УК РФ наказание считать условным. Приговор вступил в законную силу 12.08.2024.</w:t>
            </w:r>
            <w:r w:rsidRPr="004713CA">
              <w:rPr>
                <w:rFonts w:ascii="Times New Roman" w:eastAsiaTheme="minorEastAsia" w:hAnsi="Times New Roman" w:cs="Times New Roman"/>
                <w:kern w:val="0"/>
                <w:sz w:val="20"/>
                <w:szCs w:val="20"/>
                <w:lang w:eastAsia="ru-RU"/>
              </w:rPr>
              <w:br/>
              <w:t xml:space="preserve">2. Центральными районным судом г. Тольятти 03.06.2024 вынесен приговор в отношении главного бухгалтера МБУ детский сад № 46 </w:t>
            </w:r>
            <w:r w:rsidR="00EC1789">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Игрушка</w:t>
            </w:r>
            <w:r w:rsidR="00EC1789">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Лицо признано виновным в совершении преступлений, предусмотренных ч. 3 ст. 159 УК РФ (5 эпизодов - мошенничество, совершенное лицом с использованием служебного положения, а равно в крупном размере) и ч. 4 ст. 159 УК РФ (2 эпизода – мошенничество, совершенной группой, а равно в особо крупном размере). Приговор вступил в законную силу 11.12.2024.</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Социальная политика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18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Строка признана утратившей силу решением Думы городского округа Тольятти от 11.12.2019 №431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Культура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мероприятий в сфере культуры в рамках межрегионального и международного сотрудничества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Мероприятия по межрегиональному и международному сотрудничеству в 2024 </w:t>
            </w:r>
            <w:r w:rsidR="003935EA">
              <w:rPr>
                <w:rFonts w:ascii="Times New Roman" w:eastAsiaTheme="minorEastAsia" w:hAnsi="Times New Roman" w:cs="Times New Roman"/>
                <w:kern w:val="0"/>
                <w:sz w:val="20"/>
                <w:szCs w:val="20"/>
                <w:lang w:eastAsia="ru-RU"/>
              </w:rPr>
              <w:t>году в муниципальной программе «</w:t>
            </w:r>
            <w:r w:rsidRPr="004713CA">
              <w:rPr>
                <w:rFonts w:ascii="Times New Roman" w:eastAsiaTheme="minorEastAsia" w:hAnsi="Times New Roman" w:cs="Times New Roman"/>
                <w:kern w:val="0"/>
                <w:sz w:val="20"/>
                <w:szCs w:val="20"/>
                <w:lang w:eastAsia="ru-RU"/>
              </w:rPr>
              <w:t>Куль</w:t>
            </w:r>
            <w:r w:rsidR="003935EA">
              <w:rPr>
                <w:rFonts w:ascii="Times New Roman" w:eastAsiaTheme="minorEastAsia" w:hAnsi="Times New Roman" w:cs="Times New Roman"/>
                <w:kern w:val="0"/>
                <w:sz w:val="20"/>
                <w:szCs w:val="20"/>
                <w:lang w:eastAsia="ru-RU"/>
              </w:rPr>
              <w:t>тура Тольятти на 2024-2028 годы»</w:t>
            </w:r>
            <w:r w:rsidRPr="004713CA">
              <w:rPr>
                <w:rFonts w:ascii="Times New Roman" w:eastAsiaTheme="minorEastAsia" w:hAnsi="Times New Roman" w:cs="Times New Roman"/>
                <w:kern w:val="0"/>
                <w:sz w:val="20"/>
                <w:szCs w:val="20"/>
                <w:lang w:eastAsia="ru-RU"/>
              </w:rPr>
              <w:t xml:space="preserve"> не запланированы в связи с отсутствием бюджетных средств на эти цели.</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Уровень фактической обеспеченности учреждениями культуры в городском округе от нормативной потребности: </w:t>
            </w:r>
            <w:r w:rsidRPr="004713CA">
              <w:rPr>
                <w:rFonts w:ascii="Times New Roman" w:eastAsiaTheme="minorEastAsia" w:hAnsi="Times New Roman" w:cs="Times New Roman"/>
                <w:kern w:val="0"/>
                <w:sz w:val="20"/>
                <w:szCs w:val="20"/>
                <w:lang w:eastAsia="ru-RU"/>
              </w:rPr>
              <w:br/>
              <w:t xml:space="preserve">- библиотеками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64,2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64,2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-11,0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82,9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расчете показателя учитывались 43 общедоступных библиотеки (28 библиотек МБУК </w:t>
            </w:r>
            <w:r w:rsidR="008D6580">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Библиотеки Тольятти</w:t>
            </w:r>
            <w:r w:rsidR="008D6580">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Библиотека МАУ </w:t>
            </w:r>
            <w:r w:rsidR="008D6580">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КЦ </w:t>
            </w:r>
            <w:r w:rsidR="008D6580">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Автоград</w:t>
            </w:r>
            <w:r w:rsidR="008D6580">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14 детских библиотек). Уменьшение показателя связано с изменением расчета показателя по уровню обеспеченности населения учреждениями культуры, установленными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от 23.10.2023 № Р-2879.</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культурно-досуговыми учреждениями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2F5B7A" w:rsidRPr="004713CA" w:rsidRDefault="004713CA" w:rsidP="008E4D79">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по уровню обеспеченности населения учреждениями культуры установлен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от 23.10.2023 № Р-2879.</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посещений социокультурных мероприятий на территории городского округа, проводимых муниципальными учреждениями культуры и искусства, на 1 000 человек населения: </w:t>
            </w:r>
            <w:r w:rsidRPr="004713CA">
              <w:rPr>
                <w:rFonts w:ascii="Times New Roman" w:eastAsiaTheme="minorEastAsia" w:hAnsi="Times New Roman" w:cs="Times New Roman"/>
                <w:kern w:val="0"/>
                <w:sz w:val="20"/>
                <w:szCs w:val="20"/>
                <w:lang w:eastAsia="ru-RU"/>
              </w:rPr>
              <w:br/>
              <w:t xml:space="preserve">- библиотеками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3907,2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3907,2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4206,5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299,3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3907,2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107,7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AC5C9D"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культурно-досуговыми учреждениями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1030,1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1030,1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1080,7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50,6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1030,1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104,9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62756F"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музеями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536,4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536,4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551,9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15,5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536,4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102,9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after="0" w:line="240" w:lineRule="auto"/>
              <w:rPr>
                <w:rFonts w:ascii="Times New Roman" w:eastAsiaTheme="minorEastAsia" w:hAnsi="Times New Roman" w:cs="Times New Roman"/>
                <w:kern w:val="0"/>
                <w:sz w:val="24"/>
                <w:szCs w:val="24"/>
                <w:lang w:eastAsia="ru-RU"/>
              </w:rPr>
            </w:pP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театрально-концертными учреждениями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417,4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102,1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62756F"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22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Строка признана утратившей силу решением Думы городского округа Тольятти от 11.12.2019 №431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клубных формирований в муниципальных учреждениях отрасли «Культура»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62756F"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участников клубных формирований в муниципальных учреждениях отрасли «Культура»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1618F"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1618F">
              <w:rPr>
                <w:rFonts w:ascii="Times New Roman" w:eastAsiaTheme="minorEastAsia" w:hAnsi="Times New Roman" w:cs="Times New Roman"/>
                <w:kern w:val="0"/>
                <w:sz w:val="20"/>
                <w:szCs w:val="20"/>
                <w:lang w:eastAsia="ru-RU"/>
              </w:rPr>
              <w:t>1700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1618F"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1618F">
              <w:rPr>
                <w:rFonts w:ascii="Times New Roman" w:eastAsiaTheme="minorEastAsia" w:hAnsi="Times New Roman" w:cs="Times New Roman"/>
                <w:kern w:val="0"/>
                <w:sz w:val="20"/>
                <w:szCs w:val="20"/>
                <w:lang w:eastAsia="ru-RU"/>
              </w:rPr>
              <w:t>1638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1674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1688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1618F"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98,5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2B0355"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планового показателя (количество участников клубных формирований) на 202</w:t>
            </w:r>
            <w:r w:rsidR="002B0355" w:rsidRPr="002B0355">
              <w:rPr>
                <w:rFonts w:ascii="Times New Roman" w:eastAsiaTheme="minorEastAsia" w:hAnsi="Times New Roman" w:cs="Times New Roman"/>
                <w:kern w:val="0"/>
                <w:sz w:val="20"/>
                <w:szCs w:val="20"/>
                <w:lang w:eastAsia="ru-RU"/>
              </w:rPr>
              <w:t>4</w:t>
            </w:r>
            <w:r w:rsidRPr="004713CA">
              <w:rPr>
                <w:rFonts w:ascii="Times New Roman" w:eastAsiaTheme="minorEastAsia" w:hAnsi="Times New Roman" w:cs="Times New Roman"/>
                <w:kern w:val="0"/>
                <w:sz w:val="20"/>
                <w:szCs w:val="20"/>
                <w:lang w:eastAsia="ru-RU"/>
              </w:rPr>
              <w:t xml:space="preserve"> год связано с наличием дополнительных платных услуг в клубных формированиях учреждений культуры</w:t>
            </w:r>
            <w:r w:rsidR="002B0355">
              <w:rPr>
                <w:rFonts w:ascii="Times New Roman" w:eastAsiaTheme="minorEastAsia" w:hAnsi="Times New Roman" w:cs="Times New Roman"/>
                <w:kern w:val="0"/>
                <w:sz w:val="20"/>
                <w:szCs w:val="20"/>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Среднемесячная номинальная начисленная заработная плата работников муниципальных учреждений отрасли «Культура» (учреждений культуры и искусства, а также учреждений дополнительного образования отрасли «Культура»), в том числе по категориям персонала: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3,4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55,6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0B0179">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Плановый показатель на 2024 год </w:t>
            </w:r>
            <w:r w:rsidR="000B0179">
              <w:rPr>
                <w:rFonts w:ascii="Times New Roman" w:eastAsiaTheme="minorEastAsia" w:hAnsi="Times New Roman" w:cs="Times New Roman"/>
                <w:kern w:val="0"/>
                <w:sz w:val="20"/>
                <w:szCs w:val="20"/>
                <w:lang w:eastAsia="ru-RU"/>
              </w:rPr>
              <w:t>скорректирован</w:t>
            </w:r>
            <w:r w:rsidRPr="004713CA">
              <w:rPr>
                <w:rFonts w:ascii="Times New Roman" w:eastAsiaTheme="minorEastAsia" w:hAnsi="Times New Roman" w:cs="Times New Roman"/>
                <w:kern w:val="0"/>
                <w:sz w:val="20"/>
                <w:szCs w:val="20"/>
                <w:lang w:eastAsia="ru-RU"/>
              </w:rPr>
              <w:t xml:space="preserve"> (с 43,7 до 47,6) в соответствии с решениями Думы городского округа Тольятти от 10.04.2024 № 172, от 25.09.2024 № 287, от 27.11.</w:t>
            </w:r>
            <w:r w:rsidRPr="002B0355">
              <w:rPr>
                <w:rFonts w:ascii="Times New Roman" w:eastAsiaTheme="minorEastAsia" w:hAnsi="Times New Roman" w:cs="Times New Roman"/>
                <w:kern w:val="0"/>
                <w:sz w:val="20"/>
                <w:szCs w:val="20"/>
                <w:lang w:eastAsia="ru-RU"/>
              </w:rPr>
              <w:t>2024 № 363.</w:t>
            </w:r>
            <w:r w:rsidRPr="002B0355">
              <w:rPr>
                <w:rFonts w:ascii="Times New Roman" w:eastAsiaTheme="minorEastAsia" w:hAnsi="Times New Roman" w:cs="Times New Roman"/>
                <w:kern w:val="0"/>
                <w:sz w:val="20"/>
                <w:szCs w:val="20"/>
                <w:lang w:eastAsia="ru-RU"/>
              </w:rPr>
              <w:br/>
              <w:t>Отклонение фактического значения от плана связано со снижением фактической средней численности работников учреждений культуры по сравнению с плановым значением, определенным «дорожной картой»</w:t>
            </w:r>
            <w:r w:rsidR="0062756F" w:rsidRPr="002B0355">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административно-управленческого персонала (руководители учреждения, структурных подразделений и их заместители)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50,6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60,4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4,4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57,8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119,4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на 2024 год откорректирован (с 49 до 56</w:t>
            </w:r>
            <w:r w:rsidR="002B0355">
              <w:rPr>
                <w:rFonts w:ascii="Times New Roman" w:eastAsiaTheme="minorEastAsia" w:hAnsi="Times New Roman" w:cs="Times New Roman"/>
                <w:kern w:val="0"/>
                <w:sz w:val="20"/>
                <w:szCs w:val="20"/>
                <w:lang w:eastAsia="ru-RU"/>
              </w:rPr>
              <w:t>,0</w:t>
            </w:r>
            <w:r w:rsidRPr="004713CA">
              <w:rPr>
                <w:rFonts w:ascii="Times New Roman" w:eastAsiaTheme="minorEastAsia" w:hAnsi="Times New Roman" w:cs="Times New Roman"/>
                <w:kern w:val="0"/>
                <w:sz w:val="20"/>
                <w:szCs w:val="20"/>
                <w:lang w:eastAsia="ru-RU"/>
              </w:rPr>
              <w:t>) в соответствии с решениями Думы городского округа Тольятти от 10.04.2024 № 172, от 25.09.2024 № 287, от 27.11.2024 № 363.</w:t>
            </w:r>
            <w:r w:rsidRPr="004713CA">
              <w:rPr>
                <w:rFonts w:ascii="Times New Roman" w:eastAsiaTheme="minorEastAsia" w:hAnsi="Times New Roman" w:cs="Times New Roman"/>
                <w:kern w:val="0"/>
                <w:sz w:val="20"/>
                <w:szCs w:val="20"/>
                <w:lang w:eastAsia="ru-RU"/>
              </w:rPr>
              <w:br/>
              <w:t>Отклонение фактического значения от плана связано со снижением фактической средней численности работников учреждений культуры по сравнению с плановым значением, определенным «дорожной картой»</w:t>
            </w:r>
            <w:r w:rsidR="0062756F">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на квалифицированных должностях по обеспечению основной деятельности в соответствии с целями создания учреждения (в том числе педагогические работники)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48,3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51,5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119,5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на 2024 год откорректирован (с 44,8 до 48,3) в соответствии с решениями Думы городского округа Тольятти от 10.04.2024 № 172, от 25.09.2024 № 287, от 27.11.2024 № 363.</w:t>
            </w:r>
            <w:r w:rsidRPr="004713CA">
              <w:rPr>
                <w:rFonts w:ascii="Times New Roman" w:eastAsiaTheme="minorEastAsia" w:hAnsi="Times New Roman" w:cs="Times New Roman"/>
                <w:kern w:val="0"/>
                <w:sz w:val="20"/>
                <w:szCs w:val="20"/>
                <w:lang w:eastAsia="ru-RU"/>
              </w:rPr>
              <w:br/>
              <w:t>Отклонение фактического значения от плана связано со снижением фактической средней численности работников учреждений культуры по сравнению с плановым значением, определенным «дорожной картой»</w:t>
            </w:r>
            <w:r w:rsidR="0062756F">
              <w:rPr>
                <w:rFonts w:ascii="Times New Roman" w:eastAsiaTheme="minorEastAsia" w:hAnsi="Times New Roman" w:cs="Times New Roman"/>
                <w:kern w:val="0"/>
                <w:sz w:val="20"/>
                <w:szCs w:val="20"/>
                <w:lang w:eastAsia="ru-RU"/>
              </w:rPr>
              <w:t>.</w:t>
            </w:r>
          </w:p>
        </w:tc>
      </w:tr>
      <w:tr w:rsidR="004713CA"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Строка исключена решением Думы городского округа Тольятти от 21.09.2016 № 1173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младшего обеспечивающего персонала (работники на должностях низкой квалификации по обеспечению деятельности учреждения)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27,9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122,0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на 2024 год откорректирован (с 25,3 до 27,9) в соответствии с решениями Думы городского округа Тольятти от 10.04.2024 № 172, от 25.09.2024 № 287, от 27.11.2024 № 363.</w:t>
            </w:r>
            <w:r w:rsidRPr="004713CA">
              <w:rPr>
                <w:rFonts w:ascii="Times New Roman" w:eastAsiaTheme="minorEastAsia" w:hAnsi="Times New Roman" w:cs="Times New Roman"/>
                <w:kern w:val="0"/>
                <w:sz w:val="20"/>
                <w:szCs w:val="20"/>
                <w:lang w:eastAsia="ru-RU"/>
              </w:rPr>
              <w:br/>
              <w:t>Отклонение фактического значения от плана связано со снижением фактической средней численности работников учреждений культуры по сравнению с плановым значением, определенным «дорожной картой»</w:t>
            </w:r>
            <w:r w:rsidR="0062756F">
              <w:rPr>
                <w:rFonts w:ascii="Times New Roman" w:eastAsiaTheme="minorEastAsia" w:hAnsi="Times New Roman" w:cs="Times New Roman"/>
                <w:kern w:val="0"/>
                <w:sz w:val="20"/>
                <w:szCs w:val="20"/>
                <w:lang w:eastAsia="ru-RU"/>
              </w:rPr>
              <w:t>.</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Физическая культура и спорт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26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населения, систематически занимающегося физической культурой и спортом, от общей численности населения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55,6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55,8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57,8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104,9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учитывает количество населения в возрасте 3-79 лет – 627659 чел., количество систематически занимающихся физической культурой и спортом – 350234 чел.</w:t>
            </w:r>
            <w:r w:rsidRPr="004713CA">
              <w:rPr>
                <w:rFonts w:ascii="Times New Roman" w:eastAsiaTheme="minorEastAsia" w:hAnsi="Times New Roman" w:cs="Times New Roman"/>
                <w:kern w:val="0"/>
                <w:sz w:val="20"/>
                <w:szCs w:val="20"/>
                <w:lang w:eastAsia="ru-RU"/>
              </w:rPr>
              <w:br/>
              <w:t xml:space="preserve">Плановое значение показателя на 2024 год скорректировано с 55,3% до 55,6% в соответствии с письмом </w:t>
            </w:r>
            <w:r w:rsidR="0062756F">
              <w:rPr>
                <w:rFonts w:ascii="Times New Roman" w:eastAsiaTheme="minorEastAsia" w:hAnsi="Times New Roman" w:cs="Times New Roman"/>
                <w:kern w:val="0"/>
                <w:sz w:val="20"/>
                <w:szCs w:val="20"/>
                <w:lang w:eastAsia="ru-RU"/>
              </w:rPr>
              <w:t>м</w:t>
            </w:r>
            <w:r w:rsidRPr="004713CA">
              <w:rPr>
                <w:rFonts w:ascii="Times New Roman" w:eastAsiaTheme="minorEastAsia" w:hAnsi="Times New Roman" w:cs="Times New Roman"/>
                <w:kern w:val="0"/>
                <w:sz w:val="20"/>
                <w:szCs w:val="20"/>
                <w:lang w:eastAsia="ru-RU"/>
              </w:rPr>
              <w:t>инистерства спорта Самарской области (от 29.02.2024г. № МСП/533-исх) о доведении плановых значений показателей на 2024 год для муниципальных образований Самарской области.</w:t>
            </w:r>
            <w:r w:rsidRPr="004713CA">
              <w:rPr>
                <w:rFonts w:ascii="Times New Roman" w:eastAsiaTheme="minorEastAsia" w:hAnsi="Times New Roman" w:cs="Times New Roman"/>
                <w:kern w:val="0"/>
                <w:sz w:val="20"/>
                <w:szCs w:val="20"/>
                <w:lang w:eastAsia="ru-RU"/>
              </w:rPr>
              <w:br/>
              <w:t xml:space="preserve">Увеличение фактического значения показателя от планового связано с ростом занимающихся в отдельных видах организаций и привлечением к федеральному статистическому наблюдению по форме № 1-ФК «Сведения о физической культуре и спорте» открытых или созданных в течение 2024 года организаций различных организационно-правовых форм и форм собственности (спортивные клубы, федерации, фитнес-центры, ООО и ИП и т.д.), осуществляющих работу в сфере физической культуры и спорта, а также организаций осуществляющих деятельность в сфере хореографии (танцы). </w:t>
            </w:r>
            <w:r w:rsidRPr="004713CA">
              <w:rPr>
                <w:rFonts w:ascii="Times New Roman" w:eastAsiaTheme="minorEastAsia" w:hAnsi="Times New Roman" w:cs="Times New Roman"/>
                <w:kern w:val="0"/>
                <w:sz w:val="20"/>
                <w:szCs w:val="20"/>
                <w:lang w:eastAsia="ru-RU"/>
              </w:rPr>
              <w:br/>
              <w:t xml:space="preserve">Плановое значение показателя на 2025 год доведено до муниципальных образований </w:t>
            </w:r>
            <w:r w:rsidR="0062756F">
              <w:rPr>
                <w:rFonts w:ascii="Times New Roman" w:eastAsiaTheme="minorEastAsia" w:hAnsi="Times New Roman" w:cs="Times New Roman"/>
                <w:kern w:val="0"/>
                <w:sz w:val="20"/>
                <w:szCs w:val="20"/>
                <w:lang w:eastAsia="ru-RU"/>
              </w:rPr>
              <w:t>м</w:t>
            </w:r>
            <w:r w:rsidRPr="004713CA">
              <w:rPr>
                <w:rFonts w:ascii="Times New Roman" w:eastAsiaTheme="minorEastAsia" w:hAnsi="Times New Roman" w:cs="Times New Roman"/>
                <w:kern w:val="0"/>
                <w:sz w:val="20"/>
                <w:szCs w:val="20"/>
                <w:lang w:eastAsia="ru-RU"/>
              </w:rPr>
              <w:t>инистерством спорта Самарской области (от 02.10.2023 № МСП/2426-исх), возможно уточнение по итогам сбора за 2024 год федерального статистического наблюдения по форме № 1-ФК.</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27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Строка признана утратившей силу решением Думы городского округа Тольятти от 11.12.2019 №</w:t>
            </w:r>
            <w:r w:rsidR="0062756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431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Уровень фактической обеспеченности населения объектами спорта от нормативной потребности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124,6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Уровень фактической обеспеченности населения объектами определяется согласно приказу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Обеспеченность объектами спорта рассчитывается через процентное соотношение величины пропускной способности существующих спортивных сооружений к величине нормативной пропускной способности исходя из численности населения, где количество населения в возрасте 3-79 лет - </w:t>
            </w:r>
            <w:r w:rsidR="0062756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627 659 чел., нормативная обеспеченность – 76 574 чел., а фактическая единовременная пропускная способность за 2024 год - 33 396 чел.</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официальных физкультурно-оздоровительных и спортивных мероприятий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98,0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Данный показатель учитывает мероприятия Календарного плана физкультурных мероприятий и спортивных мероприятий городского округа Тольятти, а также мероприятия, проведенные по разрешительным бланкам.</w:t>
            </w:r>
            <w:r w:rsidRPr="004713CA">
              <w:rPr>
                <w:rFonts w:ascii="Times New Roman" w:eastAsiaTheme="minorEastAsia" w:hAnsi="Times New Roman" w:cs="Times New Roman"/>
                <w:kern w:val="0"/>
                <w:sz w:val="20"/>
                <w:szCs w:val="20"/>
                <w:lang w:eastAsia="ru-RU"/>
              </w:rPr>
              <w:br/>
              <w:t>Уменьшение количества запланированных мероприятий связано с отказом организаторов (физкультурно-спортивных организаций) от проведения мероприятий. Несмотря на уменьшение количества мероприятий, количественный показатель принявших участие в мероприятиях увеличился на 1,6% и составляет 138 544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что подтверждает качество проведения мероприятий.</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Среднемесячная номинальная начисленная заработная плата работников муниципальных учреждений отрасли «Физическая культура и спорт» (учреждений спорта, а также учреждений дополнительного образования отрасли «Физическая культура и спорт»), в том числе по категориям персонала: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-0,4</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57,9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119,7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Значение планового показателя на 2024 год скорректировано с 37,6 до 41,8 относительно данных указанных в отчете за 2023 год в связи с выделением дополнительных средств на единовременные выплаты работникам муниципальных бюджетных учреждений, на индексацию заработной платы, на доведение заработной платы до минимального размера оплаты труда работникам муниципальных бюджетных учреждений, а также на доведение средней заработной платы педагогическим работникам до уровня средней заработной платы учителей по региону. Уменьшение фактического показателя среднемесячной номинальной начисленной заработной платы по сравнению с плановым связано с кадровыми изменениями в учреждениях, находящихся в ведомственном подчинении управления физической культуры и спорта администрации городского округа Тольятти (принятие, увольнение сотрудников), а также с перераспределением ФОТ (211 КОСГУ) на оплату листов временной нетрудоспособности работников учреждений (266 КОСГУ).</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административно-управленческого персонала (руководители учреждения, структурных подразделений и их заместители)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80,9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79,8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124,1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Значение планового показателя на 2024 год скорректировано с 74,4 до 80,9 относительно данных указанных в отчете за 2023 год в связи с выделением дополнительных средств на единовременные выплаты работникам муниципальных бюджетных учреждений, на индексацию заработной платы работникам муниципальных бюджетных учреждений. Уменьшение фактического показателя среднемесячной номинальной начисленной заработной платы по сравнению с плановым связано с кадровыми изменениями в учреждениях, находящихся в ведомственном подчинении управления физической культуры и спорта администрации городского округа Тольятти (принятие, увольнение сотрудников), а также с перераспределением ФОТ (211 КОСГУ) на оплату листов временной нетрудоспособности работников учреждений (266 КОСГУ).</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на квалифицированных должностях по обеспечению основной деятельности в соответствии с целями создания учреждения (в том числе педагогические работники)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118,7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Значение планового показателя на 2024 год скорректировано с 47 до 52,1 относительно данных указанных в отчете за 2023 год в связи с выделением дополнительных средств на доведение средней заработной платы педагогическим работникам до уровня средней заработной платы учителей по региону. Сохранение достигнутого соотношения между уровнем оплаты труда отдельных категорий работников бюджетной сферы, предусмотренных указами Президента </w:t>
            </w:r>
            <w:r w:rsidR="009600B6">
              <w:rPr>
                <w:rFonts w:ascii="Times New Roman" w:eastAsiaTheme="minorEastAsia" w:hAnsi="Times New Roman" w:cs="Times New Roman"/>
                <w:kern w:val="0"/>
                <w:sz w:val="20"/>
                <w:szCs w:val="20"/>
                <w:lang w:eastAsia="ru-RU"/>
              </w:rPr>
              <w:t>РФ</w:t>
            </w:r>
            <w:r w:rsidRPr="004713CA">
              <w:rPr>
                <w:rFonts w:ascii="Times New Roman" w:eastAsiaTheme="minorEastAsia" w:hAnsi="Times New Roman" w:cs="Times New Roman"/>
                <w:kern w:val="0"/>
                <w:sz w:val="20"/>
                <w:szCs w:val="20"/>
                <w:lang w:eastAsia="ru-RU"/>
              </w:rPr>
              <w:t xml:space="preserve"> от 07.05.2012 № 597, от 01.06.2012 № 761 и уровнем среднемесячного дохода от трудовой деятельности в Самарской области обеспечено. Фактическая средняя заработная плата педагогических работников дополнительного образования муниципальных учреждений, находящихся в ведомственном подчинении управления физической культуры и спорта администрации городского округа Тольятти, по состоянию на 01.01.2025 составила 54690,1 руб., при уровне средней заработной платы учителей по региону – 54325 руб. (письмо Мин</w:t>
            </w:r>
            <w:r w:rsidR="008E4D79">
              <w:rPr>
                <w:rFonts w:ascii="Times New Roman" w:eastAsiaTheme="minorEastAsia" w:hAnsi="Times New Roman" w:cs="Times New Roman"/>
                <w:kern w:val="0"/>
                <w:sz w:val="20"/>
                <w:szCs w:val="20"/>
                <w:lang w:eastAsia="ru-RU"/>
              </w:rPr>
              <w:t xml:space="preserve">истерства </w:t>
            </w:r>
            <w:r w:rsidRPr="004713CA">
              <w:rPr>
                <w:rFonts w:ascii="Times New Roman" w:eastAsiaTheme="minorEastAsia" w:hAnsi="Times New Roman" w:cs="Times New Roman"/>
                <w:kern w:val="0"/>
                <w:sz w:val="20"/>
                <w:szCs w:val="20"/>
                <w:lang w:eastAsia="ru-RU"/>
              </w:rPr>
              <w:t>Обр</w:t>
            </w:r>
            <w:r w:rsidR="008E4D79">
              <w:rPr>
                <w:rFonts w:ascii="Times New Roman" w:eastAsiaTheme="minorEastAsia" w:hAnsi="Times New Roman" w:cs="Times New Roman"/>
                <w:kern w:val="0"/>
                <w:sz w:val="20"/>
                <w:szCs w:val="20"/>
                <w:lang w:eastAsia="ru-RU"/>
              </w:rPr>
              <w:t>азования</w:t>
            </w:r>
            <w:r w:rsidRPr="004713CA">
              <w:rPr>
                <w:rFonts w:ascii="Times New Roman" w:eastAsiaTheme="minorEastAsia" w:hAnsi="Times New Roman" w:cs="Times New Roman"/>
                <w:kern w:val="0"/>
                <w:sz w:val="20"/>
                <w:szCs w:val="20"/>
                <w:lang w:eastAsia="ru-RU"/>
              </w:rPr>
              <w:t xml:space="preserve"> СО от 07.11.2024 № МО/6115-вн.). Указ Президента РФ выполнен на 100,7%.</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старшего обеспечивающего персонала (работники на квалифицированных должностях по обеспечению деятельности учреждения)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-0,8</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124,0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Значение планового показателя на 2024 год скорректировано с 39,6 до 43,7 относительно данных</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указанных в отчете за 2023 год</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связи с выделением дополнительных средств на единовременные выплаты работникам муниципальных бюджетных учреждений</w:t>
            </w:r>
            <w:r w:rsidR="0062756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на индексацию заработной платы, на доведение заработной платы до минимального размера оплаты труда работникам муниципальных бюджетных учреждений. Уменьшение фактического показателя среднемесячной номинальной начисленной заработной платы по сравнению с плановым связано с кадровыми изменениями в учреждениях, находящихся в ведомственном подчинении управления физической культуры и спорта администрации городского округа Тольятти (принятие, увольнение сотрудников), а также с перераспределением ФОТ (211 КОСГУ) на оплату листов временной нетрудоспособности работников учреждений (266 КОСГУ).</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младшего обеспечивающего персонала (работники на должностях низкой квалификации по обеспечению деятельности учреждения)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-0,6</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117,1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Значение планового показателя на 2024 год скорректировано с 31,2 до 30</w:t>
            </w:r>
            <w:r w:rsidR="009600B6">
              <w:rPr>
                <w:rFonts w:ascii="Times New Roman" w:eastAsiaTheme="minorEastAsia" w:hAnsi="Times New Roman" w:cs="Times New Roman"/>
                <w:kern w:val="0"/>
                <w:sz w:val="20"/>
                <w:szCs w:val="20"/>
                <w:lang w:eastAsia="ru-RU"/>
              </w:rPr>
              <w:t>,0</w:t>
            </w:r>
            <w:r w:rsidRPr="004713CA">
              <w:rPr>
                <w:rFonts w:ascii="Times New Roman" w:eastAsiaTheme="minorEastAsia" w:hAnsi="Times New Roman" w:cs="Times New Roman"/>
                <w:kern w:val="0"/>
                <w:sz w:val="20"/>
                <w:szCs w:val="20"/>
                <w:lang w:eastAsia="ru-RU"/>
              </w:rPr>
              <w:t xml:space="preserve"> относительно данных указанных в отчете за 2023 год в связи с кадровыми изменениями в учреждениях, находящихся в ведомственном подчинении управления физической культуры и спорта администрации городского округа Тольятти(принятие, увольнение сотрудников), а также с перераспределением ФОТ (211 КОСГУ) на оплату листов временной нетрудоспособности работников учреждений (266 КОСГУ).</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Молодежная политика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31 </w:t>
            </w:r>
          </w:p>
        </w:tc>
        <w:tc>
          <w:tcPr>
            <w:tcW w:w="2551" w:type="dxa"/>
            <w:tcBorders>
              <w:top w:val="outset" w:sz="6" w:space="0" w:color="000000"/>
              <w:left w:val="outset" w:sz="6" w:space="0" w:color="000000"/>
              <w:bottom w:val="outset" w:sz="6" w:space="0" w:color="000000"/>
              <w:right w:val="outset" w:sz="6" w:space="0" w:color="000000"/>
            </w:tcBorders>
            <w:hideMark/>
          </w:tcPr>
          <w:p w:rsidR="008E4D79"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Доля фактически созданных временных рабочих мест для несовершеннолетних граждан в возрасте от 14 до 18 лет от расчетного количества рабочих мест, организуемых в отрасли «Молодежная политика»</w:t>
            </w:r>
          </w:p>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w:t>
            </w: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2,7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Доля фактически созданных временных рабочих мест для несовершеннолетних граждан в возрасте от 14 до 18 лет (1910 рабочих мест) от расчетного количества рабочих мест (1878 рабочих мест), организуемых по отрасли «Молодежная политика», по итогам 2024 года составила 101,7%, что на 2,7 процентных пункта больше планового значения показателя на 2024 год (99</w:t>
            </w:r>
            <w:r w:rsidR="006D123F">
              <w:rPr>
                <w:rFonts w:ascii="Times New Roman" w:eastAsiaTheme="minorEastAsia" w:hAnsi="Times New Roman" w:cs="Times New Roman"/>
                <w:kern w:val="0"/>
                <w:sz w:val="20"/>
                <w:szCs w:val="20"/>
                <w:lang w:eastAsia="ru-RU"/>
              </w:rPr>
              <w:t>,0</w:t>
            </w:r>
            <w:r w:rsidRPr="004713CA">
              <w:rPr>
                <w:rFonts w:ascii="Times New Roman" w:eastAsiaTheme="minorEastAsia" w:hAnsi="Times New Roman" w:cs="Times New Roman"/>
                <w:kern w:val="0"/>
                <w:sz w:val="20"/>
                <w:szCs w:val="20"/>
                <w:lang w:eastAsia="ru-RU"/>
              </w:rPr>
              <w:t>%) и на 0,4 процентных пункта больше значения показателя за 2023 год (101,3%)</w:t>
            </w:r>
            <w:r w:rsidR="008E4D79">
              <w:rPr>
                <w:rFonts w:ascii="Times New Roman" w:eastAsiaTheme="minorEastAsia" w:hAnsi="Times New Roman" w:cs="Times New Roman"/>
                <w:kern w:val="0"/>
                <w:sz w:val="20"/>
                <w:szCs w:val="20"/>
                <w:lang w:eastAsia="ru-RU"/>
              </w:rPr>
              <w:t>.</w:t>
            </w:r>
          </w:p>
          <w:p w:rsidR="002F5B7A" w:rsidRPr="004713CA" w:rsidRDefault="002F5B7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Образование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детей в возрасте от 1,5 до 3 лет, осваивающих образовательные программы дошкольного образования и (или) находящихся под присмотром и уходом в организациях различной организационно-правовой формы и формы собственности, в общей численности детей от </w:t>
            </w:r>
            <w:r w:rsidRPr="004713CA">
              <w:rPr>
                <w:rFonts w:ascii="Times New Roman" w:eastAsiaTheme="minorEastAsia" w:hAnsi="Times New Roman" w:cs="Times New Roman"/>
                <w:kern w:val="0"/>
                <w:sz w:val="20"/>
                <w:szCs w:val="20"/>
                <w:lang w:eastAsia="ru-RU"/>
              </w:rPr>
              <w:br/>
              <w:t xml:space="preserve">1,5 до 3 лет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35,0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14,1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Увеличение фактического значения показателя за 2024 год по сравнению с плановым значением на 2024 год связано с достижением 100% доступности дошкольного образования для детей от 1,5 до 3 лет в городском округе Тольятти. Наблюдается незначительное снижение данного показателя по отношению к 2023 году на 0,4% по причине снижения количества организованных детей в возрасте от 1,5 до 3 лет на 425 чел. (2023 – 4458 чел.; 2024 – 4033 чел.), а также снижения количества детей данной возрастной категории на территории городского округа Тольятти на 820 чел. (2023</w:t>
            </w:r>
            <w:r w:rsidR="002F5B7A">
              <w:rPr>
                <w:rFonts w:ascii="Times New Roman" w:eastAsiaTheme="minorEastAsia" w:hAnsi="Times New Roman" w:cs="Times New Roman"/>
                <w:kern w:val="0"/>
                <w:sz w:val="20"/>
                <w:szCs w:val="20"/>
                <w:lang w:eastAsia="ru-RU"/>
              </w:rPr>
              <w:t xml:space="preserve"> год</w:t>
            </w:r>
            <w:r w:rsidRPr="004713CA">
              <w:rPr>
                <w:rFonts w:ascii="Times New Roman" w:eastAsiaTheme="minorEastAsia" w:hAnsi="Times New Roman" w:cs="Times New Roman"/>
                <w:kern w:val="0"/>
                <w:sz w:val="20"/>
                <w:szCs w:val="20"/>
                <w:lang w:eastAsia="ru-RU"/>
              </w:rPr>
              <w:t xml:space="preserve"> – 9036 чел.; 2024 </w:t>
            </w:r>
            <w:r w:rsidR="002F5B7A">
              <w:rPr>
                <w:rFonts w:ascii="Times New Roman" w:eastAsiaTheme="minorEastAsia" w:hAnsi="Times New Roman" w:cs="Times New Roman"/>
                <w:kern w:val="0"/>
                <w:sz w:val="20"/>
                <w:szCs w:val="20"/>
                <w:lang w:eastAsia="ru-RU"/>
              </w:rPr>
              <w:t xml:space="preserve">год </w:t>
            </w:r>
            <w:r w:rsidRPr="004713CA">
              <w:rPr>
                <w:rFonts w:ascii="Times New Roman" w:eastAsiaTheme="minorEastAsia" w:hAnsi="Times New Roman" w:cs="Times New Roman"/>
                <w:kern w:val="0"/>
                <w:sz w:val="20"/>
                <w:szCs w:val="20"/>
                <w:lang w:eastAsia="ru-RU"/>
              </w:rPr>
              <w:t>– 8216 чел.).</w:t>
            </w:r>
            <w:r w:rsidRPr="004713CA">
              <w:rPr>
                <w:rFonts w:ascii="Times New Roman" w:eastAsiaTheme="minorEastAsia" w:hAnsi="Times New Roman" w:cs="Times New Roman"/>
                <w:kern w:val="0"/>
                <w:sz w:val="20"/>
                <w:szCs w:val="20"/>
                <w:lang w:eastAsia="ru-RU"/>
              </w:rPr>
              <w:br/>
              <w:t>Показатель рассчитан как соотношение количества организованных дошкольным образованием детей в возрасте от 1,5 до 3 лет к общему количеству детей данного возраста на территории городского округа Тольятти (4 033/8 216*100= 49,1%).</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детей в возрасте от 3 до 7 лет, осваивающих образовательные программы дошкольного образования и (или) находящихся под присмотром и уходом в организациях различной организационно-правовой формы и формы собственности, в общей численности детей от </w:t>
            </w:r>
            <w:r w:rsidRPr="004713CA">
              <w:rPr>
                <w:rFonts w:ascii="Times New Roman" w:eastAsiaTheme="minorEastAsia" w:hAnsi="Times New Roman" w:cs="Times New Roman"/>
                <w:kern w:val="0"/>
                <w:sz w:val="20"/>
                <w:szCs w:val="20"/>
                <w:lang w:eastAsia="ru-RU"/>
              </w:rPr>
              <w:br/>
              <w:t xml:space="preserve">3 до 7 лет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91,0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79,4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-8,5</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Сокращение фактического значения показателя за 2024 год в сравнении с плановым значением на 2024 год отмечается по причине снижения количества детей в возрасте от 3 до 7 лет на территории городского округа Тольятти на 2 921 чел. </w:t>
            </w:r>
            <w:r w:rsidR="002F5B7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(2023</w:t>
            </w:r>
            <w:r w:rsidR="002F5B7A">
              <w:rPr>
                <w:rFonts w:ascii="Times New Roman" w:eastAsiaTheme="minorEastAsia" w:hAnsi="Times New Roman" w:cs="Times New Roman"/>
                <w:kern w:val="0"/>
                <w:sz w:val="20"/>
                <w:szCs w:val="20"/>
                <w:lang w:eastAsia="ru-RU"/>
              </w:rPr>
              <w:t xml:space="preserve"> год</w:t>
            </w:r>
            <w:r w:rsidRPr="004713CA">
              <w:rPr>
                <w:rFonts w:ascii="Times New Roman" w:eastAsiaTheme="minorEastAsia" w:hAnsi="Times New Roman" w:cs="Times New Roman"/>
                <w:kern w:val="0"/>
                <w:sz w:val="20"/>
                <w:szCs w:val="20"/>
                <w:lang w:eastAsia="ru-RU"/>
              </w:rPr>
              <w:t xml:space="preserve"> – 30127 чел.; 2024 </w:t>
            </w:r>
            <w:r w:rsidR="002F5B7A">
              <w:rPr>
                <w:rFonts w:ascii="Times New Roman" w:eastAsiaTheme="minorEastAsia" w:hAnsi="Times New Roman" w:cs="Times New Roman"/>
                <w:kern w:val="0"/>
                <w:sz w:val="20"/>
                <w:szCs w:val="20"/>
                <w:lang w:eastAsia="ru-RU"/>
              </w:rPr>
              <w:t xml:space="preserve">год </w:t>
            </w:r>
            <w:r w:rsidRPr="004713CA">
              <w:rPr>
                <w:rFonts w:ascii="Times New Roman" w:eastAsiaTheme="minorEastAsia" w:hAnsi="Times New Roman" w:cs="Times New Roman"/>
                <w:kern w:val="0"/>
                <w:sz w:val="20"/>
                <w:szCs w:val="20"/>
                <w:lang w:eastAsia="ru-RU"/>
              </w:rPr>
              <w:t>– 27206 чел.) и, соответственно, снижения количества организованных детей данной возрастной категории на 1475 чел. (2023 – 23915 чел.; 2024 – 22440 чел.). Увеличение данного показателя по сравнению с 2023 годом (79,4%) на 3,9% связано с достижением 100% доступности дошкольного образования для детей снижения количества детей в возрасте от 3 до 7 лет на территории городского округа Тольятти. Показатель рассчитан как соотношение количества организованных дошкольным образованием детей в возрасте от 3 до 7 лет к общему количеству детей данного возраста на территории городского округа Тольятти (22440/27 206 *100 = 82,5%).</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Численность учащихся, приходящихся на одного работающего в муниципальных общеобразовательных учреждениях (всего),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-4,3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62,6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Численность учащихся, приходящихся на одного работающего в муниципальных общеобразовательных учреждениях, выросла на 887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(количество учащихся) и на 67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снизилось количество работников муниципальных общеобразовательных учреждений.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на одного педагога (учителя) </w:t>
            </w: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-12,0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38,8</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значения показателя за 2024 год относительно планового значения показателя связано с увеличением количества педагогических потребностей с 243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2023 году до 309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2024 году.</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учащихся, сдавших единый государственный экзамен по русскому языку и математике, от общей численности выпускников муниципальных общеобразовательных учреждений, участвовавших в едином государственном экзамене по данным предметам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95,0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95</w:t>
            </w:r>
            <w:r w:rsidR="00E965D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едином государственном экзамене по двум предметам («Русский язык», «Математика») в 2024 году участвовали 2567 выпускников муниципальных бюджетных общеобразовательных учреждений, из них успешно сдали оба экзамена 2557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(99,6%).</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36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Исключен решением Думы городского округа Тольятти от 21.09.2016 № 1173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и доля детей в возрасте 5 – 18 лет, получающих услуги дополнительного образования, в общей численности детей данной возрастной группы,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r w:rsidR="00653236">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97060/97,72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97063/97,0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97521/97,86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458/0,86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96733/97,0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100,5/100,1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 итогам 2024 года значение данного показателя составило 97,86% от общего количества детей в возрасте от 5 до 18 лет на территории городского округа Тольятти (97521</w:t>
            </w:r>
            <w:r w:rsidR="002F5B7A">
              <w:rPr>
                <w:rFonts w:ascii="Times New Roman" w:eastAsiaTheme="minorEastAsia" w:hAnsi="Times New Roman" w:cs="Times New Roman"/>
                <w:kern w:val="0"/>
                <w:sz w:val="20"/>
                <w:szCs w:val="20"/>
                <w:lang w:eastAsia="ru-RU"/>
              </w:rPr>
              <w:t xml:space="preserve"> чел.</w:t>
            </w:r>
            <w:r w:rsidRPr="004713CA">
              <w:rPr>
                <w:rFonts w:ascii="Times New Roman" w:eastAsiaTheme="minorEastAsia" w:hAnsi="Times New Roman" w:cs="Times New Roman"/>
                <w:kern w:val="0"/>
                <w:sz w:val="20"/>
                <w:szCs w:val="20"/>
                <w:lang w:eastAsia="ru-RU"/>
              </w:rPr>
              <w:t>) при плановом значении - 97,0%.</w:t>
            </w:r>
            <w:r w:rsidRPr="004713CA">
              <w:rPr>
                <w:rFonts w:ascii="Times New Roman" w:eastAsiaTheme="minorEastAsia" w:hAnsi="Times New Roman" w:cs="Times New Roman"/>
                <w:kern w:val="0"/>
                <w:sz w:val="20"/>
                <w:szCs w:val="20"/>
                <w:lang w:eastAsia="ru-RU"/>
              </w:rPr>
              <w:br/>
              <w:t>При подсчете учитывалась занятость детей - физических лиц в возрасте от 5 до 18 лет в учреждениях различных форм собственности, имеющих право на реализацию дополнительных общеобразовательных программ и программ спортивной подготовки согласно методики подсчета значения данного показателя.</w:t>
            </w:r>
            <w:r w:rsidRPr="004713CA">
              <w:rPr>
                <w:rFonts w:ascii="Times New Roman" w:eastAsiaTheme="minorEastAsia" w:hAnsi="Times New Roman" w:cs="Times New Roman"/>
                <w:kern w:val="0"/>
                <w:sz w:val="20"/>
                <w:szCs w:val="20"/>
                <w:lang w:eastAsia="ru-RU"/>
              </w:rPr>
              <w:br/>
              <w:t>Общее количество детей в возрасте от 5 до 18 лет в 2024 году - 99654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(данные </w:t>
            </w:r>
            <w:r w:rsidR="008958CA">
              <w:rPr>
                <w:rFonts w:ascii="Times New Roman" w:eastAsiaTheme="minorEastAsia" w:hAnsi="Times New Roman" w:cs="Times New Roman"/>
                <w:kern w:val="0"/>
                <w:sz w:val="20"/>
                <w:szCs w:val="20"/>
                <w:lang w:eastAsia="ru-RU"/>
              </w:rPr>
              <w:t>Самарастата</w:t>
            </w: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муниципальных учреждениях отрасли «Образование»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r w:rsidR="00653236">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60014/60,4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60204/60,2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60204/60,4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0/0,2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60204/60,3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100,3/100,0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Количество обучающихся в муниципальных учреждениях дополнительного образования, подведомственных департаменту образования, структурных подразделениях дополнительного образования МБУ в 2024 году увеличилось на 190 обучающихся.</w:t>
            </w:r>
            <w:r w:rsidRPr="004713CA">
              <w:rPr>
                <w:rFonts w:ascii="Times New Roman" w:eastAsiaTheme="minorEastAsia" w:hAnsi="Times New Roman" w:cs="Times New Roman"/>
                <w:kern w:val="0"/>
                <w:sz w:val="20"/>
                <w:szCs w:val="20"/>
                <w:lang w:eastAsia="ru-RU"/>
              </w:rPr>
              <w:br/>
              <w:t>При расчете показателя за 2024 год учитывалось количество обучающихся:</w:t>
            </w:r>
            <w:r w:rsidRPr="004713CA">
              <w:rPr>
                <w:rFonts w:ascii="Times New Roman" w:eastAsiaTheme="minorEastAsia" w:hAnsi="Times New Roman" w:cs="Times New Roman"/>
                <w:kern w:val="0"/>
                <w:sz w:val="20"/>
                <w:szCs w:val="20"/>
                <w:lang w:eastAsia="ru-RU"/>
              </w:rPr>
              <w:br/>
              <w:t>- в МБОУДО - 48254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2023 году - 48254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 в структурных подразделениях дополнительного образования МБУ - 11950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2023 году -11760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Увеличение на 190 человек произошло за счет открытия школьного Кванториума на базе МБУ «Гимназия № 77».</w:t>
            </w:r>
            <w:r w:rsidRPr="004713CA">
              <w:rPr>
                <w:rFonts w:ascii="Times New Roman" w:eastAsiaTheme="minorEastAsia" w:hAnsi="Times New Roman" w:cs="Times New Roman"/>
                <w:kern w:val="0"/>
                <w:sz w:val="20"/>
                <w:szCs w:val="20"/>
                <w:lang w:eastAsia="ru-RU"/>
              </w:rPr>
              <w:br/>
              <w:t>В знаменателе - количество детей в возрасте от 5 до 18 лет (99654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предоставленное отделом государственной статистики в г. Тольятти. </w:t>
            </w:r>
            <w:r w:rsidRPr="004713CA">
              <w:rPr>
                <w:rFonts w:ascii="Times New Roman" w:eastAsiaTheme="minorEastAsia" w:hAnsi="Times New Roman" w:cs="Times New Roman"/>
                <w:kern w:val="0"/>
                <w:sz w:val="20"/>
                <w:szCs w:val="20"/>
                <w:lang w:eastAsia="ru-RU"/>
              </w:rPr>
              <w:br/>
              <w:t>Охват дополнительным образованием в 2024 году составил 60,4%, что на уровне 2023 года.</w:t>
            </w:r>
            <w:r w:rsidRPr="004713CA">
              <w:rPr>
                <w:rFonts w:ascii="Times New Roman" w:eastAsiaTheme="minorEastAsia" w:hAnsi="Times New Roman" w:cs="Times New Roman"/>
                <w:kern w:val="0"/>
                <w:sz w:val="20"/>
                <w:szCs w:val="20"/>
                <w:lang w:eastAsia="ru-RU"/>
              </w:rPr>
              <w:br/>
              <w:t>Кроме того, в 2024 году в Тольяттинском филиале ГБОУДО «Самарский центр детско-юношеского технического творчества» («Кванториум -63 регион») в 2024 году занято 1000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2023 году – 1000).</w:t>
            </w:r>
            <w:r w:rsidRPr="004713CA">
              <w:rPr>
                <w:rFonts w:ascii="Times New Roman" w:eastAsiaTheme="minorEastAsia" w:hAnsi="Times New Roman" w:cs="Times New Roman"/>
                <w:kern w:val="0"/>
                <w:sz w:val="20"/>
                <w:szCs w:val="20"/>
                <w:lang w:eastAsia="ru-RU"/>
              </w:rPr>
              <w:br/>
              <w:t>В 2024 году на базе ГБОУ «Лицей № 57» (Школа РАН) продолжает работу структурное подразделение дополнительного образования с охватом 1200 обучающихся (в 2023 году -1200 чел</w:t>
            </w:r>
            <w:r w:rsidR="00562A5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В 2025 году количество обучающихся в МБОУДО сохранится на уровне 2024 года и составит 48254 чел.</w:t>
            </w:r>
            <w:r w:rsidRPr="004713CA">
              <w:rPr>
                <w:rFonts w:ascii="Times New Roman" w:eastAsiaTheme="minorEastAsia" w:hAnsi="Times New Roman" w:cs="Times New Roman"/>
                <w:kern w:val="0"/>
                <w:sz w:val="20"/>
                <w:szCs w:val="20"/>
                <w:lang w:eastAsia="ru-RU"/>
              </w:rPr>
              <w:br/>
              <w:t>Количество обучающихся в структурных подразделениях дополнительного образования МБУ также сохранится на уровне 2024 года и составит 11 950 чел.</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муниципальных учреждениях отрасли «Культура»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r w:rsidR="00653236">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8646/8,7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8646/8,7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8606/8,6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-40/-0,1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8606/8,6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99,5/98,9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произведен в соответствии с методикой расчета данного показателя по формуле: 6645 чел.+1961 чел.= 8606 чел., где 6645 чел., обучающихся за счет средств бюджета городского округа Тольятти, 1961 чел. - обучающиеся на платной основе (по данным АИС «Статистика»). В знаменателе количество детей, проживающих на территории городского округа Тольятти, в возрасте от 5 до 18 лет - 99654 чел. Численность детей в возрасте от 5 до 18 лет, осваивающих дополнительные общеобразовательные программы в 17-ти муниципальных образовательных учреждениях дополнительного образования, подведомственных департаменту культуры, в 2024 году составила 8606 чел., что на 0,1% меньше планового показателя. Снижение обучающихся на платной основе составило 120 чел. Уменьшение связано с увеличением сезонной заболеваемости среди детей, расторжением договоров на платное обучение, а также увеличением количества детей от 5 до 18 лет.</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муниципальных учреждениях отрасли «Физическая культура и спорт»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r w:rsidR="00653236">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14398 /14,5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14398 /14,5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14319 /14,4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-79 /-0,1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14319 /14,4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99,5 /99,3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2024 году доля детей в возрасте с 5 до 18 лет, получающие услуги в муниципальных учреждениях отрасли «Физическая культура и спорт» составила 14,4%, что </w:t>
            </w:r>
            <w:r w:rsidR="0062756F">
              <w:rPr>
                <w:rFonts w:ascii="Times New Roman" w:eastAsiaTheme="minorEastAsia" w:hAnsi="Times New Roman" w:cs="Times New Roman"/>
                <w:kern w:val="0"/>
                <w:sz w:val="20"/>
                <w:szCs w:val="20"/>
                <w:lang w:eastAsia="ru-RU"/>
              </w:rPr>
              <w:t>на 0,1</w:t>
            </w:r>
            <w:r w:rsidRPr="004713CA">
              <w:rPr>
                <w:rFonts w:ascii="Times New Roman" w:eastAsiaTheme="minorEastAsia" w:hAnsi="Times New Roman" w:cs="Times New Roman"/>
                <w:kern w:val="0"/>
                <w:sz w:val="20"/>
                <w:szCs w:val="20"/>
                <w:lang w:eastAsia="ru-RU"/>
              </w:rPr>
              <w:t xml:space="preserve"> ниже планового показателя. При расчете показателя за 2024 год в числителе учитывалось количество детей в возрасте с 5 до 18 лет муниципальных учреждений отрасли «Физическая культура и спорт» (14319 чел.), в знаменателе - количество детей возраста от 5 до 18 лет в 2024 году составило 99654 чел., сведения предоставлены </w:t>
            </w:r>
            <w:r w:rsidR="002F5B7A">
              <w:rPr>
                <w:rFonts w:ascii="Times New Roman" w:eastAsiaTheme="minorEastAsia" w:hAnsi="Times New Roman" w:cs="Times New Roman"/>
                <w:kern w:val="0"/>
                <w:sz w:val="20"/>
                <w:szCs w:val="20"/>
                <w:lang w:eastAsia="ru-RU"/>
              </w:rPr>
              <w:t>м</w:t>
            </w:r>
            <w:r w:rsidRPr="004713CA">
              <w:rPr>
                <w:rFonts w:ascii="Times New Roman" w:eastAsiaTheme="minorEastAsia" w:hAnsi="Times New Roman" w:cs="Times New Roman"/>
                <w:kern w:val="0"/>
                <w:sz w:val="20"/>
                <w:szCs w:val="20"/>
                <w:lang w:eastAsia="ru-RU"/>
              </w:rPr>
              <w:t xml:space="preserve">инистерством спорта Самарской области. </w:t>
            </w:r>
            <w:r w:rsidRPr="004713CA">
              <w:rPr>
                <w:rFonts w:ascii="Times New Roman" w:eastAsiaTheme="minorEastAsia" w:hAnsi="Times New Roman" w:cs="Times New Roman"/>
                <w:kern w:val="0"/>
                <w:sz w:val="20"/>
                <w:szCs w:val="20"/>
                <w:lang w:eastAsia="ru-RU"/>
              </w:rPr>
              <w:br/>
              <w:t>В качестве плана на последующий период - 2025 год, предполагается сохранить количество детей в возрасте от 5 до 18 лет на уровне 2024 года.</w:t>
            </w:r>
            <w:r w:rsidRPr="004713CA">
              <w:rPr>
                <w:rFonts w:ascii="Times New Roman" w:eastAsiaTheme="minorEastAsia" w:hAnsi="Times New Roman" w:cs="Times New Roman"/>
                <w:kern w:val="0"/>
                <w:sz w:val="20"/>
                <w:szCs w:val="20"/>
                <w:lang w:eastAsia="ru-RU"/>
              </w:rPr>
              <w:br/>
              <w:t>Кроме того, в 8-ми областных учреждениях спорта в 2024 году занято 1085 чел</w:t>
            </w:r>
            <w:r w:rsidR="002239C1">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2023 году – 1115 чел</w:t>
            </w:r>
            <w:r w:rsidR="002239C1">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В отчете за 2024 год данные дети не учитывались, в плановом расчете на 2025 год дети в количестве 1085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областных учреждениях спорта также не учтены.</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образовательных учреждений, принятых надзорными органами с оценкой «удовлетворительно» к началу учебного года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Увеличение показателя обусловлено отсутствием муниципальных образовательных учреждений, не принятых к началу 2024-2025 учебного года.</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учащихся, охваченных в каникулярное время всеми мероприятиями, организованными муниципальными учреждениями отрасли «Образование»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95,0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0,4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данного показателя осуществляется с учетом участия детей в нескольких мероприятиях следующим образом: количество учащихся, охваченных в каникулярное время всеми видами, –это общее суммарное количество детей, охваченных мероприятиями за 6 отчетных каникулярных периодов (январь, март, июнь, июль, август, ноябрь); знаменатель - это общее суммарное количество детей в муниципальных образовательных учреждениях за 6 отчетных каникулярных периодов (январь, март, июнь, июль, август, ноябрь).</w:t>
            </w:r>
            <w:r w:rsidRPr="004713CA">
              <w:rPr>
                <w:rFonts w:ascii="Times New Roman" w:eastAsiaTheme="minorEastAsia" w:hAnsi="Times New Roman" w:cs="Times New Roman"/>
                <w:kern w:val="0"/>
                <w:sz w:val="20"/>
                <w:szCs w:val="20"/>
                <w:lang w:eastAsia="ru-RU"/>
              </w:rPr>
              <w:br/>
              <w:t>Фактическое суммарное количество детей, охваченных мероприятиями в каникулярное время, в 2024 году сохранилось на прежнем уровне.</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учащихся, находящихся в лагерях дневного пребывания в летний период, в общей численности учащихся в муниципальных образовательных учреждениях в возрасте до 15 лет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15</w:t>
            </w:r>
            <w:r w:rsidR="00653236">
              <w:rPr>
                <w:rFonts w:ascii="Times New Roman" w:eastAsiaTheme="minorEastAsia" w:hAnsi="Times New Roman" w:cs="Times New Roman"/>
                <w:kern w:val="0"/>
                <w:sz w:val="20"/>
                <w:szCs w:val="20"/>
                <w:lang w:eastAsia="ru-RU"/>
              </w:rPr>
              <w:t>,0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17,8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18,0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18</w:t>
            </w:r>
            <w:r w:rsidR="00012D56">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Количество учащихся, отдохнувших в летний период 2024 года в лагерях с дневным пребыванием детей, составило 13039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(18,0%), что на 64 чел</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больше по сравнению с планом на 2024 год. В связи с экономией бюджетных средств Самарской области по фонду оплаты труда кухонных работников, которая сложилась из-за объединения пунктов питания, в лагеря с дневным пребыванием детей было привлечено большее количество учащихся.</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детей, получивших услуги по отдыху и оздоровлению в детских оздоровительных учреждениях (организациях) городского округа отраслей «Образование» и «Физическая культура и спорт», всего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9000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15688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14000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15417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1417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14000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98,3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Сохранился стабильно высокий уровень охвата детей отдыхом и оздоровлением в муниципальных учреждениях городского округа Тольятти.</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том числе детей, находящихся в трудной жизненной ситуации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чел.</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720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1500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2937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1437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1500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109,2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Увеличение фактического количества детей в 2024 году относительно планового показателя на 2024 год произошло в связи с тем, что увеличилось количество путевок, предоставляемых министерством социально-демографической и семейной политики Самарской области в </w:t>
            </w:r>
            <w:r w:rsidR="002F5B7A" w:rsidRPr="002F5B7A">
              <w:rPr>
                <w:rFonts w:ascii="Times New Roman" w:eastAsiaTheme="minorEastAsia" w:hAnsi="Times New Roman" w:cs="Times New Roman"/>
                <w:kern w:val="0"/>
                <w:sz w:val="20"/>
                <w:szCs w:val="20"/>
                <w:lang w:eastAsia="ru-RU"/>
              </w:rPr>
              <w:t xml:space="preserve">МАООУ </w:t>
            </w:r>
            <w:r w:rsidR="002F5B7A">
              <w:rPr>
                <w:rFonts w:ascii="Times New Roman" w:eastAsiaTheme="minorEastAsia" w:hAnsi="Times New Roman" w:cs="Times New Roman"/>
                <w:kern w:val="0"/>
                <w:sz w:val="20"/>
                <w:szCs w:val="20"/>
                <w:lang w:eastAsia="ru-RU"/>
              </w:rPr>
              <w:t>«</w:t>
            </w:r>
            <w:r w:rsidR="002F5B7A" w:rsidRPr="002F5B7A">
              <w:rPr>
                <w:rFonts w:ascii="Times New Roman" w:eastAsiaTheme="minorEastAsia" w:hAnsi="Times New Roman" w:cs="Times New Roman"/>
                <w:kern w:val="0"/>
                <w:sz w:val="20"/>
                <w:szCs w:val="20"/>
                <w:lang w:eastAsia="ru-RU"/>
              </w:rPr>
              <w:t xml:space="preserve">Пансионат </w:t>
            </w:r>
            <w:r w:rsidR="002F5B7A">
              <w:rPr>
                <w:rFonts w:ascii="Times New Roman" w:eastAsiaTheme="minorEastAsia" w:hAnsi="Times New Roman" w:cs="Times New Roman"/>
                <w:kern w:val="0"/>
                <w:sz w:val="20"/>
                <w:szCs w:val="20"/>
                <w:lang w:eastAsia="ru-RU"/>
              </w:rPr>
              <w:t>«</w:t>
            </w:r>
            <w:r w:rsidR="002F5B7A" w:rsidRPr="002F5B7A">
              <w:rPr>
                <w:rFonts w:ascii="Times New Roman" w:eastAsiaTheme="minorEastAsia" w:hAnsi="Times New Roman" w:cs="Times New Roman"/>
                <w:kern w:val="0"/>
                <w:sz w:val="20"/>
                <w:szCs w:val="20"/>
                <w:lang w:eastAsia="ru-RU"/>
              </w:rPr>
              <w:t>Радуга</w:t>
            </w:r>
            <w:r w:rsidR="002F5B7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в </w:t>
            </w:r>
            <w:r w:rsidR="002F5B7A">
              <w:rPr>
                <w:rFonts w:ascii="Times New Roman" w:eastAsiaTheme="minorEastAsia" w:hAnsi="Times New Roman" w:cs="Times New Roman"/>
                <w:kern w:val="0"/>
                <w:sz w:val="20"/>
                <w:szCs w:val="20"/>
                <w:lang w:eastAsia="ru-RU"/>
              </w:rPr>
              <w:t>МБУ</w:t>
            </w:r>
            <w:r w:rsidRPr="004713CA">
              <w:rPr>
                <w:rFonts w:ascii="Times New Roman" w:eastAsiaTheme="minorEastAsia" w:hAnsi="Times New Roman" w:cs="Times New Roman"/>
                <w:kern w:val="0"/>
                <w:sz w:val="20"/>
                <w:szCs w:val="20"/>
                <w:lang w:eastAsia="ru-RU"/>
              </w:rPr>
              <w:t xml:space="preserve"> Пансионат «Звездный» и в </w:t>
            </w:r>
            <w:r w:rsidR="002F5B7A" w:rsidRPr="002F5B7A">
              <w:rPr>
                <w:rFonts w:ascii="Times New Roman" w:eastAsiaTheme="minorEastAsia" w:hAnsi="Times New Roman" w:cs="Times New Roman"/>
                <w:kern w:val="0"/>
                <w:sz w:val="20"/>
                <w:szCs w:val="20"/>
                <w:lang w:eastAsia="ru-RU"/>
              </w:rPr>
              <w:t xml:space="preserve">МБУДО СШ № 9 </w:t>
            </w:r>
            <w:r w:rsidR="002F5B7A">
              <w:rPr>
                <w:rFonts w:ascii="Times New Roman" w:eastAsiaTheme="minorEastAsia" w:hAnsi="Times New Roman" w:cs="Times New Roman"/>
                <w:kern w:val="0"/>
                <w:sz w:val="20"/>
                <w:szCs w:val="20"/>
                <w:lang w:eastAsia="ru-RU"/>
              </w:rPr>
              <w:t>«</w:t>
            </w:r>
            <w:r w:rsidR="002F5B7A" w:rsidRPr="002F5B7A">
              <w:rPr>
                <w:rFonts w:ascii="Times New Roman" w:eastAsiaTheme="minorEastAsia" w:hAnsi="Times New Roman" w:cs="Times New Roman"/>
                <w:kern w:val="0"/>
                <w:sz w:val="20"/>
                <w:szCs w:val="20"/>
                <w:lang w:eastAsia="ru-RU"/>
              </w:rPr>
              <w:t>Велотол</w:t>
            </w:r>
            <w:r w:rsidR="002F5B7A">
              <w:rPr>
                <w:rFonts w:ascii="Times New Roman" w:eastAsiaTheme="minorEastAsia" w:hAnsi="Times New Roman" w:cs="Times New Roman"/>
                <w:kern w:val="0"/>
                <w:sz w:val="20"/>
                <w:szCs w:val="20"/>
                <w:lang w:eastAsia="ru-RU"/>
              </w:rPr>
              <w:t>»</w:t>
            </w:r>
            <w:r w:rsidR="002F5B7A" w:rsidRPr="004713C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(база отдыха «Спартак») (по государственным контрактам).</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учащихся, получающих горячее питание, в общей численности учащихся в муниципальных общеобразовательных учреждениях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80,0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85,0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менее 85,0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Фактический показатель за 2024 год увеличился относительно планового показателя на 2024 год в связи с предоставлением второго приема бесплатного горячего питания обучающимся 1 - 4 классов, двухразового бесплатного горячего питания обучающимся 5–11 классов, один из родителей (законных представителей) которых принимает участие в специальной военной операции, предоставлением одноразового горячего питания детям из многодетных семей, обучающимся в 5 - 11 классах, получающим основное общее, среднее общее образование, а также комплексом мероприятий в муниципальных бюджетных общеобразовательных учреждениях городского округа Тольятти в рамках реализации по совершенствованию организации питания обучающихся.</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Среднемесячная номинальная начисленная заработная плата работников муниципальных учреждений дополнительного образования отрасли «Образование», в том числе по категориям персонала: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117,7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фактической заработной платы по сравнению с плановой связан, прежде всего, с индексацией заработной платы на 18,5% с 01.01.2024 и на 5,1% c 01.10.2024, а также с увеличением МРОТ с 01.01.2024 с</w:t>
            </w:r>
            <w:r w:rsidR="002F5B7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16 242 руб. до 19 242 руб., и ростом уровня средней заработной платы педагогических работников учреждений дополнительного образования, установленного Указом Президента </w:t>
            </w:r>
            <w:r w:rsidR="002F5B7A">
              <w:rPr>
                <w:rFonts w:ascii="Times New Roman" w:eastAsiaTheme="minorEastAsia" w:hAnsi="Times New Roman" w:cs="Times New Roman"/>
                <w:kern w:val="0"/>
                <w:sz w:val="20"/>
                <w:szCs w:val="20"/>
                <w:lang w:eastAsia="ru-RU"/>
              </w:rPr>
              <w:t>РФ</w:t>
            </w:r>
            <w:r w:rsidRPr="004713CA">
              <w:rPr>
                <w:rFonts w:ascii="Times New Roman" w:eastAsiaTheme="minorEastAsia" w:hAnsi="Times New Roman" w:cs="Times New Roman"/>
                <w:kern w:val="0"/>
                <w:sz w:val="20"/>
                <w:szCs w:val="20"/>
                <w:lang w:eastAsia="ru-RU"/>
              </w:rPr>
              <w:t xml:space="preserve"> от 01.06.2012 № 761 «О национальной стратегии действий в интересах детей на 2012-2017 годы». Кроме того, в марте и сентябре 2024 года дополнительно назначены единовременные денежные выплаты в размере 11 500 руб</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на ставку заработной платы педагогическим работникам, руководителям, заместителям, главным бухгалтерам, остальным работникам – по 5 750 руб. В 2024 году на эти цели были выделены дополнительные средства.</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административно-управленческого персонала (руководители учреждения, структурных подразделений и их заместители)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85,6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90,2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102,1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11,9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119,3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фактической заработной платы по сравнению с плановой связан, прежде всего, с индексацией заработной платы. Кроме того, оклад руководителей приравнивается к фактически сложившейся заработной плате педагогических работников за предыдущий год, которая ежегодно растет в соответствии с реализацией Указа Президента РФ.</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на квалифицированных должностях по обеспечению основной деятельности в соответствии с целями создания учреждения (в том числе педагогические работники)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48,7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117,6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Рост фактической заработной платы педагогических работников по сравнению с плановой обусловлен увеличением уровня по Указу Президента РФ с 48 473 руб. до </w:t>
            </w:r>
            <w:r w:rsidR="00EA51C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54 325 руб. На реализацию Указа Президента РФ ежегодно выделяются дополнительные средства.</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старшего обеспечивающего персонала (работники на квалифицированных должностях по обеспечению деятельности учреждения)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38,5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45,6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46,1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121,3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фактической заработной платы по сравнению с плановой связан с индексацией заработной платы, а также с увеличением МРОТ.</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работников младшего обеспечивающего персонала (работники на должностях низкой квалификации по обеспечению деятельности учреждения)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31,5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125,0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Рост фактической заработной платы по сравнению с плановой связан с индексацией заработной платы, а также с увеличением МРОТ.</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Доля учреждений образования, в которых проведен капитальный ремонт, из числа нуждающихся в капитальном ремонте:</w:t>
            </w:r>
            <w:r w:rsidRPr="004713CA">
              <w:rPr>
                <w:rFonts w:ascii="Times New Roman" w:eastAsiaTheme="minorEastAsia" w:hAnsi="Times New Roman" w:cs="Times New Roman"/>
                <w:kern w:val="0"/>
                <w:sz w:val="20"/>
                <w:szCs w:val="20"/>
                <w:lang w:eastAsia="ru-RU"/>
              </w:rPr>
              <w:br/>
              <w:t xml:space="preserve">- зданий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147,6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2024 году в рамках реализации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 государственной программы Российской Федерации «Развитие образования» бюджету городского округа Тольятти выделены федеральные и областные субсидии на капитальный ремонт и оснащение зданий четырех общеобразовательных учре</w:t>
            </w:r>
            <w:r w:rsidR="0062756F">
              <w:rPr>
                <w:rFonts w:ascii="Times New Roman" w:eastAsiaTheme="minorEastAsia" w:hAnsi="Times New Roman" w:cs="Times New Roman"/>
                <w:kern w:val="0"/>
                <w:sz w:val="20"/>
                <w:szCs w:val="20"/>
                <w:lang w:eastAsia="ru-RU"/>
              </w:rPr>
              <w:t>ждений: МБУ «</w:t>
            </w:r>
            <w:r w:rsidRPr="004713CA">
              <w:rPr>
                <w:rFonts w:ascii="Times New Roman" w:eastAsiaTheme="minorEastAsia" w:hAnsi="Times New Roman" w:cs="Times New Roman"/>
                <w:kern w:val="0"/>
                <w:sz w:val="20"/>
                <w:szCs w:val="20"/>
                <w:lang w:eastAsia="ru-RU"/>
              </w:rPr>
              <w:t>Школа № 44</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МБУ </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Школа № 47</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МБУ </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Гимназия № 9</w:t>
            </w:r>
            <w:r w:rsidR="0062756F">
              <w:rPr>
                <w:rFonts w:ascii="Times New Roman" w:eastAsiaTheme="minorEastAsia" w:hAnsi="Times New Roman" w:cs="Times New Roman"/>
                <w:kern w:val="0"/>
                <w:sz w:val="20"/>
                <w:szCs w:val="20"/>
                <w:lang w:eastAsia="ru-RU"/>
              </w:rPr>
              <w:t>», МБУ «</w:t>
            </w:r>
            <w:r w:rsidRPr="004713CA">
              <w:rPr>
                <w:rFonts w:ascii="Times New Roman" w:eastAsiaTheme="minorEastAsia" w:hAnsi="Times New Roman" w:cs="Times New Roman"/>
                <w:kern w:val="0"/>
                <w:sz w:val="20"/>
                <w:szCs w:val="20"/>
                <w:lang w:eastAsia="ru-RU"/>
              </w:rPr>
              <w:t>Лицей № 37</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Также в рамках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 выделены областные субсидии на капитальный ремонт зданий четырех о</w:t>
            </w:r>
            <w:r w:rsidR="0062756F">
              <w:rPr>
                <w:rFonts w:ascii="Times New Roman" w:eastAsiaTheme="minorEastAsia" w:hAnsi="Times New Roman" w:cs="Times New Roman"/>
                <w:kern w:val="0"/>
                <w:sz w:val="20"/>
                <w:szCs w:val="20"/>
                <w:lang w:eastAsia="ru-RU"/>
              </w:rPr>
              <w:t>бразовательных учреждений (МБУ «Школа № 4», МБУ «Школа № 20», МБУ «</w:t>
            </w:r>
            <w:r w:rsidRPr="004713CA">
              <w:rPr>
                <w:rFonts w:ascii="Times New Roman" w:eastAsiaTheme="minorEastAsia" w:hAnsi="Times New Roman" w:cs="Times New Roman"/>
                <w:kern w:val="0"/>
                <w:sz w:val="20"/>
                <w:szCs w:val="20"/>
                <w:lang w:eastAsia="ru-RU"/>
              </w:rPr>
              <w:t>Лицей № 19</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МБУ </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Школа № 86</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Увеличение показателя относительно 2023 года произошло по причине увеличения финансирования из федерального и областного бюджетов.</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спортивных залов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62756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рамках сложившейся экономической ситуации и принимаемых мер по снижению муниципального долга отсутствует финансовая возможность выделения дополнительных ассигнований на выполнение капитального ремонта спортивных залов в зданиях общеобразовательных учреждений. Необходимо провести капитальный ремонт 38-ти спортивных залов. В 2024 году выполнен капитальный ре</w:t>
            </w:r>
            <w:r w:rsidR="0062756F">
              <w:rPr>
                <w:rFonts w:ascii="Times New Roman" w:eastAsiaTheme="minorEastAsia" w:hAnsi="Times New Roman" w:cs="Times New Roman"/>
                <w:kern w:val="0"/>
                <w:sz w:val="20"/>
                <w:szCs w:val="20"/>
                <w:lang w:eastAsia="ru-RU"/>
              </w:rPr>
              <w:t>монт 2-х спортивных залов (МБУ «</w:t>
            </w:r>
            <w:r w:rsidRPr="004713CA">
              <w:rPr>
                <w:rFonts w:ascii="Times New Roman" w:eastAsiaTheme="minorEastAsia" w:hAnsi="Times New Roman" w:cs="Times New Roman"/>
                <w:kern w:val="0"/>
                <w:sz w:val="20"/>
                <w:szCs w:val="20"/>
                <w:lang w:eastAsia="ru-RU"/>
              </w:rPr>
              <w:t>Школа № 47</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МБУ </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Гимназия № 9</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кровли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170,1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Увеличение фактического значения показателя относительно запланированного в 2024 году произошло по причине выделения дополнительного финансирования на ремонт кровли в 5-ти учреждениях.</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Подраздел «Семья, опека и попечительство» признан утратившим силу решением Думы городского округа Тольятти от 11.12.2019 № 431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45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Строка признана утратившей силу решением Думы городского округа Тольятти от 11.12.2019 №431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46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Строка признана утратившей силу решением Думы городского округа Тольятти от 11.12.2019 №431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Социальная поддержка населения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Предоставление за счет средств бюджета городского округа дополнительных мер социальной поддержки и иных выплат, направленных на улучшение качества жизни жителей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выпл, 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124 218/</w:t>
            </w:r>
            <w:r w:rsidR="00AF3539">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104 453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126</w:t>
            </w:r>
            <w:r w:rsidR="00AF3539">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104/</w:t>
            </w:r>
            <w:r w:rsidR="00AF3539">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116 823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113 610/</w:t>
            </w:r>
            <w:r w:rsidR="00AF3539">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 99 676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-12 494/</w:t>
            </w:r>
            <w:r w:rsidR="00AF3539">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-17 147</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131 748/</w:t>
            </w:r>
            <w:r w:rsidR="00AF3539">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 124 651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91,5/</w:t>
            </w:r>
            <w:r w:rsidR="00AF3539">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 95,4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 решению Думы городского округа Тольятти Самарской области от 25.12.2024 №</w:t>
            </w:r>
            <w:r w:rsidR="00023CD4">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 xml:space="preserve">394 «О внесении изменений в решение Думы городского округа Тольятти от 22.11.2023 №71 «О бюджете городского округа Тольятти на 2024 год и плановый период 2025 и 2026 годов», c внесенными изменениями ассигнования по программе </w:t>
            </w:r>
            <w:r w:rsidR="0062756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Создание условий для улучшения качества жизни жителей городского округа Тольятти</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на 2020-2024 годы на 2024 год составляют 116 823 тыс. руб. Освоение расходов за 2024 год составило 99 676 тыс. руб. На снижение расходов (остаток от плана на 01.01.2025 составил 17 147 тыс. руб.) повлияло преимущественно сокращение количества получателей отдельных категорий граждан (дети, учащиеся, относящиеся к льготной категории) в связи с</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тем, что выплаты имеют заявительный характер, а также естественная убыль (смерть) населения (ветераны Великой Отечественной войны 1941-1945 годов и приравненные к ним лица, а также лица 90 лет и старше). На 01.01.2025 неисполненные обязательства перед гражданами отсутствуют.</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47.1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оборудованных с учетом доступности для инвалидов и других маломобильных групп населения муниципальных объектов социальной инфраструктуры, в которых расположены муниципальные учреждения городского округа, в общем количестве муниципальных объектов социальной инфраструктуры, в которых расположены муниципальные учреждения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69,4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AF353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E6983"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2024 году выявлено 396 объектов социальной инфраструктуры, в которых расположены муниципальные учреждения городского округа, в том числе:</w:t>
            </w:r>
            <w:r w:rsidRPr="004713CA">
              <w:rPr>
                <w:rFonts w:ascii="Times New Roman" w:eastAsiaTheme="minorEastAsia" w:hAnsi="Times New Roman" w:cs="Times New Roman"/>
                <w:kern w:val="0"/>
                <w:sz w:val="20"/>
                <w:szCs w:val="20"/>
                <w:lang w:eastAsia="ru-RU"/>
              </w:rPr>
              <w:br/>
              <w:t>- в сфере «образование» – 252,</w:t>
            </w:r>
            <w:r w:rsidRPr="004713CA">
              <w:rPr>
                <w:rFonts w:ascii="Times New Roman" w:eastAsiaTheme="minorEastAsia" w:hAnsi="Times New Roman" w:cs="Times New Roman"/>
                <w:kern w:val="0"/>
                <w:sz w:val="20"/>
                <w:szCs w:val="20"/>
                <w:lang w:eastAsia="ru-RU"/>
              </w:rPr>
              <w:br/>
              <w:t>- в сфере «спорт и физическая культура» – 32,</w:t>
            </w:r>
            <w:r w:rsidRPr="004713CA">
              <w:rPr>
                <w:rFonts w:ascii="Times New Roman" w:eastAsiaTheme="minorEastAsia" w:hAnsi="Times New Roman" w:cs="Times New Roman"/>
                <w:kern w:val="0"/>
                <w:sz w:val="20"/>
                <w:szCs w:val="20"/>
                <w:lang w:eastAsia="ru-RU"/>
              </w:rPr>
              <w:br/>
              <w:t>- в сфере «культура» – 92 (+1),</w:t>
            </w:r>
            <w:r w:rsidRPr="004713CA">
              <w:rPr>
                <w:rFonts w:ascii="Times New Roman" w:eastAsiaTheme="minorEastAsia" w:hAnsi="Times New Roman" w:cs="Times New Roman"/>
                <w:kern w:val="0"/>
                <w:sz w:val="20"/>
                <w:szCs w:val="20"/>
                <w:lang w:eastAsia="ru-RU"/>
              </w:rPr>
              <w:br/>
              <w:t>- в сфере «муниципальное управление» – 10,</w:t>
            </w:r>
            <w:r w:rsidRPr="004713CA">
              <w:rPr>
                <w:rFonts w:ascii="Times New Roman" w:eastAsiaTheme="minorEastAsia" w:hAnsi="Times New Roman" w:cs="Times New Roman"/>
                <w:kern w:val="0"/>
                <w:sz w:val="20"/>
                <w:szCs w:val="20"/>
                <w:lang w:eastAsia="ru-RU"/>
              </w:rPr>
              <w:br/>
              <w:t>- в сфере «МФЦ» - 9,</w:t>
            </w:r>
            <w:r w:rsidRPr="004713CA">
              <w:rPr>
                <w:rFonts w:ascii="Times New Roman" w:eastAsiaTheme="minorEastAsia" w:hAnsi="Times New Roman" w:cs="Times New Roman"/>
                <w:kern w:val="0"/>
                <w:sz w:val="20"/>
                <w:szCs w:val="20"/>
                <w:lang w:eastAsia="ru-RU"/>
              </w:rPr>
              <w:br/>
              <w:t>- в сфере «экономическое развитие» - 1.</w:t>
            </w:r>
            <w:r w:rsidRPr="004713CA">
              <w:rPr>
                <w:rFonts w:ascii="Times New Roman" w:eastAsiaTheme="minorEastAsia" w:hAnsi="Times New Roman" w:cs="Times New Roman"/>
                <w:kern w:val="0"/>
                <w:sz w:val="20"/>
                <w:szCs w:val="20"/>
                <w:lang w:eastAsia="ru-RU"/>
              </w:rPr>
              <w:br/>
              <w:t>Из них, оборудованных с учетом доступности для инвалидов и других маломобильных групп населения – 289</w:t>
            </w:r>
            <w:r w:rsidRPr="004713CA">
              <w:rPr>
                <w:rFonts w:ascii="Times New Roman" w:eastAsiaTheme="minorEastAsia" w:hAnsi="Times New Roman" w:cs="Times New Roman"/>
                <w:kern w:val="0"/>
                <w:sz w:val="20"/>
                <w:szCs w:val="20"/>
                <w:lang w:eastAsia="ru-RU"/>
              </w:rPr>
              <w:br/>
              <w:t>(36 полностью доступных (далее – ДП), 214 частично доступных (далее – ДЧ),</w:t>
            </w:r>
            <w:r w:rsidRPr="004713CA">
              <w:rPr>
                <w:rFonts w:ascii="Times New Roman" w:eastAsiaTheme="minorEastAsia" w:hAnsi="Times New Roman" w:cs="Times New Roman"/>
                <w:kern w:val="0"/>
                <w:sz w:val="20"/>
                <w:szCs w:val="20"/>
                <w:lang w:eastAsia="ru-RU"/>
              </w:rPr>
              <w:br/>
              <w:t>39 доступных условно (далее – ДУ), в том числе:</w:t>
            </w:r>
            <w:r w:rsidRPr="004713CA">
              <w:rPr>
                <w:rFonts w:ascii="Times New Roman" w:eastAsiaTheme="minorEastAsia" w:hAnsi="Times New Roman" w:cs="Times New Roman"/>
                <w:kern w:val="0"/>
                <w:sz w:val="20"/>
                <w:szCs w:val="20"/>
                <w:lang w:eastAsia="ru-RU"/>
              </w:rPr>
              <w:br/>
              <w:t>- в сфере «образование» – 192 (+2) (28 (+1) – ДП, 139 (+1) – ДЧ, 25 - ДУ),</w:t>
            </w:r>
            <w:r w:rsidRPr="004713CA">
              <w:rPr>
                <w:rFonts w:ascii="Times New Roman" w:eastAsiaTheme="minorEastAsia" w:hAnsi="Times New Roman" w:cs="Times New Roman"/>
                <w:kern w:val="0"/>
                <w:sz w:val="20"/>
                <w:szCs w:val="20"/>
                <w:lang w:eastAsia="ru-RU"/>
              </w:rPr>
              <w:br/>
              <w:t>- в сфере «спорт и физическая культура» – 18 (ДЧ),</w:t>
            </w:r>
            <w:r w:rsidRPr="004713CA">
              <w:rPr>
                <w:rFonts w:ascii="Times New Roman" w:eastAsiaTheme="minorEastAsia" w:hAnsi="Times New Roman" w:cs="Times New Roman"/>
                <w:kern w:val="0"/>
                <w:sz w:val="20"/>
                <w:szCs w:val="20"/>
                <w:lang w:eastAsia="ru-RU"/>
              </w:rPr>
              <w:br/>
              <w:t>- в сфере «культура» – 62 (+13) (7 (+3) – ДП, 48 (+32) – ДЧ, 7 (-22) - ДУ),</w:t>
            </w:r>
            <w:r w:rsidRPr="004713CA">
              <w:rPr>
                <w:rFonts w:ascii="Times New Roman" w:eastAsiaTheme="minorEastAsia" w:hAnsi="Times New Roman" w:cs="Times New Roman"/>
                <w:kern w:val="0"/>
                <w:sz w:val="20"/>
                <w:szCs w:val="20"/>
                <w:lang w:eastAsia="ru-RU"/>
              </w:rPr>
              <w:br/>
              <w:t>- в сфере «муниципальное управление» – 7 (1 - ДП, 6 - ДУ),</w:t>
            </w:r>
            <w:r w:rsidRPr="004713CA">
              <w:rPr>
                <w:rFonts w:ascii="Times New Roman" w:eastAsiaTheme="minorEastAsia" w:hAnsi="Times New Roman" w:cs="Times New Roman"/>
                <w:kern w:val="0"/>
                <w:sz w:val="20"/>
                <w:szCs w:val="20"/>
                <w:lang w:eastAsia="ru-RU"/>
              </w:rPr>
              <w:br/>
              <w:t>- в сфере «МФЦ» - 9 (ДЧ),</w:t>
            </w:r>
            <w:r w:rsidRPr="004713CA">
              <w:rPr>
                <w:rFonts w:ascii="Times New Roman" w:eastAsiaTheme="minorEastAsia" w:hAnsi="Times New Roman" w:cs="Times New Roman"/>
                <w:kern w:val="0"/>
                <w:sz w:val="20"/>
                <w:szCs w:val="20"/>
                <w:lang w:eastAsia="ru-RU"/>
              </w:rPr>
              <w:br/>
              <w:t>- в сфере «экономическое развитие» – 1 (ДУ).</w:t>
            </w:r>
            <w:r w:rsidRPr="004713CA">
              <w:rPr>
                <w:rFonts w:ascii="Times New Roman" w:eastAsiaTheme="minorEastAsia" w:hAnsi="Times New Roman" w:cs="Times New Roman"/>
                <w:kern w:val="0"/>
                <w:sz w:val="20"/>
                <w:szCs w:val="20"/>
                <w:lang w:eastAsia="ru-RU"/>
              </w:rPr>
              <w:br/>
              <w:t>Изменение общего количества объектов социальной инфраструктуры, в которых расположены муниципальные учреждения городского округа с 395 на 396 (+1 объект культуры) обусловлено:</w:t>
            </w:r>
            <w:r w:rsidRPr="004713CA">
              <w:rPr>
                <w:rFonts w:ascii="Times New Roman" w:eastAsiaTheme="minorEastAsia" w:hAnsi="Times New Roman" w:cs="Times New Roman"/>
                <w:kern w:val="0"/>
                <w:sz w:val="20"/>
                <w:szCs w:val="20"/>
                <w:lang w:eastAsia="ru-RU"/>
              </w:rPr>
              <w:br/>
              <w:t>- возобновлением оказания услуг МБУ ДШИ «Камертон» по адрес: г.</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Тольятти, б- Королева, 6.</w:t>
            </w:r>
            <w:r w:rsidRPr="004713CA">
              <w:rPr>
                <w:rFonts w:ascii="Times New Roman" w:eastAsiaTheme="minorEastAsia" w:hAnsi="Times New Roman" w:cs="Times New Roman"/>
                <w:kern w:val="0"/>
                <w:sz w:val="20"/>
                <w:szCs w:val="20"/>
                <w:lang w:eastAsia="ru-RU"/>
              </w:rPr>
              <w:br/>
              <w:t>Изменение количества оборудованных с учетом доступности для инвалидов и других маломобильных групп населения с 274 на 289 (+2 объекта «образования», +13 объектов «культуры») обусловлено:</w:t>
            </w:r>
            <w:r w:rsidRPr="004713CA">
              <w:rPr>
                <w:rFonts w:ascii="Times New Roman" w:eastAsiaTheme="minorEastAsia" w:hAnsi="Times New Roman" w:cs="Times New Roman"/>
                <w:kern w:val="0"/>
                <w:sz w:val="20"/>
                <w:szCs w:val="20"/>
                <w:lang w:eastAsia="ru-RU"/>
              </w:rPr>
              <w:br/>
              <w:t>- выполнением мероприятий по обустройству и приспособлению 2 объектов образования;</w:t>
            </w:r>
            <w:r w:rsidRPr="004713CA">
              <w:rPr>
                <w:rFonts w:ascii="Times New Roman" w:eastAsiaTheme="minorEastAsia" w:hAnsi="Times New Roman" w:cs="Times New Roman"/>
                <w:kern w:val="0"/>
                <w:sz w:val="20"/>
                <w:szCs w:val="20"/>
                <w:lang w:eastAsia="ru-RU"/>
              </w:rPr>
              <w:br/>
              <w:t>- выполнением мероприятий по обустройству и приспособлению 3 объектов культуры (установлено 2 пандуса, выполнен ремонт входной группы, приобретены кресло-коляска, подвесная система и навигационные указатели);</w:t>
            </w:r>
            <w:r w:rsidRPr="004713CA">
              <w:rPr>
                <w:rFonts w:ascii="Times New Roman" w:eastAsiaTheme="minorEastAsia" w:hAnsi="Times New Roman" w:cs="Times New Roman"/>
                <w:kern w:val="0"/>
                <w:sz w:val="20"/>
                <w:szCs w:val="20"/>
                <w:lang w:eastAsia="ru-RU"/>
              </w:rPr>
              <w:br/>
              <w:t>- обследованием объектов культуры на предмет доступности для маломобильных граждан.</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детей, находящихся на воспитании в семьях граждан, от общего количества детей-сирот и детей, оставшихся без попечения родителей, на территории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79,0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89,0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023CD4" w:rsidRDefault="00023CD4" w:rsidP="004713CA">
            <w:pPr>
              <w:spacing w:before="100" w:beforeAutospacing="1" w:after="100" w:afterAutospacing="1" w:line="240" w:lineRule="auto"/>
              <w:rPr>
                <w:rFonts w:ascii="Times New Roman" w:eastAsiaTheme="minorEastAsia" w:hAnsi="Times New Roman" w:cs="Times New Roman"/>
                <w:b/>
                <w:bCs/>
                <w:kern w:val="0"/>
                <w:sz w:val="20"/>
                <w:szCs w:val="20"/>
                <w:lang w:eastAsia="ru-RU"/>
              </w:rPr>
            </w:pPr>
            <w:r w:rsidRPr="00023CD4">
              <w:rPr>
                <w:rFonts w:ascii="Times New Roman" w:eastAsiaTheme="minorEastAsia" w:hAnsi="Times New Roman" w:cs="Times New Roman"/>
                <w:b/>
                <w:bCs/>
                <w:kern w:val="0"/>
                <w:sz w:val="20"/>
                <w:szCs w:val="20"/>
                <w:lang w:eastAsia="ru-RU"/>
              </w:rPr>
              <w:t>-0,7</w:t>
            </w:r>
            <w:r w:rsidR="004713CA" w:rsidRPr="00023CD4">
              <w:rPr>
                <w:rFonts w:ascii="Times New Roman" w:eastAsiaTheme="minorEastAsia" w:hAnsi="Times New Roman" w:cs="Times New Roman"/>
                <w:b/>
                <w:bCs/>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E6983"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 xml:space="preserve">а 01.01.2025 на территории городского округа Тольятти </w:t>
            </w:r>
            <w:r>
              <w:rPr>
                <w:rFonts w:ascii="Times New Roman" w:eastAsiaTheme="minorEastAsia" w:hAnsi="Times New Roman" w:cs="Times New Roman"/>
                <w:kern w:val="0"/>
                <w:sz w:val="20"/>
                <w:szCs w:val="20"/>
                <w:lang w:eastAsia="ru-RU"/>
              </w:rPr>
              <w:t xml:space="preserve">зарегистрировано </w:t>
            </w:r>
            <w:r w:rsidR="004713CA" w:rsidRPr="004713CA">
              <w:rPr>
                <w:rFonts w:ascii="Times New Roman" w:eastAsiaTheme="minorEastAsia" w:hAnsi="Times New Roman" w:cs="Times New Roman"/>
                <w:kern w:val="0"/>
                <w:sz w:val="20"/>
                <w:szCs w:val="20"/>
                <w:lang w:eastAsia="ru-RU"/>
              </w:rPr>
              <w:t>1412 детей-сирот и детей, оставшихся без попечения родителей. На воспитании в замещающих семьях находятся 1261 детей данной категории</w:t>
            </w:r>
            <w:r w:rsidR="00023CD4">
              <w:rPr>
                <w:rFonts w:ascii="Times New Roman" w:eastAsiaTheme="minorEastAsia" w:hAnsi="Times New Roman" w:cs="Times New Roman"/>
                <w:kern w:val="0"/>
                <w:sz w:val="20"/>
                <w:szCs w:val="20"/>
                <w:lang w:eastAsia="ru-RU"/>
              </w:rPr>
              <w:t xml:space="preserve"> или</w:t>
            </w:r>
            <w:r w:rsidR="004713CA" w:rsidRPr="004713CA">
              <w:rPr>
                <w:rFonts w:ascii="Times New Roman" w:eastAsiaTheme="minorEastAsia" w:hAnsi="Times New Roman" w:cs="Times New Roman"/>
                <w:kern w:val="0"/>
                <w:sz w:val="20"/>
                <w:szCs w:val="20"/>
                <w:lang w:eastAsia="ru-RU"/>
              </w:rPr>
              <w:t xml:space="preserve"> 89,3% от общего количества.</w:t>
            </w:r>
            <w:r w:rsidR="004713CA" w:rsidRPr="004713CA">
              <w:rPr>
                <w:rFonts w:ascii="Times New Roman" w:eastAsiaTheme="minorEastAsia" w:hAnsi="Times New Roman" w:cs="Times New Roman"/>
                <w:kern w:val="0"/>
                <w:sz w:val="20"/>
                <w:szCs w:val="20"/>
                <w:lang w:eastAsia="ru-RU"/>
              </w:rPr>
              <w:br/>
              <w:t xml:space="preserve">На территории </w:t>
            </w:r>
            <w:r w:rsidR="00023CD4">
              <w:rPr>
                <w:rFonts w:ascii="Times New Roman" w:eastAsiaTheme="minorEastAsia" w:hAnsi="Times New Roman" w:cs="Times New Roman"/>
                <w:kern w:val="0"/>
                <w:sz w:val="20"/>
                <w:szCs w:val="20"/>
                <w:lang w:eastAsia="ru-RU"/>
              </w:rPr>
              <w:t>г.о.</w:t>
            </w:r>
            <w:r w:rsidR="004713CA" w:rsidRPr="004713CA">
              <w:rPr>
                <w:rFonts w:ascii="Times New Roman" w:eastAsiaTheme="minorEastAsia" w:hAnsi="Times New Roman" w:cs="Times New Roman"/>
                <w:kern w:val="0"/>
                <w:sz w:val="20"/>
                <w:szCs w:val="20"/>
                <w:lang w:eastAsia="ru-RU"/>
              </w:rPr>
              <w:t xml:space="preserve"> Тольятти расположено 5 государственных казенных учреждений для детей-сирот и детей, оставшихся без попечения родителей, подведомственных министерству социально-демографической и семейной политики Самарской области, в которых воспитывается 150 детей, относящихся к категории детей-сирот и детей, оставшихся без попечения родителей, из них 38 детей прибыло с других территорий Самарской области. По законодательству надзор за прибывшими воспитанниками с других территорий осуществляет орган опеки и попечительства по месту их фактического нахождения.</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4"/>
                <w:szCs w:val="24"/>
                <w:lang w:eastAsia="ru-RU"/>
              </w:rPr>
              <w:t xml:space="preserve">Оказание поддержки социально ориентированным некоммерческим организациям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48.1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социально ориентированных некоммерческих организаций, получающих муниципальную поддержку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200 и более</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200 и более</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DF17C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101,7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070044" w:rsidRDefault="00643A3B" w:rsidP="004713CA">
            <w:pPr>
              <w:spacing w:before="100" w:beforeAutospacing="1" w:after="100" w:afterAutospacing="1" w:line="240" w:lineRule="auto"/>
              <w:rPr>
                <w:rFonts w:ascii="Times New Roman" w:eastAsiaTheme="minorEastAsia" w:hAnsi="Times New Roman" w:cs="Times New Roman"/>
                <w:kern w:val="0"/>
                <w:sz w:val="20"/>
                <w:szCs w:val="20"/>
                <w:lang w:val="en-US" w:eastAsia="ru-RU"/>
              </w:rPr>
            </w:pPr>
            <w:r>
              <w:rPr>
                <w:rFonts w:ascii="Times New Roman" w:eastAsiaTheme="minorEastAsia" w:hAnsi="Times New Roman" w:cs="Times New Roman"/>
                <w:kern w:val="0"/>
                <w:sz w:val="20"/>
                <w:szCs w:val="20"/>
                <w:lang w:eastAsia="ru-RU"/>
              </w:rPr>
              <w:t>-</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Городское хозяйство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4"/>
                <w:szCs w:val="24"/>
                <w:lang w:eastAsia="ru-RU"/>
              </w:rPr>
              <w:t xml:space="preserve">Жилищно – коммунальное хозяйство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Общее число многоквартирных домов, запланированных в отчетном периоде для проведения капитального ремонта, в том числе: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2024 года скорректирован на основании решений Думы городского округа Тольятти от 10.07.2024 №</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269, от 25.09.2024 № 287.</w:t>
            </w:r>
            <w:r w:rsidRPr="004713CA">
              <w:rPr>
                <w:rFonts w:ascii="Times New Roman" w:eastAsiaTheme="minorEastAsia" w:hAnsi="Times New Roman" w:cs="Times New Roman"/>
                <w:kern w:val="0"/>
                <w:sz w:val="20"/>
                <w:szCs w:val="20"/>
                <w:lang w:eastAsia="ru-RU"/>
              </w:rPr>
              <w:br/>
              <w:t>Отклонение фактического показателя за 2024 год от планового показателя связано с отсутствием заключенных с управляющими организациями Соглашений (договоров) субсидий в связи с невозможностью подготовки проектно-сметной документации и установки пандусов и подъемных механизмов в срок не позднее 10.11.2024, установленный п. 2.15.1 Порядка предоставления субсидий.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количество многоквартирных домов, в которых проведен капитальный ремонт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2024 года скорректирован на основании решений Думы городского округа Тольятти от 10.07.2024 №</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269, от 25.09.2024 № 287.</w:t>
            </w:r>
            <w:r w:rsidRPr="004713CA">
              <w:rPr>
                <w:rFonts w:ascii="Times New Roman" w:eastAsiaTheme="minorEastAsia" w:hAnsi="Times New Roman" w:cs="Times New Roman"/>
                <w:kern w:val="0"/>
                <w:sz w:val="20"/>
                <w:szCs w:val="20"/>
                <w:lang w:eastAsia="ru-RU"/>
              </w:rPr>
              <w:br/>
              <w:t>Отклонение фактического показателя за 2024 год от планового показателя связано с отсутствием заключенных с управляющими организациями Соглашений (договоров) субсидий в связи с невозможностью подготовки проектно-сметной документации и установки пандусов и подъемных механизмов в срок не позднее 10.11.2024, установленный п. 2.15.1 Порядка предоставления субсидий.</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Дорожное хозяйство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Объем расходов бюджета городского округа на модернизацию и развитие автомобильных дорог в общем объеме бюджетных ассигнований, в том числе на: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13D03"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869</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609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833</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237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635</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251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-197</w:t>
            </w:r>
            <w:r w:rsidR="00113D03">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986</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811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87,5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113D03">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2024 года скорректирован с 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372</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605 тыс.</w:t>
            </w:r>
            <w:r w:rsidR="00113D03">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руб. на 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833</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237 тыс.</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руб. на основании решения Думы городского округа Тольятти от 25.12.2024 № 394. Отклонение фактического показателя от планового в сумме 197</w:t>
            </w:r>
            <w:r w:rsidR="00313BEF">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986 тыс. руб. сложилось в связи с оплатой за фактически выполненные объемы.</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ремонт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13D03"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204</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689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423</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351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029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-72</w:t>
            </w:r>
            <w:r w:rsidR="00113D03">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823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50</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112,1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2024 года скорректирован с 721 650 тыс.</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руб. на 1</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423</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852 тыс.</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 xml:space="preserve">руб. на основании решения Думы городского округа Тольятти от 25.12.2024 № 394. Отклонение фактического показателя от планового в сумме </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72</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823 тыс. руб. сложилось в связи с оплатой за фактически выполненные объемы.</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аварийный (ямочный) ремонт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13D03"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171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171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138</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107,9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рамках заключенного муниципального контракта на содержание улично-дорожной сети от 12.09.2023 № 0842200002123000242_259977</w:t>
            </w:r>
            <w:r w:rsidR="00113D03">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капитальный ремонт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13D03"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76</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109</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-109</w:t>
            </w:r>
            <w:r w:rsidR="00113D03">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023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B80B87"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2024 года скорректирован на основании решения Думы городского округа Тольятти от 20.03.2024 № 155. Отклонение фактического показателя от планового в сумме 109</w:t>
            </w:r>
            <w:r w:rsidR="00113D0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023 тыс. руб. сложилось в связи с необходимостью корректировки проекта по решению суда.</w:t>
            </w:r>
            <w:r w:rsidRPr="004713CA">
              <w:rPr>
                <w:rFonts w:ascii="Times New Roman" w:eastAsiaTheme="minorEastAsia" w:hAnsi="Times New Roman" w:cs="Times New Roman"/>
                <w:kern w:val="0"/>
                <w:sz w:val="20"/>
                <w:szCs w:val="20"/>
                <w:lang w:eastAsia="ru-RU"/>
              </w:rPr>
              <w:br/>
              <w:t>После передачи ООО «Атлант-СК» откорректированной проектной документации, работы по капитальному ремонту будут продолжены в 2025 году.</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строительство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B80B87"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615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B80B87"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реконструкцию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B80B87"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299</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619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B80B87"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ремонт дворовых территорий многоквартирных домов и проездов к ним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B80B87"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140</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255</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239</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542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-16</w:t>
            </w:r>
            <w:r w:rsidR="00B80B87">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110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309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170,8</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7424EF">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Показатель сводный по департаменту дорожного хозяйства и </w:t>
            </w:r>
            <w:r w:rsidRPr="007D043E">
              <w:rPr>
                <w:rFonts w:ascii="Times New Roman" w:eastAsiaTheme="minorEastAsia" w:hAnsi="Times New Roman" w:cs="Times New Roman"/>
                <w:kern w:val="0"/>
                <w:sz w:val="20"/>
                <w:szCs w:val="20"/>
                <w:lang w:eastAsia="ru-RU"/>
              </w:rPr>
              <w:t>транспорта (</w:t>
            </w:r>
            <w:r w:rsidR="007D043E" w:rsidRPr="007D043E">
              <w:rPr>
                <w:rFonts w:ascii="Times New Roman" w:eastAsiaTheme="minorEastAsia" w:hAnsi="Times New Roman" w:cs="Times New Roman"/>
                <w:kern w:val="0"/>
                <w:sz w:val="20"/>
                <w:szCs w:val="20"/>
                <w:lang w:eastAsia="ru-RU"/>
              </w:rPr>
              <w:t xml:space="preserve">далее - </w:t>
            </w:r>
            <w:r w:rsidRPr="007D043E">
              <w:rPr>
                <w:rFonts w:ascii="Times New Roman" w:eastAsiaTheme="minorEastAsia" w:hAnsi="Times New Roman" w:cs="Times New Roman"/>
                <w:kern w:val="0"/>
                <w:sz w:val="20"/>
                <w:szCs w:val="20"/>
                <w:lang w:eastAsia="ru-RU"/>
              </w:rPr>
              <w:t>ДДХиТ)</w:t>
            </w:r>
            <w:r w:rsidRPr="004713CA">
              <w:rPr>
                <w:rFonts w:ascii="Times New Roman" w:eastAsiaTheme="minorEastAsia" w:hAnsi="Times New Roman" w:cs="Times New Roman"/>
                <w:kern w:val="0"/>
                <w:sz w:val="20"/>
                <w:szCs w:val="20"/>
                <w:lang w:eastAsia="ru-RU"/>
              </w:rPr>
              <w:t xml:space="preserve"> и департаменту городского хозяйства (</w:t>
            </w:r>
            <w:r w:rsidR="007D043E">
              <w:rPr>
                <w:rFonts w:ascii="Times New Roman" w:eastAsiaTheme="minorEastAsia" w:hAnsi="Times New Roman" w:cs="Times New Roman"/>
                <w:kern w:val="0"/>
                <w:sz w:val="20"/>
                <w:szCs w:val="20"/>
                <w:lang w:eastAsia="ru-RU"/>
              </w:rPr>
              <w:t xml:space="preserve">далее - </w:t>
            </w:r>
            <w:r w:rsidRPr="004713CA">
              <w:rPr>
                <w:rFonts w:ascii="Times New Roman" w:eastAsiaTheme="minorEastAsia" w:hAnsi="Times New Roman" w:cs="Times New Roman"/>
                <w:kern w:val="0"/>
                <w:sz w:val="20"/>
                <w:szCs w:val="20"/>
                <w:lang w:eastAsia="ru-RU"/>
              </w:rPr>
              <w:t xml:space="preserve">ДГХ). </w:t>
            </w:r>
            <w:r w:rsidRPr="004713CA">
              <w:rPr>
                <w:rFonts w:ascii="Times New Roman" w:eastAsiaTheme="minorEastAsia" w:hAnsi="Times New Roman" w:cs="Times New Roman"/>
                <w:kern w:val="0"/>
                <w:sz w:val="20"/>
                <w:szCs w:val="20"/>
                <w:lang w:eastAsia="ru-RU"/>
              </w:rPr>
              <w:br/>
              <w:t xml:space="preserve">Информация ДДХиТ: план на 2024 год - 110 673 тыс. руб., факт - </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110 591 тыс. руб. Плановый показатель 2024 года скорректирован на основании решения Думы городского округа Тольятти от 25.12.2024 № 394. Отклонение связано с оплатой за фактически выполненный объем работ. </w:t>
            </w:r>
            <w:r w:rsidRPr="004713CA">
              <w:rPr>
                <w:rFonts w:ascii="Times New Roman" w:eastAsiaTheme="minorEastAsia" w:hAnsi="Times New Roman" w:cs="Times New Roman"/>
                <w:kern w:val="0"/>
                <w:sz w:val="20"/>
                <w:szCs w:val="20"/>
                <w:lang w:eastAsia="ru-RU"/>
              </w:rPr>
              <w:br/>
              <w:t>Информация ДГХ:</w:t>
            </w:r>
            <w:r w:rsidRPr="004713CA">
              <w:rPr>
                <w:rFonts w:ascii="Times New Roman" w:eastAsiaTheme="minorEastAsia" w:hAnsi="Times New Roman" w:cs="Times New Roman"/>
                <w:kern w:val="0"/>
                <w:sz w:val="20"/>
                <w:szCs w:val="20"/>
                <w:lang w:eastAsia="ru-RU"/>
              </w:rPr>
              <w:br/>
            </w:r>
            <w:r w:rsidR="009E701B">
              <w:rPr>
                <w:rFonts w:ascii="Times New Roman" w:eastAsiaTheme="minorEastAsia" w:hAnsi="Times New Roman" w:cs="Times New Roman"/>
                <w:kern w:val="0"/>
                <w:sz w:val="20"/>
                <w:szCs w:val="20"/>
                <w:lang w:eastAsia="ru-RU"/>
              </w:rPr>
              <w:t xml:space="preserve">план на </w:t>
            </w:r>
            <w:r w:rsidRPr="004713CA">
              <w:rPr>
                <w:rFonts w:ascii="Times New Roman" w:eastAsiaTheme="minorEastAsia" w:hAnsi="Times New Roman" w:cs="Times New Roman"/>
                <w:kern w:val="0"/>
                <w:sz w:val="20"/>
                <w:szCs w:val="20"/>
                <w:lang w:eastAsia="ru-RU"/>
              </w:rPr>
              <w:t>2024</w:t>
            </w:r>
            <w:r w:rsidR="00B80B87">
              <w:rPr>
                <w:rFonts w:ascii="Times New Roman" w:eastAsiaTheme="minorEastAsia" w:hAnsi="Times New Roman" w:cs="Times New Roman"/>
                <w:kern w:val="0"/>
                <w:sz w:val="20"/>
                <w:szCs w:val="20"/>
                <w:lang w:eastAsia="ru-RU"/>
              </w:rPr>
              <w:t xml:space="preserve"> </w:t>
            </w:r>
            <w:r w:rsidR="009E701B">
              <w:rPr>
                <w:rFonts w:ascii="Times New Roman" w:eastAsiaTheme="minorEastAsia" w:hAnsi="Times New Roman" w:cs="Times New Roman"/>
                <w:kern w:val="0"/>
                <w:sz w:val="20"/>
                <w:szCs w:val="20"/>
                <w:lang w:eastAsia="ru-RU"/>
              </w:rPr>
              <w:t>год -</w:t>
            </w:r>
            <w:r w:rsidRPr="004713CA">
              <w:rPr>
                <w:rFonts w:ascii="Times New Roman" w:eastAsiaTheme="minorEastAsia" w:hAnsi="Times New Roman" w:cs="Times New Roman"/>
                <w:kern w:val="0"/>
                <w:sz w:val="20"/>
                <w:szCs w:val="20"/>
                <w:lang w:eastAsia="ru-RU"/>
              </w:rPr>
              <w:t xml:space="preserve"> 144 979 тыс. руб.,</w:t>
            </w:r>
            <w:r w:rsidR="009E701B">
              <w:rPr>
                <w:rFonts w:ascii="Times New Roman" w:eastAsiaTheme="minorEastAsia" w:hAnsi="Times New Roman" w:cs="Times New Roman"/>
                <w:kern w:val="0"/>
                <w:sz w:val="20"/>
                <w:szCs w:val="20"/>
                <w:lang w:eastAsia="ru-RU"/>
              </w:rPr>
              <w:t xml:space="preserve"> факт на 2024 год -128 951 тыс. руб.,</w:t>
            </w:r>
            <w:r w:rsidRPr="004713CA">
              <w:rPr>
                <w:rFonts w:ascii="Times New Roman" w:eastAsiaTheme="minorEastAsia" w:hAnsi="Times New Roman" w:cs="Times New Roman"/>
                <w:kern w:val="0"/>
                <w:sz w:val="20"/>
                <w:szCs w:val="20"/>
                <w:lang w:eastAsia="ru-RU"/>
              </w:rPr>
              <w:t xml:space="preserve"> в том числе:</w:t>
            </w:r>
            <w:r w:rsidRPr="004713CA">
              <w:rPr>
                <w:rFonts w:ascii="Times New Roman" w:eastAsiaTheme="minorEastAsia" w:hAnsi="Times New Roman" w:cs="Times New Roman"/>
                <w:kern w:val="0"/>
                <w:sz w:val="20"/>
                <w:szCs w:val="20"/>
                <w:lang w:eastAsia="ru-RU"/>
              </w:rPr>
              <w:br/>
              <w:t xml:space="preserve">- </w:t>
            </w:r>
            <w:r w:rsidR="009E701B">
              <w:rPr>
                <w:rFonts w:ascii="Times New Roman" w:eastAsiaTheme="minorEastAsia" w:hAnsi="Times New Roman" w:cs="Times New Roman"/>
                <w:kern w:val="0"/>
                <w:sz w:val="20"/>
                <w:szCs w:val="20"/>
                <w:lang w:eastAsia="ru-RU"/>
              </w:rPr>
              <w:t>план -</w:t>
            </w:r>
            <w:r w:rsidRPr="004713CA">
              <w:rPr>
                <w:rFonts w:ascii="Times New Roman" w:eastAsiaTheme="minorEastAsia" w:hAnsi="Times New Roman" w:cs="Times New Roman"/>
                <w:kern w:val="0"/>
                <w:sz w:val="20"/>
                <w:szCs w:val="20"/>
                <w:lang w:eastAsia="ru-RU"/>
              </w:rPr>
              <w:t>1</w:t>
            </w:r>
            <w:r w:rsidR="007D043E">
              <w:rPr>
                <w:rFonts w:ascii="Times New Roman" w:eastAsiaTheme="minorEastAsia" w:hAnsi="Times New Roman" w:cs="Times New Roman"/>
                <w:kern w:val="0"/>
                <w:sz w:val="20"/>
                <w:szCs w:val="20"/>
                <w:lang w:eastAsia="ru-RU"/>
              </w:rPr>
              <w:t>21 768 тыс. руб.</w:t>
            </w:r>
            <w:r w:rsidR="009E701B">
              <w:rPr>
                <w:rFonts w:ascii="Times New Roman" w:eastAsiaTheme="minorEastAsia" w:hAnsi="Times New Roman" w:cs="Times New Roman"/>
                <w:kern w:val="0"/>
                <w:sz w:val="20"/>
                <w:szCs w:val="20"/>
                <w:lang w:eastAsia="ru-RU"/>
              </w:rPr>
              <w:t>, факт – 105 743 тыс. руб.</w:t>
            </w:r>
            <w:r w:rsidR="007D043E">
              <w:rPr>
                <w:rFonts w:ascii="Times New Roman" w:eastAsiaTheme="minorEastAsia" w:hAnsi="Times New Roman" w:cs="Times New Roman"/>
                <w:kern w:val="0"/>
                <w:sz w:val="20"/>
                <w:szCs w:val="20"/>
                <w:lang w:eastAsia="ru-RU"/>
              </w:rPr>
              <w:t xml:space="preserve"> - в рамках МП «</w:t>
            </w:r>
            <w:r w:rsidRPr="004713CA">
              <w:rPr>
                <w:rFonts w:ascii="Times New Roman" w:eastAsiaTheme="minorEastAsia" w:hAnsi="Times New Roman" w:cs="Times New Roman"/>
                <w:kern w:val="0"/>
                <w:sz w:val="20"/>
                <w:szCs w:val="20"/>
                <w:lang w:eastAsia="ru-RU"/>
              </w:rPr>
              <w:t>Благоустройство территорий городского округа Тольятти на 2015-2024 годы</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 xml:space="preserve">- </w:t>
            </w:r>
            <w:r w:rsidR="009E701B">
              <w:rPr>
                <w:rFonts w:ascii="Times New Roman" w:eastAsiaTheme="minorEastAsia" w:hAnsi="Times New Roman" w:cs="Times New Roman"/>
                <w:kern w:val="0"/>
                <w:sz w:val="20"/>
                <w:szCs w:val="20"/>
                <w:lang w:eastAsia="ru-RU"/>
              </w:rPr>
              <w:t xml:space="preserve">план - </w:t>
            </w:r>
            <w:r w:rsidRPr="004713CA">
              <w:rPr>
                <w:rFonts w:ascii="Times New Roman" w:eastAsiaTheme="minorEastAsia" w:hAnsi="Times New Roman" w:cs="Times New Roman"/>
                <w:kern w:val="0"/>
                <w:sz w:val="20"/>
                <w:szCs w:val="20"/>
                <w:lang w:eastAsia="ru-RU"/>
              </w:rPr>
              <w:t>6 211 тыс. руб.</w:t>
            </w:r>
            <w:r w:rsidR="009E701B">
              <w:rPr>
                <w:rFonts w:ascii="Times New Roman" w:eastAsiaTheme="minorEastAsia" w:hAnsi="Times New Roman" w:cs="Times New Roman"/>
                <w:kern w:val="0"/>
                <w:sz w:val="20"/>
                <w:szCs w:val="20"/>
                <w:lang w:eastAsia="ru-RU"/>
              </w:rPr>
              <w:t>, факт - 6 211 тыс. руб.</w:t>
            </w:r>
            <w:r w:rsidRPr="004713CA">
              <w:rPr>
                <w:rFonts w:ascii="Times New Roman" w:eastAsiaTheme="minorEastAsia" w:hAnsi="Times New Roman" w:cs="Times New Roman"/>
                <w:kern w:val="0"/>
                <w:sz w:val="20"/>
                <w:szCs w:val="20"/>
                <w:lang w:eastAsia="ru-RU"/>
              </w:rPr>
              <w:t xml:space="preserve"> - в рамках МП</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Формирование современной городской среды на 2018 - 2024 годы</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 xml:space="preserve">- </w:t>
            </w:r>
            <w:r w:rsidR="009E701B">
              <w:rPr>
                <w:rFonts w:ascii="Times New Roman" w:eastAsiaTheme="minorEastAsia" w:hAnsi="Times New Roman" w:cs="Times New Roman"/>
                <w:kern w:val="0"/>
                <w:sz w:val="20"/>
                <w:szCs w:val="20"/>
                <w:lang w:eastAsia="ru-RU"/>
              </w:rPr>
              <w:t xml:space="preserve">план - </w:t>
            </w:r>
            <w:r w:rsidR="007D043E">
              <w:rPr>
                <w:rFonts w:ascii="Times New Roman" w:eastAsiaTheme="minorEastAsia" w:hAnsi="Times New Roman" w:cs="Times New Roman"/>
                <w:kern w:val="0"/>
                <w:sz w:val="20"/>
                <w:szCs w:val="20"/>
                <w:lang w:eastAsia="ru-RU"/>
              </w:rPr>
              <w:t>17 000 тыс. руб.</w:t>
            </w:r>
            <w:r w:rsidR="009E701B">
              <w:rPr>
                <w:rFonts w:ascii="Times New Roman" w:eastAsiaTheme="minorEastAsia" w:hAnsi="Times New Roman" w:cs="Times New Roman"/>
                <w:kern w:val="0"/>
                <w:sz w:val="20"/>
                <w:szCs w:val="20"/>
                <w:lang w:eastAsia="ru-RU"/>
              </w:rPr>
              <w:t>, факт -               16 997 тыс. руб.</w:t>
            </w:r>
            <w:r w:rsidR="007D043E">
              <w:rPr>
                <w:rFonts w:ascii="Times New Roman" w:eastAsiaTheme="minorEastAsia" w:hAnsi="Times New Roman" w:cs="Times New Roman"/>
                <w:kern w:val="0"/>
                <w:sz w:val="20"/>
                <w:szCs w:val="20"/>
                <w:lang w:eastAsia="ru-RU"/>
              </w:rPr>
              <w:t xml:space="preserve"> - в рамках МП «</w:t>
            </w:r>
            <w:r w:rsidRPr="004713CA">
              <w:rPr>
                <w:rFonts w:ascii="Times New Roman" w:eastAsiaTheme="minorEastAsia" w:hAnsi="Times New Roman" w:cs="Times New Roman"/>
                <w:kern w:val="0"/>
                <w:sz w:val="20"/>
                <w:szCs w:val="20"/>
                <w:lang w:eastAsia="ru-RU"/>
              </w:rPr>
              <w:t>Тольятти - чистый город</w:t>
            </w:r>
            <w:r w:rsidR="007D043E">
              <w:rPr>
                <w:rFonts w:ascii="Times New Roman" w:eastAsiaTheme="minorEastAsia" w:hAnsi="Times New Roman" w:cs="Times New Roman"/>
                <w:kern w:val="0"/>
                <w:sz w:val="20"/>
                <w:szCs w:val="20"/>
                <w:lang w:eastAsia="ru-RU"/>
              </w:rPr>
              <w:t>» на 2020-2024 годы»</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Отклонение фактического показателя за 2024 год от планового показателя связано с уточнением вида работ управляющими организациями.</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отсыпку асфальтогранулятом дорог, расположенных в зоне застройки индивидуальными жилыми домами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F636F7"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619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509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r w:rsidR="00B80B8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520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93,2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Отклонение фактического показателя от планового в сумме 30 тыс. руб. сложилось в связи с оплатой за фактически выполненные объемы.</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Общая площадь автомобильных дорог общего пользования местного значения, из них: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F636F7"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315</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330</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330</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308</w:t>
            </w:r>
            <w:r w:rsidR="00F636F7">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Плановый показатель на 2024 год скорректирован на основании решения Думы городского округа Тольятти от 25.09.2024 № 287. </w:t>
            </w:r>
            <w:r w:rsidRPr="004713CA">
              <w:rPr>
                <w:rFonts w:ascii="Times New Roman" w:eastAsiaTheme="minorEastAsia" w:hAnsi="Times New Roman" w:cs="Times New Roman"/>
                <w:kern w:val="0"/>
                <w:sz w:val="20"/>
                <w:szCs w:val="20"/>
                <w:lang w:eastAsia="ru-RU"/>
              </w:rPr>
              <w:br/>
              <w:t>Увеличение показателя общей площади автомобильных дорог общего пользования местного значения в 2024 году произошло в результате принятия на содержание ранее бесхозяйных и принятых в муниципальную собственность автомобильных дорог.</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доля автомобильных дорог, на которых проведен ремонт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A694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114,3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Плановый показатель на 2024 год скорректирован на основании решения Думы городского округа Тольятти от 10.07.2024 года № 269. Увеличение показателя произошло в результате выделения дополнительного финансирования на выполнение работ по ремонту автомобильных дорог общего пользования местного значения городского округа Тольятти.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доля автомобильных дорог, на которых проведен капитальный ремонт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A694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1A694B"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Общая площадь автомобильных дорог, расположенных в зоне застройки индивидуальными жилыми домами, из них: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A694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472</w:t>
            </w:r>
            <w:r w:rsidR="001A694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491</w:t>
            </w:r>
            <w:r w:rsidR="001A694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491</w:t>
            </w:r>
            <w:r w:rsidR="001A694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491</w:t>
            </w:r>
            <w:r w:rsidR="001A694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104,1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Увеличение планового показателя в 2024 году произошло в результате принятия на содержание ранее бесхозяйных и принятых в муниципальную собственность автомобильных дорог.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доля дорог, на которых произведена отсыпка асфальтогранулятом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1A694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83,3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Плановый показатель на 2024 год скорректирован по результатам завершения </w:t>
            </w:r>
            <w:r w:rsidR="00313BEF">
              <w:rPr>
                <w:rFonts w:ascii="Times New Roman" w:eastAsiaTheme="minorEastAsia" w:hAnsi="Times New Roman" w:cs="Times New Roman"/>
                <w:kern w:val="0"/>
                <w:sz w:val="20"/>
                <w:szCs w:val="20"/>
                <w:lang w:eastAsia="ru-RU"/>
              </w:rPr>
              <w:t>второго</w:t>
            </w:r>
            <w:r w:rsidRPr="004713CA">
              <w:rPr>
                <w:rFonts w:ascii="Times New Roman" w:eastAsiaTheme="minorEastAsia" w:hAnsi="Times New Roman" w:cs="Times New Roman"/>
                <w:kern w:val="0"/>
                <w:sz w:val="20"/>
                <w:szCs w:val="20"/>
                <w:lang w:eastAsia="ru-RU"/>
              </w:rPr>
              <w:t xml:space="preserve"> этапа работ по отсыпке асфальтогранулятом автомобильных дорог мкр. Тимофеевка-2 и мкр. Новоматюшкино. Финансирование скорректировано в соответствии с фактически выполненным объемом работ.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Общая площадь дворовых территорий многоквартирных домов и проездов к ним, из них: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209</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209</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209</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209</w:t>
            </w:r>
            <w:r w:rsidR="00610C12">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7D043E"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доля отремонтированных дворовых территорий многоквартирных домов и проездов к ним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0,44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0,11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0,37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0,26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0,07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84,1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2024 года скорректирован на основании решения Думы городского округа Тольятти от 05.06.2024 № 230 и от 15.08.2024 № 283.</w:t>
            </w:r>
            <w:r w:rsidRPr="004713CA">
              <w:rPr>
                <w:rFonts w:ascii="Times New Roman" w:eastAsiaTheme="minorEastAsia" w:hAnsi="Times New Roman" w:cs="Times New Roman"/>
                <w:kern w:val="0"/>
                <w:sz w:val="20"/>
                <w:szCs w:val="20"/>
                <w:lang w:eastAsia="ru-RU"/>
              </w:rPr>
              <w:br/>
              <w:t>Отклонение фактического показателя за 2024 год от планового показателя связано с уточнением вида работ управляющими организациями. Фактический показатель 2024 года определен следующим образом 45 242 кв. м. (отремонтированные проезды к дворовым территориям в 2024 году) / 12209130 кв. м. (общая площадь дворовых территорий)*100=0,37%</w:t>
            </w:r>
            <w:r w:rsidR="00872FCC">
              <w:rPr>
                <w:rFonts w:ascii="Times New Roman" w:eastAsiaTheme="minorEastAsia" w:hAnsi="Times New Roman" w:cs="Times New Roman"/>
                <w:kern w:val="0"/>
                <w:sz w:val="20"/>
                <w:szCs w:val="20"/>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финансирования мероприятий по содержанию улично-дорожной сети от нормативной потребности в финансировании затрат на ее содержание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E24E90"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109,5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E24E90"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Объем финансовых средств (потребность), необходимых для устранения предписаний ГИБДД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E24E90"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на 2024 год скорректирован в связи с отсутствием предписаний ГИБДД.</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56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освоенных финансовых средств на устранение в отчетном периоде предписаний ГИБДД от общего объема финансовых средств, необходимых для устранения предписаний ГИБДД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E24E90"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E24E90"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4"/>
                <w:szCs w:val="24"/>
                <w:lang w:eastAsia="ru-RU"/>
              </w:rPr>
              <w:t xml:space="preserve">Предпринимательство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Содержание одного рабочего места в бизнес-инкубаторе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1C6E07" w:rsidRDefault="001C6E07" w:rsidP="004713CA">
            <w:pPr>
              <w:spacing w:before="100" w:beforeAutospacing="1" w:after="100" w:afterAutospacing="1" w:line="240" w:lineRule="auto"/>
              <w:rPr>
                <w:rFonts w:ascii="Times New Roman" w:eastAsiaTheme="minorEastAsia" w:hAnsi="Times New Roman" w:cs="Times New Roman"/>
                <w:kern w:val="0"/>
                <w:sz w:val="20"/>
                <w:szCs w:val="20"/>
                <w:lang w:val="en-US" w:eastAsia="ru-RU"/>
              </w:rPr>
            </w:pPr>
            <w:r>
              <w:rPr>
                <w:rFonts w:ascii="Times New Roman" w:eastAsiaTheme="minorEastAsia" w:hAnsi="Times New Roman" w:cs="Times New Roman"/>
                <w:kern w:val="0"/>
                <w:sz w:val="20"/>
                <w:szCs w:val="20"/>
                <w:lang w:val="en-US" w:eastAsia="ru-RU"/>
              </w:rPr>
              <w:t>21,8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1C6E07" w:rsidRDefault="001C6E07" w:rsidP="004713CA">
            <w:pPr>
              <w:spacing w:before="100" w:beforeAutospacing="1" w:after="100" w:afterAutospacing="1" w:line="240" w:lineRule="auto"/>
              <w:rPr>
                <w:rFonts w:ascii="Times New Roman" w:eastAsiaTheme="minorEastAsia" w:hAnsi="Times New Roman" w:cs="Times New Roman"/>
                <w:kern w:val="0"/>
                <w:sz w:val="20"/>
                <w:szCs w:val="20"/>
                <w:lang w:val="en-US" w:eastAsia="ru-RU"/>
              </w:rPr>
            </w:pPr>
            <w:r>
              <w:rPr>
                <w:rFonts w:ascii="Times New Roman" w:eastAsiaTheme="minorEastAsia" w:hAnsi="Times New Roman" w:cs="Times New Roman"/>
                <w:kern w:val="0"/>
                <w:sz w:val="20"/>
                <w:szCs w:val="20"/>
                <w:lang w:val="en-US" w:eastAsia="ru-RU"/>
              </w:rPr>
              <w:t>-3,3</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1C6E07" w:rsidRDefault="001C6E07" w:rsidP="004713CA">
            <w:pPr>
              <w:spacing w:before="100" w:beforeAutospacing="1" w:after="100" w:afterAutospacing="1" w:line="240" w:lineRule="auto"/>
              <w:rPr>
                <w:rFonts w:ascii="Times New Roman" w:eastAsiaTheme="minorEastAsia" w:hAnsi="Times New Roman" w:cs="Times New Roman"/>
                <w:kern w:val="0"/>
                <w:sz w:val="20"/>
                <w:szCs w:val="20"/>
                <w:lang w:val="en-US" w:eastAsia="ru-RU"/>
              </w:rPr>
            </w:pPr>
            <w:r>
              <w:rPr>
                <w:rFonts w:ascii="Times New Roman" w:eastAsiaTheme="minorEastAsia" w:hAnsi="Times New Roman" w:cs="Times New Roman"/>
                <w:kern w:val="0"/>
                <w:sz w:val="20"/>
                <w:szCs w:val="20"/>
                <w:lang w:val="en-US" w:eastAsia="ru-RU"/>
              </w:rPr>
              <w:t>23,3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1C6E07" w:rsidRDefault="001C6E07" w:rsidP="004713CA">
            <w:pPr>
              <w:spacing w:before="100" w:beforeAutospacing="1" w:after="100" w:afterAutospacing="1" w:line="240" w:lineRule="auto"/>
              <w:rPr>
                <w:rFonts w:ascii="Times New Roman" w:eastAsiaTheme="minorEastAsia" w:hAnsi="Times New Roman" w:cs="Times New Roman"/>
                <w:kern w:val="0"/>
                <w:sz w:val="20"/>
                <w:szCs w:val="20"/>
                <w:lang w:val="en-US" w:eastAsia="ru-RU"/>
              </w:rPr>
            </w:pPr>
            <w:r>
              <w:rPr>
                <w:rFonts w:ascii="Times New Roman" w:eastAsiaTheme="minorEastAsia" w:hAnsi="Times New Roman" w:cs="Times New Roman"/>
                <w:kern w:val="0"/>
                <w:sz w:val="20"/>
                <w:szCs w:val="20"/>
                <w:lang w:val="en-US" w:eastAsia="ru-RU"/>
              </w:rPr>
              <w:t>94,0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При расчете показателя за 2024 год стоимость рассчитана исходя из площади (3095,3 кв.м.) непосредственно занимаемой резидентами бизнес-инкубатора и сотрудниками МАУ </w:t>
            </w:r>
            <w:r w:rsidR="00872FCC">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АЭР</w:t>
            </w:r>
            <w:r w:rsidR="00872FCC">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Значение показателя рассчитывалось по формуле: объем финансового обеспечения на функционирование бизнес-инкубатора - </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17 356,1/эксплуатируемая площадь всего, в том числе зданий, прилегающей территории - 6888,16 кв.м.*площадь, непосредственно занимаемая резидентами и сотрудниками учреждения - 3095,3 кв.м./кол-во рабочих мест у резидентов бизнес-инкубатора, МАУ </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АЭР</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и количество рабочих мест организаций инфраструктуры поддержки - </w:t>
            </w:r>
            <w:r w:rsidR="001C6E07" w:rsidRPr="001C6E07">
              <w:rPr>
                <w:rFonts w:ascii="Times New Roman" w:eastAsiaTheme="minorEastAsia" w:hAnsi="Times New Roman" w:cs="Times New Roman"/>
                <w:kern w:val="0"/>
                <w:sz w:val="20"/>
                <w:szCs w:val="20"/>
                <w:lang w:eastAsia="ru-RU"/>
              </w:rPr>
              <w:t>358</w:t>
            </w:r>
            <w:r w:rsidRPr="004713CA">
              <w:rPr>
                <w:rFonts w:ascii="Times New Roman" w:eastAsiaTheme="minorEastAsia" w:hAnsi="Times New Roman" w:cs="Times New Roman"/>
                <w:kern w:val="0"/>
                <w:sz w:val="20"/>
                <w:szCs w:val="20"/>
                <w:lang w:eastAsia="ru-RU"/>
              </w:rPr>
              <w:t xml:space="preserve"> ед. Показатель рассчитан по формуле: </w:t>
            </w:r>
            <w:r w:rsidR="000472E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(17 356,1/6888,16)</w:t>
            </w:r>
            <w:r w:rsidR="001C6E07" w:rsidRP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*(3095,3/</w:t>
            </w:r>
            <w:r w:rsidR="001C6E07" w:rsidRPr="007D043E">
              <w:rPr>
                <w:rFonts w:ascii="Times New Roman" w:eastAsiaTheme="minorEastAsia" w:hAnsi="Times New Roman" w:cs="Times New Roman"/>
                <w:kern w:val="0"/>
                <w:sz w:val="20"/>
                <w:szCs w:val="20"/>
                <w:lang w:eastAsia="ru-RU"/>
              </w:rPr>
              <w:t>358</w:t>
            </w:r>
            <w:r w:rsidRPr="004713CA">
              <w:rPr>
                <w:rFonts w:ascii="Times New Roman" w:eastAsiaTheme="minorEastAsia" w:hAnsi="Times New Roman" w:cs="Times New Roman"/>
                <w:kern w:val="0"/>
                <w:sz w:val="20"/>
                <w:szCs w:val="20"/>
                <w:lang w:eastAsia="ru-RU"/>
              </w:rPr>
              <w:t>)=2,519*</w:t>
            </w:r>
            <w:r w:rsidR="001C6E07" w:rsidRPr="007D043E">
              <w:rPr>
                <w:rFonts w:ascii="Times New Roman" w:eastAsiaTheme="minorEastAsia" w:hAnsi="Times New Roman" w:cs="Times New Roman"/>
                <w:kern w:val="0"/>
                <w:sz w:val="20"/>
                <w:szCs w:val="20"/>
                <w:lang w:eastAsia="ru-RU"/>
              </w:rPr>
              <w:t>8,65</w:t>
            </w:r>
            <w:r w:rsidRPr="004713CA">
              <w:rPr>
                <w:rFonts w:ascii="Times New Roman" w:eastAsiaTheme="minorEastAsia" w:hAnsi="Times New Roman" w:cs="Times New Roman"/>
                <w:kern w:val="0"/>
                <w:sz w:val="20"/>
                <w:szCs w:val="20"/>
                <w:lang w:eastAsia="ru-RU"/>
              </w:rPr>
              <w:t>=</w:t>
            </w:r>
            <w:r w:rsidR="001C6E07" w:rsidRPr="007D043E">
              <w:rPr>
                <w:rFonts w:ascii="Times New Roman" w:eastAsiaTheme="minorEastAsia" w:hAnsi="Times New Roman" w:cs="Times New Roman"/>
                <w:kern w:val="0"/>
                <w:sz w:val="20"/>
                <w:szCs w:val="20"/>
                <w:lang w:eastAsia="ru-RU"/>
              </w:rPr>
              <w:t>21,8</w:t>
            </w:r>
            <w:r w:rsidRPr="004713CA">
              <w:rPr>
                <w:rFonts w:ascii="Times New Roman" w:eastAsiaTheme="minorEastAsia" w:hAnsi="Times New Roman" w:cs="Times New Roman"/>
                <w:kern w:val="0"/>
                <w:sz w:val="20"/>
                <w:szCs w:val="20"/>
                <w:lang w:eastAsia="ru-RU"/>
              </w:rPr>
              <w:t xml:space="preserve"> тыс. руб.</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среднесписочной численности работников малых и средних предприятий (без внешних совместителей) в среднесписочной численности работников (без внешних совместителей) всех предприятий и организаций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45,6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46,8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DF17CB"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102,6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Расчет показателя за 2024 год: </w:t>
            </w:r>
            <w:r w:rsidR="00872FC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107 808 чел. /230 198 чел.*100 = 46,8%, где 107 808 чел. – среднесписочная численность работников малых и средних предприятий (без внешних совместителей) за 2024 год по данным УФНС России по Самарской области, 230 198 чел. - среднесписочная численность работников всех организаций за 2024 год по данным УФНС России по Самарской области.</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Число субъектов малого и среднего предпринимательства в расчете на 10 тыс. человек населения (с указанием численности населения городского округа Тольятти за отчетный период)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p w:rsidR="008E4D79"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p w:rsidR="008E4D79"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p w:rsidR="008E4D79"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p w:rsidR="008E4D79" w:rsidRPr="004713CA"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DF17CB"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Расчет показателя за 2024 год: </w:t>
            </w:r>
            <w:r w:rsidR="00735016">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31 552 ед./662 6</w:t>
            </w:r>
            <w:r w:rsidR="00735016">
              <w:rPr>
                <w:rFonts w:ascii="Times New Roman" w:eastAsiaTheme="minorEastAsia" w:hAnsi="Times New Roman" w:cs="Times New Roman"/>
                <w:kern w:val="0"/>
                <w:sz w:val="20"/>
                <w:szCs w:val="20"/>
                <w:lang w:eastAsia="ru-RU"/>
              </w:rPr>
              <w:t>83</w:t>
            </w:r>
            <w:r w:rsidRPr="004713CA">
              <w:rPr>
                <w:rFonts w:ascii="Times New Roman" w:eastAsiaTheme="minorEastAsia" w:hAnsi="Times New Roman" w:cs="Times New Roman"/>
                <w:kern w:val="0"/>
                <w:sz w:val="20"/>
                <w:szCs w:val="20"/>
                <w:lang w:eastAsia="ru-RU"/>
              </w:rPr>
              <w:t xml:space="preserve">*10000, где 31 552 ед. - количество СМСП по данным Единого реестра субъектов малого и среднего предпринимательства (данные получены 10.01.2025); </w:t>
            </w:r>
            <w:r w:rsidR="00735016">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662 6</w:t>
            </w:r>
            <w:r w:rsidR="00735016">
              <w:rPr>
                <w:rFonts w:ascii="Times New Roman" w:eastAsiaTheme="minorEastAsia" w:hAnsi="Times New Roman" w:cs="Times New Roman"/>
                <w:kern w:val="0"/>
                <w:sz w:val="20"/>
                <w:szCs w:val="20"/>
                <w:lang w:eastAsia="ru-RU"/>
              </w:rPr>
              <w:t>83</w:t>
            </w:r>
            <w:r w:rsidRPr="004713CA">
              <w:rPr>
                <w:rFonts w:ascii="Times New Roman" w:eastAsiaTheme="minorEastAsia" w:hAnsi="Times New Roman" w:cs="Times New Roman"/>
                <w:kern w:val="0"/>
                <w:sz w:val="20"/>
                <w:szCs w:val="20"/>
                <w:lang w:eastAsia="ru-RU"/>
              </w:rPr>
              <w:t xml:space="preserve"> - численность населения на 01.01.2025 по данным Самарастата.</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Расходы бюджета на развитие и поддержку малого предпринимательства в расчете на 1 субъекта малого и среднего предпринимательства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0,84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0,78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0,99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0,2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0,98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117,9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расчете показателя использованы данные УФНС по Самарской области (по данным реестра субъектов малого и среднего предпринимательства на 10.01.2025г.) - 31 552 ед. Расходы бюджета на развитие и поддержку малого и среднего предпринимательства за 2024 год составили 31 177,32 тыс. руб.</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расходов бюджета на развитие и поддержку малого и среднего предпринимательства в общем объеме расходов бюджета (без учета субвенций на исполнение переданных полномочий)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на 2024 год составил 0,2 и остался на уровне с 2023 годом, в связи с утвержденными изменениями бюджета городского округа Тольятти на 2024 год</w:t>
            </w:r>
            <w:r w:rsidR="00872FCC">
              <w:rPr>
                <w:rFonts w:ascii="Times New Roman" w:eastAsiaTheme="minorEastAsia" w:hAnsi="Times New Roman" w:cs="Times New Roman"/>
                <w:kern w:val="0"/>
                <w:sz w:val="20"/>
                <w:szCs w:val="20"/>
                <w:lang w:eastAsia="ru-RU"/>
              </w:rPr>
              <w:t>.</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Муниципальное имущество, градостроительство и землепользование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4"/>
                <w:szCs w:val="24"/>
                <w:lang w:eastAsia="ru-RU"/>
              </w:rPr>
              <w:t xml:space="preserve">Градостроительство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Общая площадь введенных в эксплуатацию жилых домов </w:t>
            </w:r>
          </w:p>
          <w:p w:rsidR="00E04898"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E04898"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E04898"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E04898"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E04898"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E04898"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E04898" w:rsidRPr="004713CA" w:rsidRDefault="00E04898"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107</w:t>
            </w:r>
            <w:r w:rsidR="007F301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454,3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231</w:t>
            </w:r>
            <w:r w:rsidR="007F301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596,0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79</w:t>
            </w:r>
            <w:r w:rsidR="007F301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498,7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-152</w:t>
            </w:r>
            <w:r w:rsidR="007F301A">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097,3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227</w:t>
            </w:r>
            <w:r w:rsidR="007F301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621,0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74,0</w:t>
            </w:r>
          </w:p>
        </w:tc>
        <w:tc>
          <w:tcPr>
            <w:tcW w:w="3231" w:type="dxa"/>
            <w:tcBorders>
              <w:top w:val="outset" w:sz="6" w:space="0" w:color="000000"/>
              <w:left w:val="outset" w:sz="6" w:space="0" w:color="000000"/>
              <w:bottom w:val="outset" w:sz="6" w:space="0" w:color="000000"/>
              <w:right w:val="outset" w:sz="6" w:space="0" w:color="000000"/>
            </w:tcBorders>
            <w:hideMark/>
          </w:tcPr>
          <w:p w:rsidR="00E04898" w:rsidRPr="004713CA" w:rsidRDefault="004713CA" w:rsidP="00E04898">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 состоянию на 31.12.2024 выполнение планового задания по вводу жилья городским округом Тольятти года составляет 34,3%.</w:t>
            </w:r>
            <w:r w:rsidRPr="004713CA">
              <w:rPr>
                <w:rFonts w:ascii="Times New Roman" w:eastAsiaTheme="minorEastAsia" w:hAnsi="Times New Roman" w:cs="Times New Roman"/>
                <w:kern w:val="0"/>
                <w:sz w:val="20"/>
                <w:szCs w:val="20"/>
                <w:lang w:eastAsia="ru-RU"/>
              </w:rPr>
              <w:br/>
              <w:t>Введены в эксплуатацию 79 498,7 кв.м. жилья, в том числе:</w:t>
            </w:r>
            <w:r w:rsidRPr="004713CA">
              <w:rPr>
                <w:rFonts w:ascii="Times New Roman" w:eastAsiaTheme="minorEastAsia" w:hAnsi="Times New Roman" w:cs="Times New Roman"/>
                <w:kern w:val="0"/>
                <w:sz w:val="20"/>
                <w:szCs w:val="20"/>
                <w:lang w:eastAsia="ru-RU"/>
              </w:rPr>
              <w:br/>
              <w:t>- 8 многоквартирных жилых домов общей площадью жилых помещений 51 288,7 кв.м.;</w:t>
            </w:r>
            <w:r w:rsidRPr="004713CA">
              <w:rPr>
                <w:rFonts w:ascii="Times New Roman" w:eastAsiaTheme="minorEastAsia" w:hAnsi="Times New Roman" w:cs="Times New Roman"/>
                <w:kern w:val="0"/>
                <w:sz w:val="20"/>
                <w:szCs w:val="20"/>
                <w:lang w:eastAsia="ru-RU"/>
              </w:rPr>
              <w:br/>
              <w:t>- индивидуальных жилых домов общей площадью 28 210,0 кв.м.</w:t>
            </w:r>
            <w:r w:rsidRPr="004713CA">
              <w:rPr>
                <w:rFonts w:ascii="Times New Roman" w:eastAsiaTheme="minorEastAsia" w:hAnsi="Times New Roman" w:cs="Times New Roman"/>
                <w:kern w:val="0"/>
                <w:sz w:val="20"/>
                <w:szCs w:val="20"/>
                <w:lang w:eastAsia="ru-RU"/>
              </w:rPr>
              <w:br/>
              <w:t>В соответствии с Соглашением от 28.04.2021 № 207, заключенным между министерством строительства Самарской области и администрацией на 2021-2030, плановый показатель на 2024 год - 231 596 кв. м.</w:t>
            </w:r>
            <w:r w:rsidR="00E04898">
              <w:rPr>
                <w:rFonts w:ascii="Times New Roman" w:eastAsiaTheme="minorEastAsia" w:hAnsi="Times New Roman" w:cs="Times New Roman"/>
                <w:kern w:val="0"/>
                <w:sz w:val="20"/>
                <w:szCs w:val="20"/>
                <w:lang w:eastAsia="ru-RU"/>
              </w:rPr>
              <w:t xml:space="preserve">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жилых помещений, признанных непригодными для проживания, и многоквартирных домов, признанных аварийными и подлежащими сносу или реконструкции, на территории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2024 году на территории городского округа Тольятти по заявлениям граждан были признаны непригодными для проживания </w:t>
            </w:r>
            <w:r w:rsidR="00E13D9A">
              <w:rPr>
                <w:rFonts w:ascii="Times New Roman" w:eastAsiaTheme="minorEastAsia" w:hAnsi="Times New Roman" w:cs="Times New Roman"/>
                <w:kern w:val="0"/>
                <w:sz w:val="20"/>
                <w:szCs w:val="20"/>
                <w:lang w:eastAsia="ru-RU"/>
              </w:rPr>
              <w:t>два</w:t>
            </w:r>
            <w:r w:rsidRPr="004713CA">
              <w:rPr>
                <w:rFonts w:ascii="Times New Roman" w:eastAsiaTheme="minorEastAsia" w:hAnsi="Times New Roman" w:cs="Times New Roman"/>
                <w:kern w:val="0"/>
                <w:sz w:val="20"/>
                <w:szCs w:val="20"/>
                <w:lang w:eastAsia="ru-RU"/>
              </w:rPr>
              <w:t xml:space="preserve"> жилых помещения, расположенных по адресам: </w:t>
            </w:r>
            <w:r w:rsidRPr="004713CA">
              <w:rPr>
                <w:rFonts w:ascii="Times New Roman" w:eastAsiaTheme="minorEastAsia" w:hAnsi="Times New Roman" w:cs="Times New Roman"/>
                <w:kern w:val="0"/>
                <w:sz w:val="20"/>
                <w:szCs w:val="20"/>
                <w:lang w:eastAsia="ru-RU"/>
              </w:rPr>
              <w:br/>
              <w:t>- г. Тольятти, Комсомольский район, ул. Носова, д. 19, кв. 7;</w:t>
            </w:r>
            <w:r w:rsidRPr="004713CA">
              <w:rPr>
                <w:rFonts w:ascii="Times New Roman" w:eastAsiaTheme="minorEastAsia" w:hAnsi="Times New Roman" w:cs="Times New Roman"/>
                <w:kern w:val="0"/>
                <w:sz w:val="20"/>
                <w:szCs w:val="20"/>
                <w:lang w:eastAsia="ru-RU"/>
              </w:rPr>
              <w:br/>
              <w:t>- г. Тольятти, Комсомольский район, ул. Железнодорожная, д. 51Б.</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обращений граждан о признании жилых помещений непригодными для проживания, многоквартирного дома аварийным и подлежащим сносу или реконструкции на территории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C068D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межведомственную комиссию по признанию жилого помещения пригодным (непригодным) для проживания и многоквартирного дома аварийным и подлежащем сносу или реконструкции в 2024 году проступило три заявления от граждан о признании жил</w:t>
            </w:r>
            <w:r w:rsidR="00C068DE">
              <w:rPr>
                <w:rFonts w:ascii="Times New Roman" w:eastAsiaTheme="minorEastAsia" w:hAnsi="Times New Roman" w:cs="Times New Roman"/>
                <w:kern w:val="0"/>
                <w:sz w:val="20"/>
                <w:szCs w:val="20"/>
                <w:lang w:eastAsia="ru-RU"/>
              </w:rPr>
              <w:t>ых</w:t>
            </w:r>
            <w:r w:rsidRPr="004713CA">
              <w:rPr>
                <w:rFonts w:ascii="Times New Roman" w:eastAsiaTheme="minorEastAsia" w:hAnsi="Times New Roman" w:cs="Times New Roman"/>
                <w:kern w:val="0"/>
                <w:sz w:val="20"/>
                <w:szCs w:val="20"/>
                <w:lang w:eastAsia="ru-RU"/>
              </w:rPr>
              <w:t xml:space="preserve"> помещени</w:t>
            </w:r>
            <w:r w:rsidR="00C068DE">
              <w:rPr>
                <w:rFonts w:ascii="Times New Roman" w:eastAsiaTheme="minorEastAsia" w:hAnsi="Times New Roman" w:cs="Times New Roman"/>
                <w:kern w:val="0"/>
                <w:sz w:val="20"/>
                <w:szCs w:val="20"/>
                <w:lang w:eastAsia="ru-RU"/>
              </w:rPr>
              <w:t xml:space="preserve">й </w:t>
            </w:r>
            <w:r w:rsidR="00C068DE" w:rsidRPr="004713CA">
              <w:rPr>
                <w:rFonts w:ascii="Times New Roman" w:eastAsiaTheme="minorEastAsia" w:hAnsi="Times New Roman" w:cs="Times New Roman"/>
                <w:kern w:val="0"/>
                <w:sz w:val="20"/>
                <w:szCs w:val="20"/>
                <w:lang w:eastAsia="ru-RU"/>
              </w:rPr>
              <w:t>непригодным</w:t>
            </w:r>
            <w:r w:rsidR="00E80880">
              <w:rPr>
                <w:rFonts w:ascii="Times New Roman" w:eastAsiaTheme="minorEastAsia" w:hAnsi="Times New Roman" w:cs="Times New Roman"/>
                <w:kern w:val="0"/>
                <w:sz w:val="20"/>
                <w:szCs w:val="20"/>
                <w:lang w:eastAsia="ru-RU"/>
              </w:rPr>
              <w:t>и</w:t>
            </w:r>
            <w:r w:rsidR="00C068DE" w:rsidRPr="004713CA">
              <w:rPr>
                <w:rFonts w:ascii="Times New Roman" w:eastAsiaTheme="minorEastAsia" w:hAnsi="Times New Roman" w:cs="Times New Roman"/>
                <w:kern w:val="0"/>
                <w:sz w:val="20"/>
                <w:szCs w:val="20"/>
                <w:lang w:eastAsia="ru-RU"/>
              </w:rPr>
              <w:t xml:space="preserve"> для проживания</w:t>
            </w:r>
            <w:r w:rsidRPr="004713CA">
              <w:rPr>
                <w:rFonts w:ascii="Times New Roman" w:eastAsiaTheme="minorEastAsia" w:hAnsi="Times New Roman" w:cs="Times New Roman"/>
                <w:kern w:val="0"/>
                <w:sz w:val="20"/>
                <w:szCs w:val="20"/>
                <w:lang w:eastAsia="ru-RU"/>
              </w:rPr>
              <w:t xml:space="preserve"> по адрес</w:t>
            </w:r>
            <w:r w:rsidR="00E80880">
              <w:rPr>
                <w:rFonts w:ascii="Times New Roman" w:eastAsiaTheme="minorEastAsia" w:hAnsi="Times New Roman" w:cs="Times New Roman"/>
                <w:kern w:val="0"/>
                <w:sz w:val="20"/>
                <w:szCs w:val="20"/>
                <w:lang w:eastAsia="ru-RU"/>
              </w:rPr>
              <w:t>ам</w:t>
            </w:r>
            <w:r w:rsidRPr="004713CA">
              <w:rPr>
                <w:rFonts w:ascii="Times New Roman" w:eastAsiaTheme="minorEastAsia" w:hAnsi="Times New Roman" w:cs="Times New Roman"/>
                <w:kern w:val="0"/>
                <w:sz w:val="20"/>
                <w:szCs w:val="20"/>
                <w:lang w:eastAsia="ru-RU"/>
              </w:rPr>
              <w:t xml:space="preserve">: </w:t>
            </w:r>
            <w:r w:rsidR="00C068DE">
              <w:rPr>
                <w:rFonts w:ascii="Times New Roman" w:eastAsiaTheme="minorEastAsia" w:hAnsi="Times New Roman" w:cs="Times New Roman"/>
                <w:kern w:val="0"/>
                <w:sz w:val="20"/>
                <w:szCs w:val="20"/>
                <w:lang w:eastAsia="ru-RU"/>
              </w:rPr>
              <w:t xml:space="preserve">                                                     1. </w:t>
            </w:r>
            <w:r w:rsidRPr="004713CA">
              <w:rPr>
                <w:rFonts w:ascii="Times New Roman" w:eastAsiaTheme="minorEastAsia" w:hAnsi="Times New Roman" w:cs="Times New Roman"/>
                <w:kern w:val="0"/>
                <w:sz w:val="20"/>
                <w:szCs w:val="20"/>
                <w:lang w:eastAsia="ru-RU"/>
              </w:rPr>
              <w:t>г. Тольятти, Комсомольский район, ул. Носова, д. 8</w:t>
            </w:r>
            <w:r w:rsidR="00C068D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2. г. Тольятти, Комсомольский район, ул. Железнодорожная, д. 51Б</w:t>
            </w:r>
            <w:r w:rsidR="00641269">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br/>
              <w:t>3. г. Тольятти, Автозаводский район, ул. Фрунзе, д. 25</w:t>
            </w:r>
            <w:r w:rsidR="00E90711">
              <w:rPr>
                <w:rFonts w:ascii="Times New Roman" w:eastAsiaTheme="minorEastAsia" w:hAnsi="Times New Roman" w:cs="Times New Roman"/>
                <w:kern w:val="0"/>
                <w:sz w:val="20"/>
                <w:szCs w:val="20"/>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Суммарная площадь территорий, на которые утверждена документация по планировке территории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290860050,2</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F234FD">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39771421,9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42345301,0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42022539,8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-322</w:t>
            </w:r>
            <w:r w:rsidR="003970C8">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761,2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F234FD">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42439939,8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Площадь территории городского округа Тольятти: S = 290 860 050,2 кв. м. Граница городского округа Тольятти утверждена законом Самарской области от 06.04.2020 № 37-ГД.</w:t>
            </w:r>
            <w:r w:rsidRPr="004713CA">
              <w:rPr>
                <w:rFonts w:ascii="Times New Roman" w:eastAsiaTheme="minorEastAsia" w:hAnsi="Times New Roman" w:cs="Times New Roman"/>
                <w:kern w:val="0"/>
                <w:sz w:val="20"/>
                <w:szCs w:val="20"/>
                <w:lang w:eastAsia="ru-RU"/>
              </w:rPr>
              <w:br/>
              <w:t xml:space="preserve">План на 2024 год принят в соответствии с Муниципальной программой </w:t>
            </w:r>
            <w:r w:rsidR="00304EA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Развитие инфраструктуры градостроительной деятельности городского округа Тольятти на 2023-2028 годы</w:t>
            </w:r>
            <w:r w:rsidR="00304EA5">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утвержд</w:t>
            </w:r>
            <w:r w:rsidR="00C752BB">
              <w:rPr>
                <w:rFonts w:ascii="Times New Roman" w:eastAsiaTheme="minorEastAsia" w:hAnsi="Times New Roman" w:cs="Times New Roman"/>
                <w:kern w:val="0"/>
                <w:sz w:val="20"/>
                <w:szCs w:val="20"/>
                <w:lang w:eastAsia="ru-RU"/>
              </w:rPr>
              <w:t>е</w:t>
            </w:r>
            <w:r w:rsidRPr="004713CA">
              <w:rPr>
                <w:rFonts w:ascii="Times New Roman" w:eastAsiaTheme="minorEastAsia" w:hAnsi="Times New Roman" w:cs="Times New Roman"/>
                <w:kern w:val="0"/>
                <w:sz w:val="20"/>
                <w:szCs w:val="20"/>
                <w:lang w:eastAsia="ru-RU"/>
              </w:rPr>
              <w:t>нной постановлением мэрии городского округа Тольятти № 3362-п/1 от 23.12.2022.</w:t>
            </w:r>
            <w:r w:rsidRPr="004713CA">
              <w:rPr>
                <w:rFonts w:ascii="Times New Roman" w:eastAsiaTheme="minorEastAsia" w:hAnsi="Times New Roman" w:cs="Times New Roman"/>
                <w:kern w:val="0"/>
                <w:sz w:val="20"/>
                <w:szCs w:val="20"/>
                <w:lang w:eastAsia="ru-RU"/>
              </w:rPr>
              <w:br/>
              <w:t>План на 2024 год скорректирован на 42 345 301,0 кв.м.</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том числе за отчетный период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541</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239,0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573</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879,1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251</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117,9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-322</w:t>
            </w:r>
            <w:r w:rsidR="003970C8">
              <w:rPr>
                <w:rFonts w:ascii="Times New Roman" w:eastAsiaTheme="minorEastAsia" w:hAnsi="Times New Roman" w:cs="Times New Roman"/>
                <w:b/>
                <w:bCs/>
                <w:kern w:val="0"/>
                <w:sz w:val="20"/>
                <w:szCs w:val="20"/>
                <w:lang w:eastAsia="ru-RU"/>
              </w:rPr>
              <w:t xml:space="preserve"> </w:t>
            </w:r>
            <w:r w:rsidRPr="004713CA">
              <w:rPr>
                <w:rFonts w:ascii="Times New Roman" w:eastAsiaTheme="minorEastAsia" w:hAnsi="Times New Roman" w:cs="Times New Roman"/>
                <w:b/>
                <w:bCs/>
                <w:kern w:val="0"/>
                <w:sz w:val="20"/>
                <w:szCs w:val="20"/>
                <w:lang w:eastAsia="ru-RU"/>
              </w:rPr>
              <w:t>761,2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417</w:t>
            </w:r>
            <w:r w:rsidR="003970C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2024 году постановлениями администрации городского округа Тольятти утверждено 15 проектов планировки территории и/или проекта межевания территории, в том числе подготовленных за сч</w:t>
            </w:r>
            <w:r w:rsidR="00E90B41">
              <w:rPr>
                <w:rFonts w:ascii="Times New Roman" w:eastAsiaTheme="minorEastAsia" w:hAnsi="Times New Roman" w:cs="Times New Roman"/>
                <w:kern w:val="0"/>
                <w:sz w:val="20"/>
                <w:szCs w:val="20"/>
                <w:lang w:eastAsia="ru-RU"/>
              </w:rPr>
              <w:t>е</w:t>
            </w:r>
            <w:r w:rsidRPr="004713CA">
              <w:rPr>
                <w:rFonts w:ascii="Times New Roman" w:eastAsiaTheme="minorEastAsia" w:hAnsi="Times New Roman" w:cs="Times New Roman"/>
                <w:kern w:val="0"/>
                <w:sz w:val="20"/>
                <w:szCs w:val="20"/>
                <w:lang w:eastAsia="ru-RU"/>
              </w:rPr>
              <w:t>т средств физических и юридических лиц.</w:t>
            </w:r>
            <w:r w:rsidRPr="004713CA">
              <w:rPr>
                <w:rFonts w:ascii="Times New Roman" w:eastAsiaTheme="minorEastAsia" w:hAnsi="Times New Roman" w:cs="Times New Roman"/>
                <w:kern w:val="0"/>
                <w:sz w:val="20"/>
                <w:szCs w:val="20"/>
                <w:lang w:eastAsia="ru-RU"/>
              </w:rPr>
              <w:br/>
              <w:t>План на 2024 год скорректирован на 2 573 879,1 кв.м.</w:t>
            </w:r>
            <w:r w:rsidRPr="004713CA">
              <w:rPr>
                <w:rFonts w:ascii="Times New Roman" w:eastAsiaTheme="minorEastAsia" w:hAnsi="Times New Roman" w:cs="Times New Roman"/>
                <w:kern w:val="0"/>
                <w:sz w:val="20"/>
                <w:szCs w:val="20"/>
                <w:lang w:eastAsia="ru-RU"/>
              </w:rPr>
              <w:br/>
              <w:t>Не исполнены следующи</w:t>
            </w:r>
            <w:r w:rsidR="00342966">
              <w:rPr>
                <w:rFonts w:ascii="Times New Roman" w:eastAsiaTheme="minorEastAsia" w:hAnsi="Times New Roman" w:cs="Times New Roman"/>
                <w:kern w:val="0"/>
                <w:sz w:val="20"/>
                <w:szCs w:val="20"/>
                <w:lang w:eastAsia="ru-RU"/>
              </w:rPr>
              <w:t>е мероприятия, предусмотренные м</w:t>
            </w:r>
            <w:r w:rsidRPr="004713CA">
              <w:rPr>
                <w:rFonts w:ascii="Times New Roman" w:eastAsiaTheme="minorEastAsia" w:hAnsi="Times New Roman" w:cs="Times New Roman"/>
                <w:kern w:val="0"/>
                <w:sz w:val="20"/>
                <w:szCs w:val="20"/>
                <w:lang w:eastAsia="ru-RU"/>
              </w:rPr>
              <w:t>униципальной программой на 2024 год:</w:t>
            </w:r>
            <w:r w:rsidRPr="004713CA">
              <w:rPr>
                <w:rFonts w:ascii="Times New Roman" w:eastAsiaTheme="minorEastAsia" w:hAnsi="Times New Roman" w:cs="Times New Roman"/>
                <w:kern w:val="0"/>
                <w:sz w:val="20"/>
                <w:szCs w:val="20"/>
                <w:lang w:eastAsia="ru-RU"/>
              </w:rPr>
              <w:br/>
              <w:t>- не утверждён проект планировки территории и проекта межевания территории для размещения линейного объекта ул. 40 лет Победы с включением кольцевых транспортных развязок ул. Автостроителей - ул. Свердлова - ул. 40 лет Победы и Ленинский проспект - ул. Жукова.</w:t>
            </w:r>
            <w:r w:rsidRPr="004713CA">
              <w:rPr>
                <w:rFonts w:ascii="Times New Roman" w:eastAsiaTheme="minorEastAsia" w:hAnsi="Times New Roman" w:cs="Times New Roman"/>
                <w:kern w:val="0"/>
                <w:sz w:val="20"/>
                <w:szCs w:val="20"/>
                <w:lang w:eastAsia="ru-RU"/>
              </w:rPr>
              <w:br/>
              <w:t>Причина: несвоевременное предоставление проекта в адрес департамента градостроительной деятельности администрации городского округа Тольятти.</w:t>
            </w:r>
            <w:r w:rsidRPr="004713CA">
              <w:rPr>
                <w:rFonts w:ascii="Times New Roman" w:eastAsiaTheme="minorEastAsia" w:hAnsi="Times New Roman" w:cs="Times New Roman"/>
                <w:kern w:val="0"/>
                <w:sz w:val="20"/>
                <w:szCs w:val="20"/>
                <w:lang w:eastAsia="ru-RU"/>
              </w:rPr>
              <w:br/>
              <w:t xml:space="preserve">- не утверждён проект планировки территории и проекта межевания территории линейного объекта ул. Кудашева. </w:t>
            </w:r>
            <w:r w:rsidRPr="004713CA">
              <w:rPr>
                <w:rFonts w:ascii="Times New Roman" w:eastAsiaTheme="minorEastAsia" w:hAnsi="Times New Roman" w:cs="Times New Roman"/>
                <w:kern w:val="0"/>
                <w:sz w:val="20"/>
                <w:szCs w:val="20"/>
                <w:lang w:eastAsia="ru-RU"/>
              </w:rPr>
              <w:br/>
              <w:t xml:space="preserve">Причина: </w:t>
            </w:r>
            <w:r w:rsidR="00E90B41">
              <w:rPr>
                <w:rFonts w:ascii="Times New Roman" w:eastAsiaTheme="minorEastAsia" w:hAnsi="Times New Roman" w:cs="Times New Roman"/>
                <w:kern w:val="0"/>
                <w:sz w:val="20"/>
                <w:szCs w:val="20"/>
                <w:lang w:eastAsia="ru-RU"/>
              </w:rPr>
              <w:t>д</w:t>
            </w:r>
            <w:r w:rsidRPr="004713CA">
              <w:rPr>
                <w:rFonts w:ascii="Times New Roman" w:eastAsiaTheme="minorEastAsia" w:hAnsi="Times New Roman" w:cs="Times New Roman"/>
                <w:kern w:val="0"/>
                <w:sz w:val="20"/>
                <w:szCs w:val="20"/>
                <w:lang w:eastAsia="ru-RU"/>
              </w:rPr>
              <w:t>епартаментом дорожного хозяйства выполнены работы по ремонту проезжей части ул. Кудашева, в связи с чем отсутствует потребность в подготовке документации по планировке территории.</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66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Число выданных разрешений:</w:t>
            </w:r>
            <w:r w:rsidRPr="004713CA">
              <w:rPr>
                <w:rFonts w:ascii="Times New Roman" w:eastAsiaTheme="minorEastAsia" w:hAnsi="Times New Roman" w:cs="Times New Roman"/>
                <w:kern w:val="0"/>
                <w:sz w:val="20"/>
                <w:szCs w:val="20"/>
                <w:lang w:eastAsia="ru-RU"/>
              </w:rPr>
              <w:br/>
              <w:t xml:space="preserve">- на строительство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Согласно данным АИС ОГД.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на ввод объектов в эксплуатацию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129,2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Согласно данным АИС ОГД.</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4"/>
                <w:szCs w:val="24"/>
                <w:lang w:eastAsia="ru-RU"/>
              </w:rPr>
              <w:t xml:space="preserve">Землепользование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Площадь земель, зарезервированных для муниципальных нужд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Резервирование и изъятие земель в 2024 году администрацией городского округа Тольятти не осуществлялось. Показатель не планируется.</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актов проверки соблюдения земельного законодательства, по результатам которых устранены выявленные нарушения, от общего количества актов, составленных по выявленным нарушениям земельного законодательства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653236"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32,0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Установить плановое значение данного показателя не представляется возможным, так как устранение нарушений законодательства при использовании земель осуществляется субъектом правонарушения. Отклонение фактического значения от планового отсутствует. </w:t>
            </w:r>
            <w:r w:rsidRPr="004713CA">
              <w:rPr>
                <w:rFonts w:ascii="Times New Roman" w:eastAsiaTheme="minorEastAsia" w:hAnsi="Times New Roman" w:cs="Times New Roman"/>
                <w:kern w:val="0"/>
                <w:sz w:val="20"/>
                <w:szCs w:val="20"/>
                <w:lang w:eastAsia="ru-RU"/>
              </w:rPr>
              <w:br/>
              <w:t>Расчет факта за 2024 год: 46 актов, по которым устранены нарушения / 492 акта, по которым выявлены нарушения (с учетом ранее выявленных нарушений) * 100 = 9,3%.</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69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Площадь земельных участков, являющихся объектами налогообложения земельным налогом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не планируется.</w:t>
            </w:r>
            <w:r w:rsidRPr="004713CA">
              <w:rPr>
                <w:rFonts w:ascii="Times New Roman" w:eastAsiaTheme="minorEastAsia" w:hAnsi="Times New Roman" w:cs="Times New Roman"/>
                <w:kern w:val="0"/>
                <w:sz w:val="20"/>
                <w:szCs w:val="20"/>
                <w:lang w:eastAsia="ru-RU"/>
              </w:rPr>
              <w:br/>
              <w:t>Данные для показателя предоставляются Управлением Росреестра по Самарской области (далее - Росреестр). Согласно ответу Росреестра предоставление информации об общем количестве земельных участков, на которые зарегистрировано право собственности и право постоянного (бессрочного) пользования</w:t>
            </w:r>
            <w:r w:rsidR="00E90B41">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не представляется возможным в связи с переходом на ведение ЕГРН с использованием федеральной государственной информационной системы ведения ЕГРН.</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70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Доходы, получаемые от уплаты земельного налога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653236"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н</w:t>
            </w:r>
            <w:r w:rsidR="004713CA" w:rsidRPr="004713CA">
              <w:rPr>
                <w:rFonts w:ascii="Times New Roman" w:eastAsiaTheme="minorEastAsia" w:hAnsi="Times New Roman" w:cs="Times New Roman"/>
                <w:kern w:val="0"/>
                <w:sz w:val="20"/>
                <w:szCs w:val="20"/>
                <w:lang w:eastAsia="ru-RU"/>
              </w:rPr>
              <w:t>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526 286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665 875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673 354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7 479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620 463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127,9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Плановый показатель доходов от уплаты земельного налога на 2024 год скорректирован с 629 432 тыс.</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руб. на 665 875 тыс.</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 xml:space="preserve">руб. в соответствии с </w:t>
            </w:r>
            <w:r w:rsidR="000A799C">
              <w:rPr>
                <w:rFonts w:ascii="Times New Roman" w:eastAsiaTheme="minorEastAsia" w:hAnsi="Times New Roman" w:cs="Times New Roman"/>
                <w:kern w:val="0"/>
                <w:sz w:val="20"/>
                <w:szCs w:val="20"/>
                <w:lang w:eastAsia="ru-RU"/>
              </w:rPr>
              <w:t>р</w:t>
            </w:r>
            <w:r w:rsidRPr="004713CA">
              <w:rPr>
                <w:rFonts w:ascii="Times New Roman" w:eastAsiaTheme="minorEastAsia" w:hAnsi="Times New Roman" w:cs="Times New Roman"/>
                <w:kern w:val="0"/>
                <w:sz w:val="20"/>
                <w:szCs w:val="20"/>
                <w:lang w:eastAsia="ru-RU"/>
              </w:rPr>
              <w:t xml:space="preserve">ешением Думы </w:t>
            </w:r>
            <w:r w:rsidR="000A799C">
              <w:rPr>
                <w:rFonts w:ascii="Times New Roman" w:eastAsiaTheme="minorEastAsia" w:hAnsi="Times New Roman" w:cs="Times New Roman"/>
                <w:kern w:val="0"/>
                <w:sz w:val="20"/>
                <w:szCs w:val="20"/>
                <w:lang w:eastAsia="ru-RU"/>
              </w:rPr>
              <w:t xml:space="preserve">городского округа Тольятти </w:t>
            </w:r>
            <w:r w:rsidRPr="004713CA">
              <w:rPr>
                <w:rFonts w:ascii="Times New Roman" w:eastAsiaTheme="minorEastAsia" w:hAnsi="Times New Roman" w:cs="Times New Roman"/>
                <w:kern w:val="0"/>
                <w:sz w:val="20"/>
                <w:szCs w:val="20"/>
                <w:lang w:eastAsia="ru-RU"/>
              </w:rPr>
              <w:t>от 25.12.2024 №</w:t>
            </w:r>
            <w:r w:rsidR="007D043E">
              <w:rPr>
                <w:rFonts w:ascii="Times New Roman" w:eastAsiaTheme="minorEastAsia" w:hAnsi="Times New Roman" w:cs="Times New Roman"/>
                <w:kern w:val="0"/>
                <w:sz w:val="20"/>
                <w:szCs w:val="20"/>
                <w:lang w:eastAsia="ru-RU"/>
              </w:rPr>
              <w:t> </w:t>
            </w:r>
            <w:r w:rsidRPr="004713CA">
              <w:rPr>
                <w:rFonts w:ascii="Times New Roman" w:eastAsiaTheme="minorEastAsia" w:hAnsi="Times New Roman" w:cs="Times New Roman"/>
                <w:kern w:val="0"/>
                <w:sz w:val="20"/>
                <w:szCs w:val="20"/>
                <w:lang w:eastAsia="ru-RU"/>
              </w:rPr>
              <w:t xml:space="preserve">394 </w:t>
            </w:r>
            <w:r w:rsidR="000A799C">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О внесении изменений в решение Думы городского округа Тольятти от 22.11.2023 № 71 «О бюджете городского округа Тольятти на 2024 год и плановый период 2025 и 2026 годов»</w:t>
            </w:r>
            <w:r w:rsidR="00342966">
              <w:rPr>
                <w:rFonts w:ascii="Times New Roman" w:eastAsiaTheme="minorEastAsia" w:hAnsi="Times New Roman" w:cs="Times New Roman"/>
                <w:kern w:val="0"/>
                <w:sz w:val="20"/>
                <w:szCs w:val="20"/>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Доходы, получаемые от продажи земельных участков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123</w:t>
            </w:r>
            <w:r w:rsidR="0023071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996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108</w:t>
            </w:r>
            <w:r w:rsidR="0023071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382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112</w:t>
            </w:r>
            <w:r w:rsidR="0023071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088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r w:rsidR="0023071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706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90</w:t>
            </w:r>
            <w:r w:rsidR="0023071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965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90,4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 на 2024 уточнен в соответствии с кассовым исполнением, утвержден решением Думы городского округа Тольятти от 25.12.2024 № 394 «О внесении изменений в решение Думы городского округа Тольятти «О бюджете городского округа Тольятти на 2024 год и плановый период 2025 и 2026 годов».</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281</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913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288</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649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300</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496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847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320</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106,6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План на 2024 уточнен в соответствии с кассовым исполнением утвержден решением Думы городского округа Тольятти от 25.12.2024 № 394 «О внесении изменений в решение Думы городского округа Тольятти «О бюджете городского округа Тольятти на 2024 год и плановый период 2025 и 2026 годов». Перевыполнение плана связано с произведенной арендаторами предоплатой за </w:t>
            </w:r>
            <w:r w:rsidR="00B24FDF">
              <w:rPr>
                <w:rFonts w:ascii="Times New Roman" w:eastAsiaTheme="minorEastAsia" w:hAnsi="Times New Roman" w:cs="Times New Roman"/>
                <w:kern w:val="0"/>
                <w:sz w:val="20"/>
                <w:szCs w:val="20"/>
                <w:lang w:eastAsia="ru-RU"/>
              </w:rPr>
              <w:t>1</w:t>
            </w:r>
            <w:r w:rsidRPr="004713CA">
              <w:rPr>
                <w:rFonts w:ascii="Times New Roman" w:eastAsiaTheme="minorEastAsia" w:hAnsi="Times New Roman" w:cs="Times New Roman"/>
                <w:kern w:val="0"/>
                <w:sz w:val="20"/>
                <w:szCs w:val="20"/>
                <w:lang w:eastAsia="ru-RU"/>
              </w:rPr>
              <w:t xml:space="preserve"> квартал 2025 года</w:t>
            </w:r>
            <w:r w:rsidR="000A799C">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Увеличение поступлений в 2024 году по сравнению с 2023 годом связано с сокращением количества обращений по возврату из бюджета денежных средств, а также, оплаты арендных платежей в 4 квартале 2024 года за 2025 год.</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Доходы, получаемые в виде арендной платы за земельные участки, находящиеся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117</w:t>
            </w:r>
            <w:r w:rsidR="00D70FD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458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214</w:t>
            </w:r>
            <w:r w:rsidR="00D70FD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215</w:t>
            </w:r>
            <w:r w:rsidR="00D70FD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821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226</w:t>
            </w:r>
            <w:r w:rsidR="00D70FD3">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306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183,5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Увеличение плана поступлений доходов на 2024 год по сравнению с 2023 годом произошло в связи с заключением в ноябре 2023 года договора аренды с ООО СЗ «Строй -Инвестиции».</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Задолженность по арендной плате за земельные участки, находящиеся на территории городского округа, собственность на которые не разграничена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54</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261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56</w:t>
            </w:r>
            <w:r w:rsidR="00AD6040">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188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Выросла дебиторская задолженность в связи с увеличением коэффициента инфляц</w:t>
            </w:r>
            <w:r w:rsidR="00AD6040">
              <w:rPr>
                <w:rFonts w:ascii="Times New Roman" w:eastAsiaTheme="minorEastAsia" w:hAnsi="Times New Roman" w:cs="Times New Roman"/>
                <w:kern w:val="0"/>
                <w:sz w:val="20"/>
                <w:szCs w:val="20"/>
                <w:lang w:eastAsia="ru-RU"/>
              </w:rPr>
              <w:t>ии, по сравнению с 2023 годом (</w:t>
            </w:r>
            <w:r w:rsidRPr="004713CA">
              <w:rPr>
                <w:rFonts w:ascii="Times New Roman" w:eastAsiaTheme="minorEastAsia" w:hAnsi="Times New Roman" w:cs="Times New Roman"/>
                <w:kern w:val="0"/>
                <w:sz w:val="20"/>
                <w:szCs w:val="20"/>
                <w:lang w:eastAsia="ru-RU"/>
              </w:rPr>
              <w:t>2023</w:t>
            </w:r>
            <w:r w:rsidR="000A799C">
              <w:rPr>
                <w:rFonts w:ascii="Times New Roman" w:eastAsiaTheme="minorEastAsia" w:hAnsi="Times New Roman" w:cs="Times New Roman"/>
                <w:kern w:val="0"/>
                <w:sz w:val="20"/>
                <w:szCs w:val="20"/>
                <w:lang w:eastAsia="ru-RU"/>
              </w:rPr>
              <w:t xml:space="preserve"> год </w:t>
            </w:r>
            <w:r w:rsidRPr="004713CA">
              <w:rPr>
                <w:rFonts w:ascii="Times New Roman" w:eastAsiaTheme="minorEastAsia" w:hAnsi="Times New Roman" w:cs="Times New Roman"/>
                <w:kern w:val="0"/>
                <w:sz w:val="20"/>
                <w:szCs w:val="20"/>
                <w:lang w:eastAsia="ru-RU"/>
              </w:rPr>
              <w:t xml:space="preserve">- 1,055; </w:t>
            </w:r>
            <w:r w:rsidR="000A799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2024 </w:t>
            </w:r>
            <w:r w:rsidR="000A799C">
              <w:rPr>
                <w:rFonts w:ascii="Times New Roman" w:eastAsiaTheme="minorEastAsia" w:hAnsi="Times New Roman" w:cs="Times New Roman"/>
                <w:kern w:val="0"/>
                <w:sz w:val="20"/>
                <w:szCs w:val="20"/>
                <w:lang w:eastAsia="ru-RU"/>
              </w:rPr>
              <w:t xml:space="preserve">год </w:t>
            </w:r>
            <w:r w:rsidRPr="004713CA">
              <w:rPr>
                <w:rFonts w:ascii="Times New Roman" w:eastAsiaTheme="minorEastAsia" w:hAnsi="Times New Roman" w:cs="Times New Roman"/>
                <w:kern w:val="0"/>
                <w:sz w:val="20"/>
                <w:szCs w:val="20"/>
                <w:lang w:eastAsia="ru-RU"/>
              </w:rPr>
              <w:t>– 1,11)</w:t>
            </w:r>
            <w:r w:rsidR="00D70FD3">
              <w:rPr>
                <w:rFonts w:ascii="Times New Roman" w:eastAsiaTheme="minorEastAsia" w:hAnsi="Times New Roman" w:cs="Times New Roman"/>
                <w:kern w:val="0"/>
                <w:sz w:val="20"/>
                <w:szCs w:val="20"/>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Задолженность по арендной плате за земельные участки, находящиеся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w:t>
            </w:r>
            <w:r w:rsidR="00801AB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286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w:t>
            </w:r>
            <w:r w:rsidR="00801ABC">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140,2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Увеличение дебиторской задолженности произошло в связи с изменением 2024 статуса договора аренды «Рынок- Агро» (4 344 тыс. руб.), произведена индексация в размере 4,5% от годового размера арендной платы ООО «Строй Инвестиции» (недоплата 3 167 тыс. руб.)</w:t>
            </w:r>
            <w:r w:rsidR="000A799C">
              <w:rPr>
                <w:rFonts w:ascii="Times New Roman" w:eastAsiaTheme="minorEastAsia" w:hAnsi="Times New Roman" w:cs="Times New Roman"/>
                <w:kern w:val="0"/>
                <w:sz w:val="20"/>
                <w:szCs w:val="20"/>
                <w:lang w:eastAsia="ru-RU"/>
              </w:rPr>
              <w:t>.</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4"/>
                <w:szCs w:val="24"/>
                <w:lang w:eastAsia="ru-RU"/>
              </w:rPr>
              <w:t xml:space="preserve">Муниципальное имущество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76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Исполнение Программы приватизации муниципального имущества городского округа к утвержденному плану:</w:t>
            </w:r>
            <w:r w:rsidRPr="004713CA">
              <w:rPr>
                <w:rFonts w:ascii="Times New Roman" w:eastAsiaTheme="minorEastAsia" w:hAnsi="Times New Roman" w:cs="Times New Roman"/>
                <w:kern w:val="0"/>
                <w:sz w:val="20"/>
                <w:szCs w:val="20"/>
                <w:lang w:eastAsia="ru-RU"/>
              </w:rPr>
              <w:br/>
              <w:t xml:space="preserve">- по количеству проданных объектов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342966"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342966">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342966"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342966">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510B71">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160</w:t>
            </w:r>
            <w:r w:rsidR="00070044">
              <w:rPr>
                <w:rFonts w:ascii="Times New Roman" w:eastAsiaTheme="minorEastAsia" w:hAnsi="Times New Roman" w:cs="Times New Roman"/>
                <w:kern w:val="0"/>
                <w:sz w:val="20"/>
                <w:szCs w:val="20"/>
                <w:lang w:eastAsia="ru-RU"/>
              </w:rPr>
              <w:t>,0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Default="004713CA" w:rsidP="00510B71">
            <w:pPr>
              <w:spacing w:after="0"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План на 2024 год скорректирован с 6 объектов недвижимости на 21 объект недвижимости</w:t>
            </w:r>
            <w:r w:rsidR="00510B71">
              <w:rPr>
                <w:rFonts w:ascii="Times New Roman" w:eastAsiaTheme="minorEastAsia" w:hAnsi="Times New Roman" w:cs="Times New Roman"/>
                <w:kern w:val="0"/>
                <w:sz w:val="20"/>
                <w:szCs w:val="20"/>
                <w:lang w:eastAsia="ru-RU"/>
              </w:rPr>
              <w:t xml:space="preserve">, </w:t>
            </w:r>
            <w:r w:rsidR="00510B71" w:rsidRPr="00510B71">
              <w:rPr>
                <w:rFonts w:ascii="Times New Roman" w:eastAsiaTheme="minorEastAsia" w:hAnsi="Times New Roman" w:cs="Times New Roman"/>
                <w:kern w:val="0"/>
                <w:sz w:val="20"/>
                <w:szCs w:val="20"/>
                <w:lang w:eastAsia="ru-RU"/>
              </w:rPr>
              <w:t>подлежащий продаже на аукционе,</w:t>
            </w:r>
            <w:r w:rsidRPr="004713CA">
              <w:rPr>
                <w:rFonts w:ascii="Times New Roman" w:eastAsiaTheme="minorEastAsia" w:hAnsi="Times New Roman" w:cs="Times New Roman"/>
                <w:kern w:val="0"/>
                <w:sz w:val="20"/>
                <w:szCs w:val="20"/>
                <w:lang w:eastAsia="ru-RU"/>
              </w:rPr>
              <w:t xml:space="preserve"> в соответствии с изменениями в Программу приватизации муниципального имущества городского округа Тольятти на 2024 год (решение Думы городского округа Тольятти от 08.11.2023 № 55,</w:t>
            </w:r>
            <w:r w:rsidRPr="004713CA">
              <w:rPr>
                <w:rFonts w:ascii="Times New Roman" w:eastAsiaTheme="minorEastAsia" w:hAnsi="Times New Roman" w:cs="Times New Roman"/>
                <w:kern w:val="0"/>
                <w:sz w:val="20"/>
                <w:szCs w:val="20"/>
                <w:lang w:eastAsia="ru-RU"/>
              </w:rPr>
              <w:br/>
              <w:t>от 06.03.2024 № 150, 20.03.2024 №160).</w:t>
            </w:r>
            <w:r w:rsidRPr="004713CA">
              <w:rPr>
                <w:rFonts w:ascii="Times New Roman" w:eastAsiaTheme="minorEastAsia" w:hAnsi="Times New Roman" w:cs="Times New Roman"/>
                <w:kern w:val="0"/>
                <w:sz w:val="20"/>
                <w:szCs w:val="20"/>
                <w:lang w:eastAsia="ru-RU"/>
              </w:rPr>
              <w:br/>
            </w:r>
            <w:r w:rsidR="00510B71">
              <w:rPr>
                <w:rFonts w:ascii="Times New Roman" w:eastAsiaTheme="minorEastAsia" w:hAnsi="Times New Roman" w:cs="Times New Roman"/>
                <w:kern w:val="0"/>
                <w:sz w:val="20"/>
                <w:szCs w:val="20"/>
                <w:lang w:eastAsia="ru-RU"/>
              </w:rPr>
              <w:t xml:space="preserve"> Факт </w:t>
            </w:r>
            <w:r w:rsidRPr="004713CA">
              <w:rPr>
                <w:rFonts w:ascii="Times New Roman" w:eastAsiaTheme="minorEastAsia" w:hAnsi="Times New Roman" w:cs="Times New Roman"/>
                <w:kern w:val="0"/>
                <w:sz w:val="20"/>
                <w:szCs w:val="20"/>
                <w:lang w:eastAsia="ru-RU"/>
              </w:rPr>
              <w:t>2024 год</w:t>
            </w:r>
            <w:r w:rsidR="00510B71">
              <w:rPr>
                <w:rFonts w:ascii="Times New Roman" w:eastAsiaTheme="minorEastAsia" w:hAnsi="Times New Roman" w:cs="Times New Roman"/>
                <w:kern w:val="0"/>
                <w:sz w:val="20"/>
                <w:szCs w:val="20"/>
                <w:lang w:eastAsia="ru-RU"/>
              </w:rPr>
              <w:t>а - 8 объектов недвижимости</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 на 5 объектов заключены договоры купли-продажи;</w:t>
            </w:r>
            <w:r w:rsidRPr="004713CA">
              <w:rPr>
                <w:rFonts w:ascii="Times New Roman" w:eastAsiaTheme="minorEastAsia" w:hAnsi="Times New Roman" w:cs="Times New Roman"/>
                <w:kern w:val="0"/>
                <w:sz w:val="20"/>
                <w:szCs w:val="20"/>
                <w:lang w:eastAsia="ru-RU"/>
              </w:rPr>
              <w:br/>
              <w:t xml:space="preserve"> </w:t>
            </w:r>
            <w:r w:rsidR="00510B71">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xml:space="preserve">на 3 объекта недвижимости </w:t>
            </w:r>
            <w:r w:rsidR="00510B71" w:rsidRPr="004713CA">
              <w:rPr>
                <w:rFonts w:ascii="Times New Roman" w:eastAsiaTheme="minorEastAsia" w:hAnsi="Times New Roman" w:cs="Times New Roman"/>
                <w:kern w:val="0"/>
                <w:sz w:val="20"/>
                <w:szCs w:val="20"/>
                <w:lang w:eastAsia="ru-RU"/>
              </w:rPr>
              <w:t>заключены договоры купли-продажи</w:t>
            </w:r>
            <w:r w:rsidR="00510B71">
              <w:rPr>
                <w:rFonts w:ascii="Times New Roman" w:eastAsiaTheme="minorEastAsia" w:hAnsi="Times New Roman" w:cs="Times New Roman"/>
                <w:kern w:val="0"/>
                <w:sz w:val="20"/>
                <w:szCs w:val="20"/>
                <w:lang w:eastAsia="ru-RU"/>
              </w:rPr>
              <w:t xml:space="preserve"> </w:t>
            </w:r>
            <w:r w:rsidR="00510B71" w:rsidRPr="004713CA">
              <w:rPr>
                <w:rFonts w:ascii="Times New Roman" w:eastAsiaTheme="minorEastAsia" w:hAnsi="Times New Roman" w:cs="Times New Roman"/>
                <w:kern w:val="0"/>
                <w:sz w:val="20"/>
                <w:szCs w:val="20"/>
                <w:lang w:eastAsia="ru-RU"/>
              </w:rPr>
              <w:t xml:space="preserve">в 2024 году </w:t>
            </w:r>
            <w:r w:rsidRPr="004713CA">
              <w:rPr>
                <w:rFonts w:ascii="Times New Roman" w:eastAsiaTheme="minorEastAsia" w:hAnsi="Times New Roman" w:cs="Times New Roman"/>
                <w:kern w:val="0"/>
                <w:sz w:val="20"/>
                <w:szCs w:val="20"/>
                <w:lang w:eastAsia="ru-RU"/>
              </w:rPr>
              <w:t>из Программы приватизации на 2023 год.</w:t>
            </w:r>
          </w:p>
          <w:p w:rsidR="00510B71" w:rsidRPr="004713CA" w:rsidRDefault="00510B71" w:rsidP="00342966">
            <w:pPr>
              <w:spacing w:after="0"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В</w:t>
            </w:r>
            <w:r w:rsidRPr="004713CA">
              <w:rPr>
                <w:rFonts w:ascii="Times New Roman" w:eastAsiaTheme="minorEastAsia" w:hAnsi="Times New Roman" w:cs="Times New Roman"/>
                <w:kern w:val="0"/>
                <w:sz w:val="20"/>
                <w:szCs w:val="20"/>
                <w:lang w:eastAsia="ru-RU"/>
              </w:rPr>
              <w:t xml:space="preserve"> отношении 16 объектов торги не состоялись (объекты будут включены в Программу приватизации на 2025 год дополнительно).</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по количеству проданных пакетов акций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342966"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В Программу приватизации муниципального имущества городского округа Тольятти на 2024 год (решение Думы городского округа Тольятти от 08.11.2023 № 55, от 06.03.2024 № 150, 20.03.2024 №160) пакет акций АО рынок «Кунеевский» не включен, план изменен.</w:t>
            </w:r>
            <w:r w:rsidRPr="004713CA">
              <w:rPr>
                <w:rFonts w:ascii="Times New Roman" w:eastAsiaTheme="minorEastAsia" w:hAnsi="Times New Roman" w:cs="Times New Roman"/>
                <w:kern w:val="0"/>
                <w:sz w:val="20"/>
                <w:szCs w:val="20"/>
                <w:lang w:eastAsia="ru-RU"/>
              </w:rPr>
              <w:br/>
              <w:t>Торги (аукцион) назначенные на 31.01.2024 состоялись.</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по суммам, поступившим в бюджет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62 201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0840FF"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0840FF">
              <w:rPr>
                <w:rFonts w:ascii="Times New Roman" w:eastAsiaTheme="minorEastAsia" w:hAnsi="Times New Roman" w:cs="Times New Roman"/>
                <w:kern w:val="0"/>
                <w:sz w:val="20"/>
                <w:szCs w:val="20"/>
                <w:lang w:eastAsia="ru-RU"/>
              </w:rPr>
              <w:t>152 066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0840FF" w:rsidRDefault="004713CA" w:rsidP="00003355">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0840FF">
              <w:rPr>
                <w:rFonts w:ascii="Times New Roman" w:eastAsiaTheme="minorEastAsia" w:hAnsi="Times New Roman" w:cs="Times New Roman"/>
                <w:kern w:val="0"/>
                <w:sz w:val="20"/>
                <w:szCs w:val="20"/>
                <w:lang w:eastAsia="ru-RU"/>
              </w:rPr>
              <w:t>19 581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0840FF"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0840FF">
              <w:rPr>
                <w:rFonts w:ascii="Times New Roman" w:eastAsiaTheme="minorEastAsia" w:hAnsi="Times New Roman" w:cs="Times New Roman"/>
                <w:b/>
                <w:bCs/>
                <w:kern w:val="0"/>
                <w:sz w:val="20"/>
                <w:szCs w:val="20"/>
                <w:lang w:eastAsia="ru-RU"/>
              </w:rPr>
              <w:t>-132 485</w:t>
            </w:r>
            <w:r w:rsidRPr="000840FF">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0840FF"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0840FF">
              <w:rPr>
                <w:rFonts w:ascii="Times New Roman" w:eastAsiaTheme="minorEastAsia" w:hAnsi="Times New Roman" w:cs="Times New Roman"/>
                <w:kern w:val="0"/>
                <w:sz w:val="20"/>
                <w:szCs w:val="20"/>
                <w:lang w:eastAsia="ru-RU"/>
              </w:rPr>
              <w:t>66 407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0840FF"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0840FF">
              <w:rPr>
                <w:rFonts w:ascii="Times New Roman" w:eastAsiaTheme="minorEastAsia" w:hAnsi="Times New Roman" w:cs="Times New Roman"/>
                <w:kern w:val="0"/>
                <w:sz w:val="20"/>
                <w:szCs w:val="20"/>
                <w:lang w:eastAsia="ru-RU"/>
              </w:rPr>
              <w:t>31,5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0840FF" w:rsidRDefault="004713CA" w:rsidP="00003355">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0840FF">
              <w:rPr>
                <w:rFonts w:ascii="Times New Roman" w:eastAsiaTheme="minorEastAsia" w:hAnsi="Times New Roman" w:cs="Times New Roman"/>
                <w:kern w:val="0"/>
                <w:sz w:val="20"/>
                <w:szCs w:val="20"/>
                <w:lang w:eastAsia="ru-RU"/>
              </w:rPr>
              <w:t>Решением Думы городского округа Тольятти от 22.11.2023 № 71 «О бюджете городского округа Тольятти на 2024 год и плановый период 2025 и 2026 годов» утверждено плановое значение показателя по бюджету городского округа Тольятти – 44 813 тыс. руб.</w:t>
            </w:r>
            <w:r w:rsidR="00A256F7" w:rsidRPr="000840FF">
              <w:rPr>
                <w:rFonts w:ascii="Times New Roman" w:eastAsiaTheme="minorEastAsia" w:hAnsi="Times New Roman" w:cs="Times New Roman"/>
                <w:kern w:val="0"/>
                <w:sz w:val="20"/>
                <w:szCs w:val="20"/>
                <w:lang w:eastAsia="ru-RU"/>
              </w:rPr>
              <w:t xml:space="preserve">,  </w:t>
            </w:r>
            <w:r w:rsidRPr="000840FF">
              <w:rPr>
                <w:rFonts w:ascii="Times New Roman" w:eastAsiaTheme="minorEastAsia" w:hAnsi="Times New Roman" w:cs="Times New Roman"/>
                <w:kern w:val="0"/>
                <w:sz w:val="20"/>
                <w:szCs w:val="20"/>
                <w:lang w:eastAsia="ru-RU"/>
              </w:rPr>
              <w:t xml:space="preserve"> по Программе приватизации – </w:t>
            </w:r>
            <w:r w:rsidR="00003355" w:rsidRPr="000840FF">
              <w:rPr>
                <w:rFonts w:ascii="Times New Roman" w:eastAsiaTheme="minorEastAsia" w:hAnsi="Times New Roman" w:cs="Times New Roman"/>
                <w:kern w:val="0"/>
                <w:sz w:val="20"/>
                <w:szCs w:val="20"/>
                <w:lang w:eastAsia="ru-RU"/>
              </w:rPr>
              <w:t xml:space="preserve">                        </w:t>
            </w:r>
            <w:r w:rsidRPr="000840FF">
              <w:rPr>
                <w:rFonts w:ascii="Times New Roman" w:eastAsiaTheme="minorEastAsia" w:hAnsi="Times New Roman" w:cs="Times New Roman"/>
                <w:kern w:val="0"/>
                <w:sz w:val="20"/>
                <w:szCs w:val="20"/>
                <w:lang w:eastAsia="ru-RU"/>
              </w:rPr>
              <w:t>152 066 тыс. руб.</w:t>
            </w:r>
            <w:r w:rsidR="00B24FDF">
              <w:rPr>
                <w:rFonts w:ascii="Times New Roman" w:eastAsiaTheme="minorEastAsia" w:hAnsi="Times New Roman" w:cs="Times New Roman"/>
                <w:kern w:val="0"/>
                <w:sz w:val="20"/>
                <w:szCs w:val="20"/>
                <w:lang w:eastAsia="ru-RU"/>
              </w:rPr>
              <w:t xml:space="preserve"> (указано как план на 2024 год).</w:t>
            </w:r>
            <w:r w:rsidRPr="000840FF">
              <w:rPr>
                <w:rFonts w:ascii="Times New Roman" w:eastAsiaTheme="minorEastAsia" w:hAnsi="Times New Roman" w:cs="Times New Roman"/>
                <w:kern w:val="0"/>
                <w:sz w:val="20"/>
                <w:szCs w:val="20"/>
                <w:lang w:eastAsia="ru-RU"/>
              </w:rPr>
              <w:br/>
              <w:t>Поступление доходов от реализации имущества в 2024 году составляет 19 581 тыс. руб. (без учета НДС) (отклонение от плана на 132 485 тыс. руб.).</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объектов недвижимого имущества, числящихся в Реестре муниципальной собственности городского округа, на которые не зарегистрировано право муниципальной собственности, в общем количестве объектов недвижимого имущества, включенных в Реестр муниципальной собственности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7,4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91,4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Расчет показателя за 2024 год: 100 - (7014 объектов зарегистрировано /7575 объектов включено в реестр муниципальной собственности городского округа Тольятти)*100=7,4%. </w:t>
            </w:r>
            <w:r w:rsidRPr="004713CA">
              <w:rPr>
                <w:rFonts w:ascii="Times New Roman" w:eastAsiaTheme="minorEastAsia" w:hAnsi="Times New Roman" w:cs="Times New Roman"/>
                <w:kern w:val="0"/>
                <w:sz w:val="20"/>
                <w:szCs w:val="20"/>
                <w:lang w:eastAsia="ru-RU"/>
              </w:rPr>
              <w:br/>
              <w:t>Расчет показателя за 2023 год: 100 - (6663 объекта зарегистрировано /</w:t>
            </w:r>
            <w:r w:rsidR="00070044">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7251 объект включен в реестр муниципальной собственности городского округа Тольятти)*100=8,1%.</w:t>
            </w:r>
            <w:r w:rsidRPr="004713CA">
              <w:rPr>
                <w:rFonts w:ascii="Times New Roman" w:eastAsiaTheme="minorEastAsia" w:hAnsi="Times New Roman" w:cs="Times New Roman"/>
                <w:kern w:val="0"/>
                <w:sz w:val="20"/>
                <w:szCs w:val="20"/>
                <w:lang w:eastAsia="ru-RU"/>
              </w:rPr>
              <w:br/>
              <w:t xml:space="preserve">Общее количество объектов недвижимости, включенных в реестр муниципальной собственности городского округа Тольятти по состоянию </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на 31.12. 2024 - 7575 (по состоянию на 31.12.2023 – 7251), количество объектов недвижимости право собственности на которые не зарегистрировано –561.</w:t>
            </w:r>
            <w:r w:rsidRPr="004713CA">
              <w:rPr>
                <w:rFonts w:ascii="Times New Roman" w:eastAsiaTheme="minorEastAsia" w:hAnsi="Times New Roman" w:cs="Times New Roman"/>
                <w:kern w:val="0"/>
                <w:sz w:val="20"/>
                <w:szCs w:val="20"/>
                <w:lang w:eastAsia="ru-RU"/>
              </w:rPr>
              <w:br/>
              <w:t>В связи с ограниченной суммой выделенных денежных средств на проведение работ по технической инвентаризации объектов недвижимого имущества и изготовление технической документации, необходимой для постановки объектов на государственный кадастровый учет и последующей регистрации права муниципальной собственности в 2024 году запланировано 3 107,0 тыс. руб. (на 82 объекта), открыты лимиты на сумму</w:t>
            </w:r>
            <w:r w:rsidRPr="004713CA">
              <w:rPr>
                <w:rFonts w:ascii="Times New Roman" w:eastAsiaTheme="minorEastAsia" w:hAnsi="Times New Roman" w:cs="Times New Roman"/>
                <w:kern w:val="0"/>
                <w:sz w:val="20"/>
                <w:szCs w:val="20"/>
                <w:lang w:eastAsia="ru-RU"/>
              </w:rPr>
              <w:br/>
              <w:t>3 107 162,0 руб. Выделяемые финансовые средства не позволяют в полном объеме провести работы по регистрации права муниципальной собственности на объекты недвижимого имущества, включенные в реестр муниципальной собственности городского округа Тольятти и не имеющие регистрации права муниципальной собственности.</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автомобильные дороги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26,1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78,9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100 - (303 объекта зарегистрировано / 410 объектов включено в реестр муниципальной собственности городского округа Тольятти)*100= 26,1%.</w:t>
            </w:r>
            <w:r w:rsidRPr="004713CA">
              <w:rPr>
                <w:rFonts w:ascii="Times New Roman" w:eastAsiaTheme="minorEastAsia" w:hAnsi="Times New Roman" w:cs="Times New Roman"/>
                <w:kern w:val="0"/>
                <w:sz w:val="20"/>
                <w:szCs w:val="20"/>
                <w:lang w:eastAsia="ru-RU"/>
              </w:rPr>
              <w:br/>
              <w:t>Расчет показателя за 2023 год: 100 – (273 объекта зарегистрировано /408 объектов включено в реестр муниципальной собственности городского округа Тольятти)*100=33,1%</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объекты инженерной инфраструктуры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84,9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100 - (1270 объектов зарегистрировано / 1529 объектов включено в реестр муниципальной собственности городского округа Тольятти)*100= 16,9%</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Расчет показателя за 2023 год: 100 – (1 194 объекта зарегистрировано /</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1 490 объектов включено в реестр муниципальной собственности городского округа Тольятти)*100=19,9%</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здания, строения и сооружения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1,8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100 - (1490 объектов зарегистрировано / 1517 объектов включено в реестр муниципальной собственности городского округа Тольятти)*100= 1,8%.</w:t>
            </w:r>
            <w:r w:rsidRPr="004713CA">
              <w:rPr>
                <w:rFonts w:ascii="Times New Roman" w:eastAsiaTheme="minorEastAsia" w:hAnsi="Times New Roman" w:cs="Times New Roman"/>
                <w:kern w:val="0"/>
                <w:sz w:val="20"/>
                <w:szCs w:val="20"/>
                <w:lang w:eastAsia="ru-RU"/>
              </w:rPr>
              <w:br/>
              <w:t>Расчет показателя за 2023 год: 100 – (1 528 объектов зарегистрировано /1555 объектов включено в реестр муниципальной собственности)*100=1,7 %.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нежилые помещения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4,5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100 - (589 объектов зарегистрировано / 632 объекта включено в реестр муниципальной собственности городского округа Тольятти)*100= 6,8%.</w:t>
            </w:r>
            <w:r w:rsidRPr="004713CA">
              <w:rPr>
                <w:rFonts w:ascii="Times New Roman" w:eastAsiaTheme="minorEastAsia" w:hAnsi="Times New Roman" w:cs="Times New Roman"/>
                <w:kern w:val="0"/>
                <w:sz w:val="20"/>
                <w:szCs w:val="20"/>
                <w:lang w:eastAsia="ru-RU"/>
              </w:rPr>
              <w:br/>
              <w:t>Расчет показателя за 2023 год: 100 – (622 объекта зарегистрировано /648 объектов включено в реестр муниципальной собственности)*100= 4,0%</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объекты незавершенного строительства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5,9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100 - (16 объектов зарегистрировано /17 объектов включено в реестр муниципальной собственности городского округа Тольятти)*100=5,9%.</w:t>
            </w:r>
            <w:r w:rsidRPr="004713CA">
              <w:rPr>
                <w:rFonts w:ascii="Times New Roman" w:eastAsiaTheme="minorEastAsia" w:hAnsi="Times New Roman" w:cs="Times New Roman"/>
                <w:kern w:val="0"/>
                <w:sz w:val="20"/>
                <w:szCs w:val="20"/>
                <w:lang w:eastAsia="ru-RU"/>
              </w:rPr>
              <w:br/>
              <w:t>Расчет показателя за 2023 год: 100 – (16 объектов зарегистрировано /17 объектов включено в реестр муниципальной собственности городского округа Тольятти)*100=5,9%</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земельные участки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3,3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100 - (3061 объект зарегистрирован /3164 объекта включено в реестр муниципальной собственности городского округа Тольятти)*100=3,3%.</w:t>
            </w:r>
            <w:r w:rsidRPr="004713CA">
              <w:rPr>
                <w:rFonts w:ascii="Times New Roman" w:eastAsiaTheme="minorEastAsia" w:hAnsi="Times New Roman" w:cs="Times New Roman"/>
                <w:kern w:val="0"/>
                <w:sz w:val="20"/>
                <w:szCs w:val="20"/>
                <w:lang w:eastAsia="ru-RU"/>
              </w:rPr>
              <w:br/>
              <w:t>Расчет показателя за 2023 год: 100 – (3030 объектов зарегистрировано /</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3 133 объекта включено в реестр муниципальной собственности городского округа Тольятти)*100 = 3,3%</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иные объекты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8E4D79" w:rsidP="004713CA">
            <w:pPr>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поставленных на учет в регистрационном органе бесхозяйных объектов, находящихся на территории городского округа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3600,0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1050,0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1035,8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28,4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Расчет показателя за 2024 год: 168 объектов поставлено на учет, в том числе ранее выявленные /16 объектов выявленных в 2024 г</w:t>
            </w:r>
            <w:r w:rsidR="008E4D79">
              <w:rPr>
                <w:rFonts w:ascii="Times New Roman" w:eastAsiaTheme="minorEastAsia" w:hAnsi="Times New Roman" w:cs="Times New Roman"/>
                <w:kern w:val="0"/>
                <w:sz w:val="20"/>
                <w:szCs w:val="20"/>
                <w:lang w:eastAsia="ru-RU"/>
              </w:rPr>
              <w:t>оду</w:t>
            </w:r>
            <w:r w:rsidRPr="004713CA">
              <w:rPr>
                <w:rFonts w:ascii="Times New Roman" w:eastAsiaTheme="minorEastAsia" w:hAnsi="Times New Roman" w:cs="Times New Roman"/>
                <w:kern w:val="0"/>
                <w:sz w:val="20"/>
                <w:szCs w:val="20"/>
                <w:lang w:eastAsia="ru-RU"/>
              </w:rPr>
              <w:t xml:space="preserve"> *100=1050,0%</w:t>
            </w:r>
            <w:r w:rsidR="007D043E">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Расчет показателя за 2023 год: 36 объектов поставлено на учет, в том числе ранее выявленные /1 объект выявлен в 2023 году *100=3600,0%</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79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Стоимость муниципального имущества, в том числе находящегося: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52 919 222,2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62</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112</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070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117,4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не планируется</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муниципальной казне (по видам муниципального имущества)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35045394,1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42021443,1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119,9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не планируется</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оперативном управлении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16</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294</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595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814</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477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707AD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121,6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Увеличение показателя за 2024 год произошло за счет приобретения и закрепления за муниципальными учреждениями недвижимого и движимого имущества, а также в связи с реорганизацией МУП Пансионат« Звездный» в форме преобразования в МБУ Пансионат «Звездный»</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хозяйственном ведении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1 579 233,1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276 150,0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707AD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показателя за 2024 год произошло за счет реорганизации муниципальных предприятий в форме преобразования в </w:t>
            </w:r>
            <w:r w:rsidRPr="004713CA">
              <w:rPr>
                <w:rFonts w:ascii="Times New Roman" w:eastAsiaTheme="minorEastAsia" w:hAnsi="Times New Roman" w:cs="Times New Roman"/>
                <w:kern w:val="0"/>
                <w:sz w:val="20"/>
                <w:szCs w:val="20"/>
                <w:lang w:eastAsia="ru-RU"/>
              </w:rPr>
              <w:br/>
              <w:t xml:space="preserve">АО </w:t>
            </w:r>
            <w:r w:rsidR="00B24FD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ТПАТП №3</w:t>
            </w:r>
            <w:r w:rsidR="00B24FDF">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br/>
              <w:t>ООО « С</w:t>
            </w:r>
            <w:r w:rsidR="007D043E">
              <w:rPr>
                <w:rFonts w:ascii="Times New Roman" w:eastAsiaTheme="minorEastAsia" w:hAnsi="Times New Roman" w:cs="Times New Roman"/>
                <w:kern w:val="0"/>
                <w:sz w:val="20"/>
                <w:szCs w:val="20"/>
                <w:lang w:eastAsia="ru-RU"/>
              </w:rPr>
              <w:t>п</w:t>
            </w:r>
            <w:r w:rsidRPr="004713CA">
              <w:rPr>
                <w:rFonts w:ascii="Times New Roman" w:eastAsiaTheme="minorEastAsia" w:hAnsi="Times New Roman" w:cs="Times New Roman"/>
                <w:kern w:val="0"/>
                <w:sz w:val="20"/>
                <w:szCs w:val="20"/>
                <w:lang w:eastAsia="ru-RU"/>
              </w:rPr>
              <w:t>ецкомбинат ритуальных услуг», ООО «Инвентаризатор», а также списания и продажи МП «ТТУ» недвижимого и движимого имущества</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80 </w:t>
            </w:r>
          </w:p>
        </w:tc>
        <w:tc>
          <w:tcPr>
            <w:tcW w:w="2551" w:type="dxa"/>
            <w:tcBorders>
              <w:top w:val="outset" w:sz="6" w:space="0" w:color="000000"/>
              <w:left w:val="outset" w:sz="6" w:space="0" w:color="000000"/>
              <w:bottom w:val="outset" w:sz="6" w:space="0" w:color="000000"/>
              <w:right w:val="outset" w:sz="6" w:space="0" w:color="000000"/>
            </w:tcBorders>
            <w:hideMark/>
          </w:tcPr>
          <w:p w:rsidR="008E4D79" w:rsidRPr="004713CA" w:rsidRDefault="004713CA" w:rsidP="008E4D79">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Стоимость имущества, внесенного в качестве вклада в уставный капитал открытых акционерных обществ, часть акций которых находится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8E4D79"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p w:rsidR="008E4D79"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p w:rsidR="008E4D79"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p w:rsidR="008E4D79" w:rsidRPr="004713CA" w:rsidRDefault="008E4D79"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829</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635,7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303</w:t>
            </w:r>
            <w:r w:rsidR="00707ADB">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210,7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707ADB"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125,9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Default="004713CA"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Продажа акций АО рынок «Кунеевский», реорганизация муниципальных предприятий в форме преобразования в </w:t>
            </w:r>
            <w:r w:rsidRPr="004713CA">
              <w:rPr>
                <w:rFonts w:ascii="Times New Roman" w:eastAsiaTheme="minorEastAsia" w:hAnsi="Times New Roman" w:cs="Times New Roman"/>
                <w:kern w:val="0"/>
                <w:sz w:val="20"/>
                <w:szCs w:val="20"/>
                <w:lang w:eastAsia="ru-RU"/>
              </w:rPr>
              <w:br/>
              <w:t>АО ТПАТП №3,</w:t>
            </w:r>
            <w:r w:rsidRPr="004713CA">
              <w:rPr>
                <w:rFonts w:ascii="Times New Roman" w:eastAsiaTheme="minorEastAsia" w:hAnsi="Times New Roman" w:cs="Times New Roman"/>
                <w:kern w:val="0"/>
                <w:sz w:val="20"/>
                <w:szCs w:val="20"/>
                <w:lang w:eastAsia="ru-RU"/>
              </w:rPr>
              <w:br/>
              <w:t>ООО «С</w:t>
            </w:r>
            <w:r w:rsidR="007D043E">
              <w:rPr>
                <w:rFonts w:ascii="Times New Roman" w:eastAsiaTheme="minorEastAsia" w:hAnsi="Times New Roman" w:cs="Times New Roman"/>
                <w:kern w:val="0"/>
                <w:sz w:val="20"/>
                <w:szCs w:val="20"/>
                <w:lang w:eastAsia="ru-RU"/>
              </w:rPr>
              <w:t>п</w:t>
            </w:r>
            <w:r w:rsidRPr="004713CA">
              <w:rPr>
                <w:rFonts w:ascii="Times New Roman" w:eastAsiaTheme="minorEastAsia" w:hAnsi="Times New Roman" w:cs="Times New Roman"/>
                <w:kern w:val="0"/>
                <w:sz w:val="20"/>
                <w:szCs w:val="20"/>
                <w:lang w:eastAsia="ru-RU"/>
              </w:rPr>
              <w:t>ецкомбинат ритуальных услуг», ООО «Инвентаризатор»</w:t>
            </w:r>
            <w:r w:rsidR="007D043E">
              <w:rPr>
                <w:rFonts w:ascii="Times New Roman" w:eastAsiaTheme="minorEastAsia" w:hAnsi="Times New Roman" w:cs="Times New Roman"/>
                <w:kern w:val="0"/>
                <w:sz w:val="20"/>
                <w:szCs w:val="20"/>
                <w:lang w:eastAsia="ru-RU"/>
              </w:rPr>
              <w:t>.</w:t>
            </w:r>
          </w:p>
          <w:p w:rsidR="008E4D79" w:rsidRPr="004713CA" w:rsidRDefault="008E4D79"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81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Доход от переданного в аренду муниципального имущества, находящегося в муниципальной казне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тыс.руб.</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653236" w:rsidP="004713CA">
            <w:pPr>
              <w:spacing w:after="0" w:line="240" w:lineRule="auto"/>
              <w:rPr>
                <w:rFonts w:ascii="Times New Roman" w:eastAsiaTheme="minorEastAsia" w:hAnsi="Times New Roman" w:cs="Times New Roman"/>
                <w:kern w:val="0"/>
                <w:sz w:val="24"/>
                <w:szCs w:val="24"/>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E04898"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E04898">
              <w:rPr>
                <w:rFonts w:ascii="Times New Roman" w:eastAsiaTheme="minorEastAsia" w:hAnsi="Times New Roman" w:cs="Times New Roman"/>
                <w:kern w:val="0"/>
                <w:sz w:val="20"/>
                <w:szCs w:val="20"/>
                <w:lang w:eastAsia="ru-RU"/>
              </w:rPr>
              <w:t>97 485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E04898"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E04898">
              <w:rPr>
                <w:rFonts w:ascii="Times New Roman" w:eastAsiaTheme="minorEastAsia" w:hAnsi="Times New Roman" w:cs="Times New Roman"/>
                <w:kern w:val="0"/>
                <w:sz w:val="20"/>
                <w:szCs w:val="20"/>
                <w:lang w:eastAsia="ru-RU"/>
              </w:rPr>
              <w:t>100 325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103 924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3 599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103 313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106,6</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E04898" w:rsidP="00E04898">
            <w:pPr>
              <w:spacing w:after="0" w:line="240" w:lineRule="auto"/>
              <w:rPr>
                <w:rFonts w:ascii="Times New Roman" w:eastAsiaTheme="minorEastAsia" w:hAnsi="Times New Roman" w:cs="Times New Roman"/>
                <w:kern w:val="0"/>
                <w:sz w:val="20"/>
                <w:szCs w:val="20"/>
                <w:lang w:eastAsia="ru-RU"/>
              </w:rPr>
            </w:pPr>
            <w:r w:rsidRPr="00E04898">
              <w:rPr>
                <w:rFonts w:ascii="Times New Roman" w:eastAsiaTheme="minorEastAsia" w:hAnsi="Times New Roman" w:cs="Times New Roman"/>
                <w:kern w:val="0"/>
                <w:sz w:val="20"/>
                <w:szCs w:val="20"/>
                <w:lang w:eastAsia="ru-RU"/>
              </w:rPr>
              <w:t>План на 2024 год скорректирован с 96 293 тыс.</w:t>
            </w:r>
            <w:r>
              <w:rPr>
                <w:rFonts w:ascii="Times New Roman" w:eastAsiaTheme="minorEastAsia" w:hAnsi="Times New Roman" w:cs="Times New Roman"/>
                <w:kern w:val="0"/>
                <w:sz w:val="20"/>
                <w:szCs w:val="20"/>
                <w:lang w:eastAsia="ru-RU"/>
              </w:rPr>
              <w:t xml:space="preserve"> </w:t>
            </w:r>
            <w:r w:rsidRPr="00E04898">
              <w:rPr>
                <w:rFonts w:ascii="Times New Roman" w:eastAsiaTheme="minorEastAsia" w:hAnsi="Times New Roman" w:cs="Times New Roman"/>
                <w:kern w:val="0"/>
                <w:sz w:val="20"/>
                <w:szCs w:val="20"/>
                <w:lang w:eastAsia="ru-RU"/>
              </w:rPr>
              <w:t>руб. на 100 325 тыс. руб. в  соответстви</w:t>
            </w:r>
            <w:r>
              <w:rPr>
                <w:rFonts w:ascii="Times New Roman" w:eastAsiaTheme="minorEastAsia" w:hAnsi="Times New Roman" w:cs="Times New Roman"/>
                <w:kern w:val="0"/>
                <w:sz w:val="20"/>
                <w:szCs w:val="20"/>
                <w:lang w:eastAsia="ru-RU"/>
              </w:rPr>
              <w:t>и</w:t>
            </w:r>
            <w:r w:rsidRPr="00E04898">
              <w:rPr>
                <w:rFonts w:ascii="Times New Roman" w:eastAsiaTheme="minorEastAsia" w:hAnsi="Times New Roman" w:cs="Times New Roman"/>
                <w:kern w:val="0"/>
                <w:sz w:val="20"/>
                <w:szCs w:val="20"/>
                <w:lang w:eastAsia="ru-RU"/>
              </w:rPr>
              <w:t xml:space="preserve"> с решением Думы городского округа Тольятти от 25.12.2024 № 394.</w:t>
            </w:r>
            <w:r>
              <w:rPr>
                <w:rFonts w:ascii="Times New Roman" w:eastAsiaTheme="minorEastAsia" w:hAnsi="Times New Roman" w:cs="Times New Roman"/>
                <w:kern w:val="0"/>
                <w:sz w:val="20"/>
                <w:szCs w:val="20"/>
                <w:lang w:eastAsia="ru-RU"/>
              </w:rPr>
              <w:t xml:space="preserve"> П</w:t>
            </w:r>
            <w:r w:rsidR="004713CA" w:rsidRPr="004713CA">
              <w:rPr>
                <w:rFonts w:ascii="Times New Roman" w:eastAsiaTheme="minorEastAsia" w:hAnsi="Times New Roman" w:cs="Times New Roman"/>
                <w:kern w:val="0"/>
                <w:sz w:val="20"/>
                <w:szCs w:val="20"/>
                <w:lang w:eastAsia="ru-RU"/>
              </w:rPr>
              <w:t>еревыполнение плана связано с частичным внесением денежных средств в декабре 2024 г</w:t>
            </w:r>
            <w:r w:rsidR="00A43903">
              <w:rPr>
                <w:rFonts w:ascii="Times New Roman" w:eastAsiaTheme="minorEastAsia" w:hAnsi="Times New Roman" w:cs="Times New Roman"/>
                <w:kern w:val="0"/>
                <w:sz w:val="20"/>
                <w:szCs w:val="20"/>
                <w:lang w:eastAsia="ru-RU"/>
              </w:rPr>
              <w:t>ода</w:t>
            </w:r>
            <w:r w:rsidR="004713CA" w:rsidRPr="004713CA">
              <w:rPr>
                <w:rFonts w:ascii="Times New Roman" w:eastAsiaTheme="minorEastAsia" w:hAnsi="Times New Roman" w:cs="Times New Roman"/>
                <w:kern w:val="0"/>
                <w:sz w:val="20"/>
                <w:szCs w:val="20"/>
                <w:lang w:eastAsia="ru-RU"/>
              </w:rPr>
              <w:t>, подлежащих оплате в январе 2025 г</w:t>
            </w:r>
            <w:r w:rsidR="00A43903">
              <w:rPr>
                <w:rFonts w:ascii="Times New Roman" w:eastAsiaTheme="minorEastAsia" w:hAnsi="Times New Roman" w:cs="Times New Roman"/>
                <w:kern w:val="0"/>
                <w:sz w:val="20"/>
                <w:szCs w:val="20"/>
                <w:lang w:eastAsia="ru-RU"/>
              </w:rPr>
              <w:t>ода</w:t>
            </w:r>
            <w:r w:rsidR="004713CA" w:rsidRPr="004713CA">
              <w:rPr>
                <w:rFonts w:ascii="Times New Roman" w:eastAsiaTheme="minorEastAsia" w:hAnsi="Times New Roman" w:cs="Times New Roman"/>
                <w:kern w:val="0"/>
                <w:sz w:val="20"/>
                <w:szCs w:val="20"/>
                <w:lang w:eastAsia="ru-RU"/>
              </w:rPr>
              <w:t xml:space="preserve">. </w:t>
            </w:r>
            <w:r w:rsidR="004713CA" w:rsidRPr="004713CA">
              <w:rPr>
                <w:rFonts w:ascii="Times New Roman" w:eastAsiaTheme="minorEastAsia" w:hAnsi="Times New Roman" w:cs="Times New Roman"/>
                <w:kern w:val="0"/>
                <w:sz w:val="20"/>
                <w:szCs w:val="20"/>
                <w:lang w:eastAsia="ru-RU"/>
              </w:rPr>
              <w:br/>
              <w:t>Увеличение поступлений в 2024 г</w:t>
            </w:r>
            <w:r w:rsidR="00A43903">
              <w:rPr>
                <w:rFonts w:ascii="Times New Roman" w:eastAsiaTheme="minorEastAsia" w:hAnsi="Times New Roman" w:cs="Times New Roman"/>
                <w:kern w:val="0"/>
                <w:sz w:val="20"/>
                <w:szCs w:val="20"/>
                <w:lang w:eastAsia="ru-RU"/>
              </w:rPr>
              <w:t>ода</w:t>
            </w:r>
            <w:r w:rsidR="004713CA" w:rsidRPr="004713CA">
              <w:rPr>
                <w:rFonts w:ascii="Times New Roman" w:eastAsiaTheme="minorEastAsia" w:hAnsi="Times New Roman" w:cs="Times New Roman"/>
                <w:kern w:val="0"/>
                <w:sz w:val="20"/>
                <w:szCs w:val="20"/>
                <w:lang w:eastAsia="ru-RU"/>
              </w:rPr>
              <w:t xml:space="preserve"> в сравнении с доходами 2023 г</w:t>
            </w:r>
            <w:r w:rsidR="00A43903">
              <w:rPr>
                <w:rFonts w:ascii="Times New Roman" w:eastAsiaTheme="minorEastAsia" w:hAnsi="Times New Roman" w:cs="Times New Roman"/>
                <w:kern w:val="0"/>
                <w:sz w:val="20"/>
                <w:szCs w:val="20"/>
                <w:lang w:eastAsia="ru-RU"/>
              </w:rPr>
              <w:t>ода</w:t>
            </w:r>
            <w:r w:rsidR="004713CA" w:rsidRPr="004713CA">
              <w:rPr>
                <w:rFonts w:ascii="Times New Roman" w:eastAsiaTheme="minorEastAsia" w:hAnsi="Times New Roman" w:cs="Times New Roman"/>
                <w:kern w:val="0"/>
                <w:sz w:val="20"/>
                <w:szCs w:val="20"/>
                <w:lang w:eastAsia="ru-RU"/>
              </w:rPr>
              <w:t xml:space="preserve"> связано с увеличением размера арендной платы на размер уровня инфляции.</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82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Площадь муниципального имущества (нежилых зданий, помещений) в муниципальной казне, в том числе переданного: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306 376,0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298 606,7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Показатель не планируется. Уменьшение площади произошло в связи с продажей на аукционе, возникновением преимущественного права приобретения, передачей в собственность </w:t>
            </w:r>
            <w:r w:rsidR="007D043E">
              <w:rPr>
                <w:rFonts w:ascii="Times New Roman" w:eastAsiaTheme="minorEastAsia" w:hAnsi="Times New Roman" w:cs="Times New Roman"/>
                <w:kern w:val="0"/>
                <w:sz w:val="20"/>
                <w:szCs w:val="20"/>
                <w:lang w:eastAsia="ru-RU"/>
              </w:rPr>
              <w:t>Самарской области</w:t>
            </w:r>
            <w:r w:rsidRPr="004713CA">
              <w:rPr>
                <w:rFonts w:ascii="Times New Roman" w:eastAsiaTheme="minorEastAsia" w:hAnsi="Times New Roman" w:cs="Times New Roman"/>
                <w:kern w:val="0"/>
                <w:sz w:val="20"/>
                <w:szCs w:val="20"/>
                <w:lang w:eastAsia="ru-RU"/>
              </w:rPr>
              <w:t>, оперативное управление, включение в Уставный капитал акционерных обществ.</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безвозмездное пользование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252 067,0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255 495,5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101,4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не планируется</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в аренду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17 896,9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15 162,3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84,7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не планируется</w:t>
            </w:r>
            <w:r w:rsidR="007D043E">
              <w:rPr>
                <w:rFonts w:ascii="Times New Roman" w:eastAsiaTheme="minorEastAsia" w:hAnsi="Times New Roman" w:cs="Times New Roman"/>
                <w:kern w:val="0"/>
                <w:sz w:val="20"/>
                <w:szCs w:val="20"/>
                <w:lang w:eastAsia="ru-RU"/>
              </w:rPr>
              <w:t>.</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83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свободных помещений, находящихся в муниципальной собственности, с указанием площади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 кв.м</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63 / 23363,4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45 / 17521,7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71,4 / 75</w:t>
            </w:r>
            <w:r w:rsidR="006611C8">
              <w:rPr>
                <w:rFonts w:ascii="Times New Roman" w:eastAsiaTheme="minorEastAsia" w:hAnsi="Times New Roman" w:cs="Times New Roman"/>
                <w:kern w:val="0"/>
                <w:sz w:val="20"/>
                <w:szCs w:val="20"/>
                <w:lang w:eastAsia="ru-RU"/>
              </w:rPr>
              <w:t>,0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Показатель не планируется.</w:t>
            </w:r>
            <w:r w:rsidRPr="004713CA">
              <w:rPr>
                <w:rFonts w:ascii="Times New Roman" w:eastAsiaTheme="minorEastAsia" w:hAnsi="Times New Roman" w:cs="Times New Roman"/>
                <w:kern w:val="0"/>
                <w:sz w:val="20"/>
                <w:szCs w:val="20"/>
                <w:lang w:eastAsia="ru-RU"/>
              </w:rPr>
              <w:br/>
              <w:t>Количество свободных помещений (в ед.), находящихся в муниципальной собственности, уменьшилось в связи с передачей их в пользование, оперативное управление, аренду и включение в Уставный капитал акционерных обществ.</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84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выданных разрешений на установку и эксплуатацию рекламных конструкций, находящихся в муниципальной собственности, а также расположенных на объектах, находящихся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соответствии с Законом Самарской области от 29.12.2014 </w:t>
            </w:r>
            <w:r w:rsidRPr="004713CA">
              <w:rPr>
                <w:rFonts w:ascii="Times New Roman" w:eastAsiaTheme="minorEastAsia" w:hAnsi="Times New Roman" w:cs="Times New Roman"/>
                <w:kern w:val="0"/>
                <w:sz w:val="20"/>
                <w:szCs w:val="20"/>
                <w:lang w:eastAsia="ru-RU"/>
              </w:rPr>
              <w:br/>
              <w:t>№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выдача разрешений на установку и эксплуатацию рекламных конструкций, аннулирование таких разрешений относится к полномочиям органов государственной власти Самарской области – министерства имущественных отношений Самарской области (далее – Министерство).</w:t>
            </w:r>
            <w:r w:rsidRPr="004713CA">
              <w:rPr>
                <w:rFonts w:ascii="Times New Roman" w:eastAsiaTheme="minorEastAsia" w:hAnsi="Times New Roman" w:cs="Times New Roman"/>
                <w:kern w:val="0"/>
                <w:sz w:val="20"/>
                <w:szCs w:val="20"/>
                <w:lang w:eastAsia="ru-RU"/>
              </w:rPr>
              <w:br/>
              <w:t xml:space="preserve">Срок действия вышеуказанных полномочий установлен на срок по </w:t>
            </w:r>
            <w:r w:rsidRPr="004713CA">
              <w:rPr>
                <w:rFonts w:ascii="Times New Roman" w:eastAsiaTheme="minorEastAsia" w:hAnsi="Times New Roman" w:cs="Times New Roman"/>
                <w:kern w:val="0"/>
                <w:sz w:val="20"/>
                <w:szCs w:val="20"/>
                <w:lang w:eastAsia="ru-RU"/>
              </w:rPr>
              <w:br/>
              <w:t>31 декабря 2026 года.</w:t>
            </w:r>
            <w:r w:rsidRPr="004713CA">
              <w:rPr>
                <w:rFonts w:ascii="Times New Roman" w:eastAsiaTheme="minorEastAsia" w:hAnsi="Times New Roman" w:cs="Times New Roman"/>
                <w:kern w:val="0"/>
                <w:sz w:val="20"/>
                <w:szCs w:val="20"/>
                <w:lang w:eastAsia="ru-RU"/>
              </w:rPr>
              <w:br/>
              <w:t>По информации Министерства, в рамках осуществления работ по оказанию государственной услуги по выдаче разрешений на установку и эксплуатацию рекламных конструкций, Министерством выдано 119 разрешений на установку и эксплуатацию рекламных конструкций на территории городского округа Тольятти.</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85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Количество договоров, заключенных на установку и эксплуатацию рекламных конструкций, находящихся в муниципальной собственности, а также расположенных на объектах, находящихся в муниципальной собственности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7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По итогам проведенного 30.05.2024  аукциона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собственности городского округа Тольятти, заключено 7 договоров на установку и эксплуатацию рекламных конструкций в отношении 7 рекламных конструкций.</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86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Строка признана утратившей силу решением Думы городского округа Тольятти от 11.12.2019 №431 </w:t>
            </w:r>
          </w:p>
        </w:tc>
      </w:tr>
      <w:tr w:rsidR="004713CA" w:rsidRPr="004713CA" w:rsidTr="00EE53FD">
        <w:tc>
          <w:tcPr>
            <w:tcW w:w="471" w:type="dxa"/>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Verdana" w:eastAsia="Times New Roman" w:hAnsi="Verdana" w:cs="Times New Roman"/>
                <w:kern w:val="0"/>
                <w:sz w:val="18"/>
                <w:szCs w:val="18"/>
                <w:lang w:eastAsia="ru-RU"/>
              </w:rPr>
            </w:pPr>
            <w:r w:rsidRPr="004713CA">
              <w:rPr>
                <w:rFonts w:ascii="Verdana" w:eastAsia="Times New Roman" w:hAnsi="Verdana" w:cs="Times New Roman"/>
                <w:kern w:val="0"/>
                <w:sz w:val="18"/>
                <w:szCs w:val="18"/>
                <w:lang w:eastAsia="ru-RU"/>
              </w:rPr>
              <w:t> </w:t>
            </w:r>
          </w:p>
        </w:tc>
        <w:tc>
          <w:tcPr>
            <w:tcW w:w="15421" w:type="dxa"/>
            <w:gridSpan w:val="10"/>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8"/>
                <w:szCs w:val="28"/>
                <w:lang w:eastAsia="ru-RU"/>
              </w:rPr>
            </w:pPr>
            <w:r w:rsidRPr="004713CA">
              <w:rPr>
                <w:rFonts w:ascii="Times New Roman" w:eastAsiaTheme="minorEastAsia" w:hAnsi="Times New Roman" w:cs="Times New Roman"/>
                <w:kern w:val="0"/>
                <w:sz w:val="28"/>
                <w:szCs w:val="28"/>
                <w:lang w:eastAsia="ru-RU"/>
              </w:rPr>
              <w:t xml:space="preserve">Обеспечение деятельности </w:t>
            </w:r>
          </w:p>
        </w:tc>
      </w:tr>
      <w:tr w:rsidR="00AF3539" w:rsidRPr="004713CA" w:rsidTr="00EE53FD">
        <w:tc>
          <w:tcPr>
            <w:tcW w:w="471" w:type="dxa"/>
            <w:vMerge w:val="restart"/>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87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Штатная/списочная численность по состоянию на 31 декабря отчетного периода:</w:t>
            </w:r>
            <w:r w:rsidRPr="004713CA">
              <w:rPr>
                <w:rFonts w:ascii="Times New Roman" w:eastAsiaTheme="minorEastAsia" w:hAnsi="Times New Roman" w:cs="Times New Roman"/>
                <w:kern w:val="0"/>
                <w:sz w:val="20"/>
                <w:szCs w:val="20"/>
                <w:lang w:eastAsia="ru-RU"/>
              </w:rPr>
              <w:br/>
              <w:t xml:space="preserve">- администрации в целом, </w:t>
            </w:r>
            <w:r w:rsidRPr="004713CA">
              <w:rPr>
                <w:rFonts w:ascii="Times New Roman" w:eastAsiaTheme="minorEastAsia" w:hAnsi="Times New Roman" w:cs="Times New Roman"/>
                <w:kern w:val="0"/>
                <w:sz w:val="20"/>
                <w:szCs w:val="20"/>
                <w:lang w:eastAsia="ru-RU"/>
              </w:rPr>
              <w:br/>
              <w:t xml:space="preserve">в том числе по каждому органу администрации: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1105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1159,5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1088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-71,5</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1169,5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98,5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Фактическое значение показателя за 2024 год ниже планового значения показателя по причине увольнения работников администрации по собственному желанию и наличия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международных и межрегиональных связей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-9</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7D043E">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соответствии с решением Думы </w:t>
            </w:r>
            <w:r w:rsidR="007D043E">
              <w:rPr>
                <w:rFonts w:ascii="Times New Roman" w:eastAsiaTheme="minorEastAsia" w:hAnsi="Times New Roman" w:cs="Times New Roman"/>
                <w:kern w:val="0"/>
                <w:sz w:val="20"/>
                <w:szCs w:val="20"/>
                <w:lang w:eastAsia="ru-RU"/>
              </w:rPr>
              <w:t>городского округа Тольятти от 05.06.2024 № 234 «</w:t>
            </w:r>
            <w:r w:rsidRPr="004713CA">
              <w:rPr>
                <w:rFonts w:ascii="Times New Roman" w:eastAsiaTheme="minorEastAsia" w:hAnsi="Times New Roman" w:cs="Times New Roman"/>
                <w:kern w:val="0"/>
                <w:sz w:val="20"/>
                <w:szCs w:val="20"/>
                <w:lang w:eastAsia="ru-RU"/>
              </w:rPr>
              <w:t>О внесении изменений в структуру администр</w:t>
            </w:r>
            <w:r w:rsidR="007D043E">
              <w:rPr>
                <w:rFonts w:ascii="Times New Roman" w:eastAsiaTheme="minorEastAsia" w:hAnsi="Times New Roman" w:cs="Times New Roman"/>
                <w:kern w:val="0"/>
                <w:sz w:val="20"/>
                <w:szCs w:val="20"/>
                <w:lang w:eastAsia="ru-RU"/>
              </w:rPr>
              <w:t>ации городского округа Тольятти»</w:t>
            </w:r>
            <w:r w:rsidRPr="004713CA">
              <w:rPr>
                <w:rFonts w:ascii="Times New Roman" w:eastAsiaTheme="minorEastAsia" w:hAnsi="Times New Roman" w:cs="Times New Roman"/>
                <w:kern w:val="0"/>
                <w:sz w:val="20"/>
                <w:szCs w:val="20"/>
                <w:lang w:eastAsia="ru-RU"/>
              </w:rPr>
              <w:t>, утвержденную решением Думы городского округа Тольятти от 24.05.2017 № 1448, из структуры администрации исключен орган - Управление международных и межрегиональных связей с численностью 4 шт.</w:t>
            </w:r>
            <w:r w:rsidR="007D043E">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ед.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Отдел международных и межрегиональных связей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3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D63848">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соответствии с решением Думы </w:t>
            </w:r>
            <w:r w:rsidR="00D63848">
              <w:rPr>
                <w:rFonts w:ascii="Times New Roman" w:eastAsiaTheme="minorEastAsia" w:hAnsi="Times New Roman" w:cs="Times New Roman"/>
                <w:kern w:val="0"/>
                <w:sz w:val="20"/>
                <w:szCs w:val="20"/>
                <w:lang w:eastAsia="ru-RU"/>
              </w:rPr>
              <w:t>городского округа Тольятти от 05.03.2024 № 234 «</w:t>
            </w:r>
            <w:r w:rsidRPr="004713CA">
              <w:rPr>
                <w:rFonts w:ascii="Times New Roman" w:eastAsiaTheme="minorEastAsia" w:hAnsi="Times New Roman" w:cs="Times New Roman"/>
                <w:kern w:val="0"/>
                <w:sz w:val="20"/>
                <w:szCs w:val="20"/>
                <w:lang w:eastAsia="ru-RU"/>
              </w:rPr>
              <w:t>О внесении изменений в структуру администрации горо</w:t>
            </w:r>
            <w:r w:rsidR="00D63848">
              <w:rPr>
                <w:rFonts w:ascii="Times New Roman" w:eastAsiaTheme="minorEastAsia" w:hAnsi="Times New Roman" w:cs="Times New Roman"/>
                <w:kern w:val="0"/>
                <w:sz w:val="20"/>
                <w:szCs w:val="20"/>
                <w:lang w:eastAsia="ru-RU"/>
              </w:rPr>
              <w:t>дского округа Тольятти»</w:t>
            </w:r>
            <w:r w:rsidRPr="004713CA">
              <w:rPr>
                <w:rFonts w:ascii="Times New Roman" w:eastAsiaTheme="minorEastAsia" w:hAnsi="Times New Roman" w:cs="Times New Roman"/>
                <w:kern w:val="0"/>
                <w:sz w:val="20"/>
                <w:szCs w:val="20"/>
                <w:lang w:eastAsia="ru-RU"/>
              </w:rPr>
              <w:t>, утвержденную решением Думы городского округа Тольятти от 24.05.2017 № 1448 в составе администрации образован новый орган - Отдел международных и межрегиональных связей с численностью 3 шт.</w:t>
            </w:r>
            <w:r w:rsidR="00D6384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ед.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туризма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9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D63848">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В соответствии с решением Думы </w:t>
            </w:r>
            <w:r w:rsidR="00D63848">
              <w:rPr>
                <w:rFonts w:ascii="Times New Roman" w:eastAsiaTheme="minorEastAsia" w:hAnsi="Times New Roman" w:cs="Times New Roman"/>
                <w:kern w:val="0"/>
                <w:sz w:val="20"/>
                <w:szCs w:val="20"/>
                <w:lang w:eastAsia="ru-RU"/>
              </w:rPr>
              <w:t>городского округа</w:t>
            </w:r>
            <w:r w:rsidRPr="004713CA">
              <w:rPr>
                <w:rFonts w:ascii="Times New Roman" w:eastAsiaTheme="minorEastAsia" w:hAnsi="Times New Roman" w:cs="Times New Roman"/>
                <w:kern w:val="0"/>
                <w:sz w:val="20"/>
                <w:szCs w:val="20"/>
                <w:lang w:eastAsia="ru-RU"/>
              </w:rPr>
              <w:t xml:space="preserve"> Тольятти от 20.03.2024 № 156 </w:t>
            </w:r>
            <w:r w:rsidR="00D63848">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О внесении изменений в структуру администрации городского округа Тольятти</w:t>
            </w:r>
            <w:r w:rsidR="00D63848">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утвержденную решением Думы городского округа Тольятти от 24.05.2017 № 1448 в составе администрации образован новый орган</w:t>
            </w:r>
            <w:r w:rsidR="00D6384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 Управление туризма с численностью 16 шт.</w:t>
            </w:r>
            <w:r w:rsidR="00D63848">
              <w:rPr>
                <w:rFonts w:ascii="Times New Roman" w:eastAsiaTheme="minorEastAsia" w:hAnsi="Times New Roman" w:cs="Times New Roman"/>
                <w:kern w:val="0"/>
                <w:sz w:val="20"/>
                <w:szCs w:val="20"/>
                <w:lang w:eastAsia="ru-RU"/>
              </w:rPr>
              <w:t xml:space="preserve"> ед. </w:t>
            </w:r>
            <w:r w:rsidRPr="004713CA">
              <w:rPr>
                <w:rFonts w:ascii="Times New Roman" w:eastAsiaTheme="minorEastAsia" w:hAnsi="Times New Roman" w:cs="Times New Roman"/>
                <w:kern w:val="0"/>
                <w:sz w:val="20"/>
                <w:szCs w:val="20"/>
                <w:lang w:eastAsia="ru-RU"/>
              </w:rPr>
              <w:t>Фактическая численность Управления по состоянию на 31.12.2024 составила 9 шт.</w:t>
            </w:r>
            <w:r w:rsidR="00D63848">
              <w:rPr>
                <w:rFonts w:ascii="Times New Roman" w:eastAsiaTheme="minorEastAsia" w:hAnsi="Times New Roman" w:cs="Times New Roman"/>
                <w:kern w:val="0"/>
                <w:sz w:val="20"/>
                <w:szCs w:val="20"/>
                <w:lang w:eastAsia="ru-RU"/>
              </w:rPr>
              <w:t xml:space="preserve"> </w:t>
            </w:r>
            <w:r w:rsidRPr="004713CA">
              <w:rPr>
                <w:rFonts w:ascii="Times New Roman" w:eastAsiaTheme="minorEastAsia" w:hAnsi="Times New Roman" w:cs="Times New Roman"/>
                <w:kern w:val="0"/>
                <w:sz w:val="20"/>
                <w:szCs w:val="20"/>
                <w:lang w:eastAsia="ru-RU"/>
              </w:rPr>
              <w:t>ед.</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муниципальной службы и кадровой политики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вакансии.</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информационных технологий и связи </w:t>
            </w: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103,8</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административной практики и контроля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104,2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Контрольно-ревизионный отдел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мобилизационной подготовки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финансов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102,9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экономического развития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-6</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92,3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общественной безопасности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111,8</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потребительского рынка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94,1</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городского хозяйства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-7</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98,2</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дорожного хозяйства и транспорта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-10</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91,5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кадровыми мероприятиями по увольнению работников по собственному желанию и наличием вакансий.</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по управлению муниципальным имуществом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78,5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1,5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83,5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103,9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D63848">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Увеличение фактического показателя в 2024 году по сравнению с плановым показателем связано с введением дополнительной штатной численности в целях осуществления бюджетного учета муниципального имущества согласно требованиям нового стандарта бухгалтерского учета </w:t>
            </w:r>
            <w:r w:rsidR="00D63848">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Государственная (муниципальная) казна</w:t>
            </w:r>
            <w:r w:rsidR="00D63848">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градостроительной деятельности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93,5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культуры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96,9</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образования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-5</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Департамент социального обеспечения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68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-8</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89,5</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физической культуры и спорта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-4</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92,0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Отдел охраны труда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Отдел организации муниципальных торгов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Организационное управление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54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взаимодействия с общественностью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26</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104,0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Бухгалтерия (управление)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92,3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Правовой департамент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106,7</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Управление по делам архивов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83,3</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Отдел организации деятельности КДНиЗП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Администрация Автозаводского района (территориальный орган)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38</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97,4</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Администрация Центрального района (территориальный орган)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1276"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w:t>
            </w: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1134" w:type="dxa"/>
            <w:tcBorders>
              <w:top w:val="outset" w:sz="6" w:space="0" w:color="000000"/>
              <w:left w:val="outset" w:sz="6" w:space="0" w:color="000000"/>
              <w:bottom w:val="outset" w:sz="6" w:space="0" w:color="000000"/>
              <w:right w:val="outset" w:sz="6" w:space="0" w:color="000000"/>
            </w:tcBorders>
            <w:hideMark/>
          </w:tcPr>
          <w:p w:rsidR="008E4D79"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104,2</w:t>
            </w: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c>
          <w:tcPr>
            <w:tcW w:w="3231" w:type="dxa"/>
            <w:tcBorders>
              <w:top w:val="outset" w:sz="6" w:space="0" w:color="000000"/>
              <w:left w:val="outset" w:sz="6" w:space="0" w:color="000000"/>
              <w:bottom w:val="outset" w:sz="6" w:space="0" w:color="000000"/>
              <w:right w:val="outset" w:sz="6" w:space="0" w:color="000000"/>
            </w:tcBorders>
            <w:hideMark/>
          </w:tcPr>
          <w:p w:rsidR="008E4D79"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p w:rsidR="008E4D79"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p w:rsidR="008E4D79" w:rsidRPr="004713CA" w:rsidRDefault="008E4D79"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Администрация Комсомольского района (территориальный орган)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25</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-3</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24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Руководство администрации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11</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-2</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12</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90,0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 </w:t>
            </w:r>
          </w:p>
        </w:tc>
      </w:tr>
      <w:tr w:rsidR="00AF3539" w:rsidRPr="004713CA" w:rsidTr="00EE53FD">
        <w:tc>
          <w:tcPr>
            <w:tcW w:w="471" w:type="dxa"/>
            <w:vMerge/>
            <w:tcBorders>
              <w:top w:val="outset" w:sz="6" w:space="0" w:color="000000"/>
              <w:left w:val="outset" w:sz="6" w:space="0" w:color="000000"/>
              <w:bottom w:val="outset" w:sz="6" w:space="0" w:color="000000"/>
              <w:right w:val="outset" w:sz="6" w:space="0" w:color="000000"/>
            </w:tcBorders>
            <w:vAlign w:val="center"/>
            <w:hideMark/>
          </w:tcPr>
          <w:p w:rsidR="004713CA" w:rsidRPr="004713CA" w:rsidRDefault="004713CA" w:rsidP="004713CA">
            <w:pPr>
              <w:spacing w:after="0" w:line="240" w:lineRule="auto"/>
              <w:rPr>
                <w:rFonts w:ascii="Times New Roman" w:eastAsiaTheme="minorEastAsia" w:hAnsi="Times New Roman" w:cs="Times New Roman"/>
                <w:kern w:val="0"/>
                <w:sz w:val="20"/>
                <w:szCs w:val="20"/>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 Муниципальный центр управления (отдел)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ед.</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не установлен</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3</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b/>
                <w:bCs/>
                <w:kern w:val="0"/>
                <w:sz w:val="20"/>
                <w:szCs w:val="20"/>
                <w:lang w:eastAsia="ru-RU"/>
              </w:rPr>
              <w:t>-1</w:t>
            </w:r>
            <w:r w:rsidRPr="004713CA">
              <w:rPr>
                <w:rFonts w:ascii="Times New Roman" w:eastAsiaTheme="minorEastAsia" w:hAnsi="Times New Roman" w:cs="Times New Roman"/>
                <w:kern w:val="0"/>
                <w:sz w:val="20"/>
                <w:szCs w:val="20"/>
                <w:lang w:eastAsia="ru-RU"/>
              </w:rPr>
              <w:t xml:space="preserve">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4</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75,0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Уменьшение фактического показателя в 2024 году по сравнению с плановым показателем связано с наличием вакансий и кадровыми мероприятиями по увольнению работников по собственному желанию</w:t>
            </w:r>
            <w:r w:rsidR="00A43903">
              <w:rPr>
                <w:rFonts w:ascii="Times New Roman" w:eastAsiaTheme="minorEastAsia" w:hAnsi="Times New Roman" w:cs="Times New Roman"/>
                <w:kern w:val="0"/>
                <w:sz w:val="20"/>
                <w:szCs w:val="20"/>
                <w:lang w:eastAsia="ru-RU"/>
              </w:rPr>
              <w:t>.</w:t>
            </w:r>
            <w:r w:rsidRPr="004713CA">
              <w:rPr>
                <w:rFonts w:ascii="Times New Roman" w:eastAsiaTheme="minorEastAsia" w:hAnsi="Times New Roman" w:cs="Times New Roman"/>
                <w:kern w:val="0"/>
                <w:sz w:val="20"/>
                <w:szCs w:val="20"/>
                <w:lang w:eastAsia="ru-RU"/>
              </w:rPr>
              <w:t xml:space="preserve"> </w:t>
            </w:r>
          </w:p>
        </w:tc>
      </w:tr>
      <w:tr w:rsidR="00AF3539" w:rsidRPr="004713CA" w:rsidTr="00EE53FD">
        <w:tc>
          <w:tcPr>
            <w:tcW w:w="47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88 </w:t>
            </w:r>
          </w:p>
        </w:tc>
        <w:tc>
          <w:tcPr>
            <w:tcW w:w="255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Доля муниципальных услуг и услуг, предоставляемых муниципальными учреждениями, переведенных в электронную форму, от общего количества муниципальных услуг и услуг, предоставляемых муниципальными учреждениями, подлежащих переводу в электронную форму </w:t>
            </w:r>
          </w:p>
        </w:tc>
        <w:tc>
          <w:tcPr>
            <w:tcW w:w="992"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jc w:val="center"/>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c>
          <w:tcPr>
            <w:tcW w:w="1418"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276"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 xml:space="preserve">0 </w:t>
            </w:r>
          </w:p>
        </w:tc>
        <w:tc>
          <w:tcPr>
            <w:tcW w:w="1417"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1134"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100,0</w:t>
            </w:r>
          </w:p>
        </w:tc>
        <w:tc>
          <w:tcPr>
            <w:tcW w:w="3231" w:type="dxa"/>
            <w:tcBorders>
              <w:top w:val="outset" w:sz="6" w:space="0" w:color="000000"/>
              <w:left w:val="outset" w:sz="6" w:space="0" w:color="000000"/>
              <w:bottom w:val="outset" w:sz="6" w:space="0" w:color="000000"/>
              <w:right w:val="outset" w:sz="6" w:space="0" w:color="000000"/>
            </w:tcBorders>
            <w:hideMark/>
          </w:tcPr>
          <w:p w:rsidR="004713CA" w:rsidRPr="004713CA" w:rsidRDefault="004713CA" w:rsidP="004713CA">
            <w:pPr>
              <w:spacing w:before="100" w:beforeAutospacing="1" w:after="100" w:afterAutospacing="1" w:line="240" w:lineRule="auto"/>
              <w:rPr>
                <w:rFonts w:ascii="Times New Roman" w:eastAsiaTheme="minorEastAsia" w:hAnsi="Times New Roman" w:cs="Times New Roman"/>
                <w:kern w:val="0"/>
                <w:sz w:val="20"/>
                <w:szCs w:val="20"/>
                <w:lang w:eastAsia="ru-RU"/>
              </w:rPr>
            </w:pPr>
            <w:r w:rsidRPr="004713CA">
              <w:rPr>
                <w:rFonts w:ascii="Times New Roman" w:eastAsiaTheme="minorEastAsia" w:hAnsi="Times New Roman" w:cs="Times New Roman"/>
                <w:kern w:val="0"/>
                <w:sz w:val="20"/>
                <w:szCs w:val="20"/>
                <w:lang w:eastAsia="ru-RU"/>
              </w:rPr>
              <w:t>-</w:t>
            </w:r>
          </w:p>
        </w:tc>
      </w:tr>
    </w:tbl>
    <w:p w:rsidR="0085352A" w:rsidRDefault="0085352A" w:rsidP="0085352A">
      <w:pPr>
        <w:jc w:val="center"/>
      </w:pPr>
    </w:p>
    <w:sectPr w:rsidR="0085352A" w:rsidSect="009654E1">
      <w:headerReference w:type="default" r:id="rId7"/>
      <w:pgSz w:w="16838" w:h="11906" w:orient="landscape"/>
      <w:pgMar w:top="284" w:right="567" w:bottom="284" w:left="567" w:header="709" w:footer="709" w:gutter="0"/>
      <w:pgNumType w:start="56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F33" w:rsidRDefault="00532F33" w:rsidP="0085352A">
      <w:pPr>
        <w:spacing w:after="0" w:line="240" w:lineRule="auto"/>
      </w:pPr>
      <w:r>
        <w:separator/>
      </w:r>
    </w:p>
  </w:endnote>
  <w:endnote w:type="continuationSeparator" w:id="0">
    <w:p w:rsidR="00532F33" w:rsidRDefault="00532F33" w:rsidP="0085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F33" w:rsidRDefault="00532F33" w:rsidP="0085352A">
      <w:pPr>
        <w:spacing w:after="0" w:line="240" w:lineRule="auto"/>
      </w:pPr>
      <w:r>
        <w:separator/>
      </w:r>
    </w:p>
  </w:footnote>
  <w:footnote w:type="continuationSeparator" w:id="0">
    <w:p w:rsidR="00532F33" w:rsidRDefault="00532F33" w:rsidP="0085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492014"/>
      <w:docPartObj>
        <w:docPartGallery w:val="Page Numbers (Top of Page)"/>
        <w:docPartUnique/>
      </w:docPartObj>
    </w:sdtPr>
    <w:sdtEndPr/>
    <w:sdtContent>
      <w:p w:rsidR="009654E1" w:rsidRDefault="00812D9E">
        <w:pPr>
          <w:pStyle w:val="a5"/>
          <w:jc w:val="center"/>
        </w:pPr>
        <w:r>
          <w:fldChar w:fldCharType="begin"/>
        </w:r>
        <w:r>
          <w:instrText>PAGE   \* MERGEFORMAT</w:instrText>
        </w:r>
        <w:r>
          <w:fldChar w:fldCharType="separate"/>
        </w:r>
        <w:r w:rsidR="0034184E">
          <w:rPr>
            <w:noProof/>
          </w:rPr>
          <w:t>631</w:t>
        </w:r>
        <w:r>
          <w:fldChar w:fldCharType="end"/>
        </w:r>
      </w:p>
      <w:p w:rsidR="00812D9E" w:rsidRPr="009654E1" w:rsidRDefault="00532F33">
        <w:pPr>
          <w:pStyle w:val="a5"/>
          <w:jc w:val="center"/>
          <w:rPr>
            <w:sz w:val="12"/>
            <w:szCs w:val="12"/>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9C"/>
    <w:rsid w:val="000015DB"/>
    <w:rsid w:val="00003355"/>
    <w:rsid w:val="00012D56"/>
    <w:rsid w:val="00023CD4"/>
    <w:rsid w:val="000472EB"/>
    <w:rsid w:val="000649C5"/>
    <w:rsid w:val="00070044"/>
    <w:rsid w:val="000840FF"/>
    <w:rsid w:val="00085350"/>
    <w:rsid w:val="00085878"/>
    <w:rsid w:val="00096466"/>
    <w:rsid w:val="000A41A4"/>
    <w:rsid w:val="000A5629"/>
    <w:rsid w:val="000A799C"/>
    <w:rsid w:val="000B0179"/>
    <w:rsid w:val="000B327D"/>
    <w:rsid w:val="000C748D"/>
    <w:rsid w:val="000F149D"/>
    <w:rsid w:val="000F3188"/>
    <w:rsid w:val="000F4A8E"/>
    <w:rsid w:val="000F561E"/>
    <w:rsid w:val="00113D03"/>
    <w:rsid w:val="00117931"/>
    <w:rsid w:val="001715FA"/>
    <w:rsid w:val="001853E9"/>
    <w:rsid w:val="001938C9"/>
    <w:rsid w:val="001A694B"/>
    <w:rsid w:val="001B0BD9"/>
    <w:rsid w:val="001C6E07"/>
    <w:rsid w:val="001D2ABD"/>
    <w:rsid w:val="001E6505"/>
    <w:rsid w:val="001F4CB9"/>
    <w:rsid w:val="00201858"/>
    <w:rsid w:val="0020666C"/>
    <w:rsid w:val="00213743"/>
    <w:rsid w:val="00216450"/>
    <w:rsid w:val="002239C1"/>
    <w:rsid w:val="0023071C"/>
    <w:rsid w:val="002345B0"/>
    <w:rsid w:val="00234CF0"/>
    <w:rsid w:val="00240484"/>
    <w:rsid w:val="0026221E"/>
    <w:rsid w:val="00270F9C"/>
    <w:rsid w:val="0028215D"/>
    <w:rsid w:val="002834B6"/>
    <w:rsid w:val="00284BED"/>
    <w:rsid w:val="002A0CA7"/>
    <w:rsid w:val="002A64CF"/>
    <w:rsid w:val="002B0355"/>
    <w:rsid w:val="002B3B70"/>
    <w:rsid w:val="002C5211"/>
    <w:rsid w:val="002F5B7A"/>
    <w:rsid w:val="00304EA5"/>
    <w:rsid w:val="00313BEF"/>
    <w:rsid w:val="00322171"/>
    <w:rsid w:val="003264E4"/>
    <w:rsid w:val="003344EA"/>
    <w:rsid w:val="0033585E"/>
    <w:rsid w:val="00337CE8"/>
    <w:rsid w:val="00340E16"/>
    <w:rsid w:val="0034184E"/>
    <w:rsid w:val="00342966"/>
    <w:rsid w:val="003520A0"/>
    <w:rsid w:val="00361C72"/>
    <w:rsid w:val="00364BDA"/>
    <w:rsid w:val="00383540"/>
    <w:rsid w:val="003935EA"/>
    <w:rsid w:val="00395C72"/>
    <w:rsid w:val="003970C8"/>
    <w:rsid w:val="003B1330"/>
    <w:rsid w:val="003C272C"/>
    <w:rsid w:val="003D607F"/>
    <w:rsid w:val="003E698B"/>
    <w:rsid w:val="004140C6"/>
    <w:rsid w:val="0041618F"/>
    <w:rsid w:val="00440205"/>
    <w:rsid w:val="004713CA"/>
    <w:rsid w:val="004A1AC0"/>
    <w:rsid w:val="004A3010"/>
    <w:rsid w:val="004B561C"/>
    <w:rsid w:val="004B5ABA"/>
    <w:rsid w:val="004C4D17"/>
    <w:rsid w:val="004E6983"/>
    <w:rsid w:val="00510B71"/>
    <w:rsid w:val="00515BFE"/>
    <w:rsid w:val="00521C42"/>
    <w:rsid w:val="0053079B"/>
    <w:rsid w:val="00532F33"/>
    <w:rsid w:val="005330C5"/>
    <w:rsid w:val="00557E03"/>
    <w:rsid w:val="00562A55"/>
    <w:rsid w:val="00563DFB"/>
    <w:rsid w:val="00566B04"/>
    <w:rsid w:val="005742C3"/>
    <w:rsid w:val="00581471"/>
    <w:rsid w:val="005852F5"/>
    <w:rsid w:val="005930C0"/>
    <w:rsid w:val="0059542D"/>
    <w:rsid w:val="005C0545"/>
    <w:rsid w:val="00607476"/>
    <w:rsid w:val="00610C12"/>
    <w:rsid w:val="00613C8E"/>
    <w:rsid w:val="00617498"/>
    <w:rsid w:val="00625707"/>
    <w:rsid w:val="0062756F"/>
    <w:rsid w:val="00632F09"/>
    <w:rsid w:val="00640316"/>
    <w:rsid w:val="00641269"/>
    <w:rsid w:val="00643A3B"/>
    <w:rsid w:val="00653236"/>
    <w:rsid w:val="006611C8"/>
    <w:rsid w:val="006616DB"/>
    <w:rsid w:val="00675FFF"/>
    <w:rsid w:val="0067669B"/>
    <w:rsid w:val="00677040"/>
    <w:rsid w:val="00684F1E"/>
    <w:rsid w:val="006A0AB4"/>
    <w:rsid w:val="006A16D2"/>
    <w:rsid w:val="006B39C7"/>
    <w:rsid w:val="006C4BD1"/>
    <w:rsid w:val="006C7407"/>
    <w:rsid w:val="006D123F"/>
    <w:rsid w:val="006E27A6"/>
    <w:rsid w:val="006E697A"/>
    <w:rsid w:val="006F153F"/>
    <w:rsid w:val="00705DA9"/>
    <w:rsid w:val="007078EC"/>
    <w:rsid w:val="00707ADB"/>
    <w:rsid w:val="00735016"/>
    <w:rsid w:val="007424EF"/>
    <w:rsid w:val="00746221"/>
    <w:rsid w:val="0078590E"/>
    <w:rsid w:val="007973C9"/>
    <w:rsid w:val="007C5473"/>
    <w:rsid w:val="007D043E"/>
    <w:rsid w:val="007E370B"/>
    <w:rsid w:val="007F301A"/>
    <w:rsid w:val="00801ABC"/>
    <w:rsid w:val="00812D9E"/>
    <w:rsid w:val="008232F9"/>
    <w:rsid w:val="00823F31"/>
    <w:rsid w:val="00830698"/>
    <w:rsid w:val="00841C32"/>
    <w:rsid w:val="00842FEE"/>
    <w:rsid w:val="0084427D"/>
    <w:rsid w:val="0085352A"/>
    <w:rsid w:val="00872FCC"/>
    <w:rsid w:val="008958CA"/>
    <w:rsid w:val="008A4889"/>
    <w:rsid w:val="008B2434"/>
    <w:rsid w:val="008D6580"/>
    <w:rsid w:val="008E16AA"/>
    <w:rsid w:val="008E4D79"/>
    <w:rsid w:val="008F3EB0"/>
    <w:rsid w:val="00926CFA"/>
    <w:rsid w:val="009600B6"/>
    <w:rsid w:val="009654E1"/>
    <w:rsid w:val="00965A41"/>
    <w:rsid w:val="00983E3F"/>
    <w:rsid w:val="009B3714"/>
    <w:rsid w:val="009B6365"/>
    <w:rsid w:val="009C6075"/>
    <w:rsid w:val="009D185D"/>
    <w:rsid w:val="009E701B"/>
    <w:rsid w:val="00A17F4C"/>
    <w:rsid w:val="00A21478"/>
    <w:rsid w:val="00A224F3"/>
    <w:rsid w:val="00A256F7"/>
    <w:rsid w:val="00A33AE9"/>
    <w:rsid w:val="00A42B36"/>
    <w:rsid w:val="00A43903"/>
    <w:rsid w:val="00A43CCE"/>
    <w:rsid w:val="00A43CE5"/>
    <w:rsid w:val="00A833CF"/>
    <w:rsid w:val="00A9053C"/>
    <w:rsid w:val="00AA5ADB"/>
    <w:rsid w:val="00AC4084"/>
    <w:rsid w:val="00AC4764"/>
    <w:rsid w:val="00AC5C9D"/>
    <w:rsid w:val="00AD03D2"/>
    <w:rsid w:val="00AD6040"/>
    <w:rsid w:val="00AF0389"/>
    <w:rsid w:val="00AF3539"/>
    <w:rsid w:val="00AF4632"/>
    <w:rsid w:val="00B2107E"/>
    <w:rsid w:val="00B24FDF"/>
    <w:rsid w:val="00B80B87"/>
    <w:rsid w:val="00B8286D"/>
    <w:rsid w:val="00B91281"/>
    <w:rsid w:val="00B92F5B"/>
    <w:rsid w:val="00BC2927"/>
    <w:rsid w:val="00BD104E"/>
    <w:rsid w:val="00C068DE"/>
    <w:rsid w:val="00C12D65"/>
    <w:rsid w:val="00C23586"/>
    <w:rsid w:val="00C303AA"/>
    <w:rsid w:val="00C752BB"/>
    <w:rsid w:val="00C81487"/>
    <w:rsid w:val="00C8222A"/>
    <w:rsid w:val="00C90820"/>
    <w:rsid w:val="00C962D2"/>
    <w:rsid w:val="00C97821"/>
    <w:rsid w:val="00C97859"/>
    <w:rsid w:val="00CA7D69"/>
    <w:rsid w:val="00CD2D51"/>
    <w:rsid w:val="00CD5447"/>
    <w:rsid w:val="00D004A4"/>
    <w:rsid w:val="00D124EC"/>
    <w:rsid w:val="00D132C3"/>
    <w:rsid w:val="00D25C4E"/>
    <w:rsid w:val="00D63848"/>
    <w:rsid w:val="00D63ABE"/>
    <w:rsid w:val="00D70FD3"/>
    <w:rsid w:val="00D8693D"/>
    <w:rsid w:val="00D87139"/>
    <w:rsid w:val="00DB1994"/>
    <w:rsid w:val="00DF17CB"/>
    <w:rsid w:val="00DF5FD6"/>
    <w:rsid w:val="00E02D30"/>
    <w:rsid w:val="00E045A9"/>
    <w:rsid w:val="00E04898"/>
    <w:rsid w:val="00E13D9A"/>
    <w:rsid w:val="00E24E90"/>
    <w:rsid w:val="00E34DED"/>
    <w:rsid w:val="00E7597D"/>
    <w:rsid w:val="00E80880"/>
    <w:rsid w:val="00E864BE"/>
    <w:rsid w:val="00E90711"/>
    <w:rsid w:val="00E90B41"/>
    <w:rsid w:val="00E965DE"/>
    <w:rsid w:val="00EA51C7"/>
    <w:rsid w:val="00EB2D4B"/>
    <w:rsid w:val="00EC1789"/>
    <w:rsid w:val="00EC5A6B"/>
    <w:rsid w:val="00ED6847"/>
    <w:rsid w:val="00EE53FD"/>
    <w:rsid w:val="00F12E64"/>
    <w:rsid w:val="00F15B39"/>
    <w:rsid w:val="00F234FD"/>
    <w:rsid w:val="00F3388E"/>
    <w:rsid w:val="00F40CC1"/>
    <w:rsid w:val="00F564C0"/>
    <w:rsid w:val="00F636F7"/>
    <w:rsid w:val="00F763E8"/>
    <w:rsid w:val="00F831B5"/>
    <w:rsid w:val="00FA19DE"/>
    <w:rsid w:val="00FC5A7D"/>
    <w:rsid w:val="00FD3ADA"/>
    <w:rsid w:val="00FD50DC"/>
    <w:rsid w:val="00FE07F6"/>
    <w:rsid w:val="00FF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AF831"/>
  <w15:docId w15:val="{17F41077-31A5-4E99-A224-ACB963A5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1">
    <w:name w:val="стиль221"/>
    <w:basedOn w:val="a0"/>
    <w:rsid w:val="0085352A"/>
    <w:rPr>
      <w:rFonts w:ascii="Times New Roman" w:hAnsi="Times New Roman" w:cs="Times New Roman" w:hint="default"/>
      <w:i w:val="0"/>
      <w:iCs w:val="0"/>
      <w:sz w:val="28"/>
      <w:szCs w:val="28"/>
    </w:rPr>
  </w:style>
  <w:style w:type="numbering" w:customStyle="1" w:styleId="1">
    <w:name w:val="Нет списка1"/>
    <w:next w:val="a2"/>
    <w:uiPriority w:val="99"/>
    <w:semiHidden/>
    <w:unhideWhenUsed/>
    <w:rsid w:val="0085352A"/>
  </w:style>
  <w:style w:type="paragraph" w:customStyle="1" w:styleId="msonormal0">
    <w:name w:val="msonormal"/>
    <w:basedOn w:val="a"/>
    <w:rsid w:val="0085352A"/>
    <w:pPr>
      <w:spacing w:before="100" w:beforeAutospacing="1" w:after="100" w:afterAutospacing="1" w:line="240" w:lineRule="auto"/>
    </w:pPr>
    <w:rPr>
      <w:rFonts w:ascii="Times New Roman" w:eastAsiaTheme="minorEastAsia" w:hAnsi="Times New Roman" w:cs="Times New Roman"/>
      <w:kern w:val="0"/>
      <w:sz w:val="24"/>
      <w:szCs w:val="24"/>
      <w:lang w:eastAsia="ru-RU"/>
    </w:rPr>
  </w:style>
  <w:style w:type="paragraph" w:customStyle="1" w:styleId="3">
    <w:name w:val="стиль3"/>
    <w:basedOn w:val="a"/>
    <w:rsid w:val="0085352A"/>
    <w:pPr>
      <w:spacing w:before="100" w:beforeAutospacing="1" w:after="100" w:afterAutospacing="1" w:line="240" w:lineRule="auto"/>
    </w:pPr>
    <w:rPr>
      <w:rFonts w:ascii="Times New Roman" w:eastAsiaTheme="minorEastAsia" w:hAnsi="Times New Roman" w:cs="Times New Roman"/>
      <w:b/>
      <w:bCs/>
      <w:color w:val="0000FF"/>
      <w:kern w:val="0"/>
      <w:sz w:val="24"/>
      <w:szCs w:val="24"/>
      <w:lang w:eastAsia="ru-RU"/>
    </w:rPr>
  </w:style>
  <w:style w:type="paragraph" w:customStyle="1" w:styleId="4">
    <w:name w:val="стиль4"/>
    <w:basedOn w:val="a"/>
    <w:rsid w:val="0085352A"/>
    <w:pPr>
      <w:spacing w:before="100" w:beforeAutospacing="1" w:after="100" w:afterAutospacing="1" w:line="240" w:lineRule="auto"/>
    </w:pPr>
    <w:rPr>
      <w:rFonts w:ascii="Times New Roman" w:eastAsiaTheme="minorEastAsia" w:hAnsi="Times New Roman" w:cs="Times New Roman"/>
      <w:color w:val="FF0000"/>
      <w:kern w:val="0"/>
      <w:sz w:val="24"/>
      <w:szCs w:val="24"/>
      <w:lang w:eastAsia="ru-RU"/>
    </w:rPr>
  </w:style>
  <w:style w:type="paragraph" w:customStyle="1" w:styleId="10">
    <w:name w:val="стиль1"/>
    <w:basedOn w:val="a"/>
    <w:rsid w:val="0085352A"/>
    <w:pPr>
      <w:spacing w:before="100" w:beforeAutospacing="1" w:after="100" w:afterAutospacing="1" w:line="240" w:lineRule="auto"/>
    </w:pPr>
    <w:rPr>
      <w:rFonts w:ascii="Times New Roman" w:eastAsiaTheme="minorEastAsia" w:hAnsi="Times New Roman" w:cs="Times New Roman"/>
      <w:kern w:val="0"/>
      <w:sz w:val="28"/>
      <w:szCs w:val="28"/>
      <w:lang w:eastAsia="ru-RU"/>
    </w:rPr>
  </w:style>
  <w:style w:type="paragraph" w:customStyle="1" w:styleId="2">
    <w:name w:val="стиль2"/>
    <w:basedOn w:val="a"/>
    <w:rsid w:val="0085352A"/>
    <w:pPr>
      <w:spacing w:before="100" w:beforeAutospacing="1" w:after="100" w:afterAutospacing="1" w:line="240" w:lineRule="auto"/>
    </w:pPr>
    <w:rPr>
      <w:rFonts w:ascii="Times New Roman" w:eastAsiaTheme="minorEastAsia" w:hAnsi="Times New Roman" w:cs="Times New Roman"/>
      <w:kern w:val="0"/>
      <w:sz w:val="24"/>
      <w:szCs w:val="24"/>
      <w:lang w:eastAsia="ru-RU"/>
    </w:rPr>
  </w:style>
  <w:style w:type="paragraph" w:customStyle="1" w:styleId="11">
    <w:name w:val="стиль11"/>
    <w:basedOn w:val="a"/>
    <w:rsid w:val="0085352A"/>
    <w:pPr>
      <w:spacing w:before="100" w:beforeAutospacing="1" w:after="100" w:afterAutospacing="1" w:line="240" w:lineRule="auto"/>
    </w:pPr>
    <w:rPr>
      <w:rFonts w:ascii="Times New Roman" w:eastAsiaTheme="minorEastAsia" w:hAnsi="Times New Roman" w:cs="Times New Roman"/>
      <w:kern w:val="0"/>
      <w:sz w:val="20"/>
      <w:szCs w:val="20"/>
      <w:lang w:eastAsia="ru-RU"/>
    </w:rPr>
  </w:style>
  <w:style w:type="paragraph" w:customStyle="1" w:styleId="22">
    <w:name w:val="стиль22"/>
    <w:basedOn w:val="a"/>
    <w:rsid w:val="0085352A"/>
    <w:pPr>
      <w:spacing w:before="100" w:beforeAutospacing="1" w:after="100" w:afterAutospacing="1" w:line="240" w:lineRule="auto"/>
    </w:pPr>
    <w:rPr>
      <w:rFonts w:ascii="Times New Roman" w:eastAsiaTheme="minorEastAsia" w:hAnsi="Times New Roman" w:cs="Times New Roman"/>
      <w:kern w:val="0"/>
      <w:sz w:val="28"/>
      <w:szCs w:val="28"/>
      <w:lang w:eastAsia="ru-RU"/>
    </w:rPr>
  </w:style>
  <w:style w:type="paragraph" w:customStyle="1" w:styleId="33">
    <w:name w:val="стиль33"/>
    <w:basedOn w:val="a"/>
    <w:rsid w:val="0085352A"/>
    <w:pPr>
      <w:spacing w:before="100" w:beforeAutospacing="1" w:after="100" w:afterAutospacing="1" w:line="240" w:lineRule="auto"/>
    </w:pPr>
    <w:rPr>
      <w:rFonts w:ascii="Times New Roman" w:eastAsiaTheme="minorEastAsia" w:hAnsi="Times New Roman" w:cs="Times New Roman"/>
      <w:kern w:val="0"/>
      <w:sz w:val="20"/>
      <w:szCs w:val="20"/>
      <w:lang w:eastAsia="ru-RU"/>
    </w:rPr>
  </w:style>
  <w:style w:type="paragraph" w:customStyle="1" w:styleId="111">
    <w:name w:val="стиль111"/>
    <w:basedOn w:val="a"/>
    <w:rsid w:val="0085352A"/>
    <w:pPr>
      <w:spacing w:before="100" w:beforeAutospacing="1" w:after="100" w:afterAutospacing="1" w:line="240" w:lineRule="auto"/>
    </w:pPr>
    <w:rPr>
      <w:rFonts w:ascii="Times New Roman" w:eastAsiaTheme="minorEastAsia" w:hAnsi="Times New Roman" w:cs="Times New Roman"/>
      <w:kern w:val="0"/>
      <w:sz w:val="16"/>
      <w:szCs w:val="16"/>
      <w:lang w:eastAsia="ru-RU"/>
    </w:rPr>
  </w:style>
  <w:style w:type="paragraph" w:styleId="a4">
    <w:name w:val="Normal (Web)"/>
    <w:basedOn w:val="a"/>
    <w:uiPriority w:val="99"/>
    <w:unhideWhenUsed/>
    <w:rsid w:val="0085352A"/>
    <w:pPr>
      <w:spacing w:before="100" w:beforeAutospacing="1" w:after="100" w:afterAutospacing="1" w:line="240" w:lineRule="auto"/>
    </w:pPr>
    <w:rPr>
      <w:rFonts w:ascii="Times New Roman" w:eastAsiaTheme="minorEastAsia" w:hAnsi="Times New Roman" w:cs="Times New Roman"/>
      <w:kern w:val="0"/>
      <w:sz w:val="24"/>
      <w:szCs w:val="24"/>
      <w:lang w:eastAsia="ru-RU"/>
    </w:rPr>
  </w:style>
  <w:style w:type="table" w:customStyle="1" w:styleId="12">
    <w:name w:val="Сетка таблицы1"/>
    <w:basedOn w:val="a1"/>
    <w:next w:val="a3"/>
    <w:uiPriority w:val="39"/>
    <w:rsid w:val="0085352A"/>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35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352A"/>
  </w:style>
  <w:style w:type="paragraph" w:styleId="a7">
    <w:name w:val="footer"/>
    <w:basedOn w:val="a"/>
    <w:link w:val="a8"/>
    <w:uiPriority w:val="99"/>
    <w:unhideWhenUsed/>
    <w:rsid w:val="008535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352A"/>
  </w:style>
  <w:style w:type="numbering" w:customStyle="1" w:styleId="20">
    <w:name w:val="Нет списка2"/>
    <w:next w:val="a2"/>
    <w:uiPriority w:val="99"/>
    <w:semiHidden/>
    <w:unhideWhenUsed/>
    <w:rsid w:val="004713CA"/>
  </w:style>
  <w:style w:type="paragraph" w:styleId="a9">
    <w:name w:val="List Paragraph"/>
    <w:basedOn w:val="a"/>
    <w:uiPriority w:val="34"/>
    <w:qFormat/>
    <w:rsid w:val="00C06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5772">
      <w:bodyDiv w:val="1"/>
      <w:marLeft w:val="0"/>
      <w:marRight w:val="0"/>
      <w:marTop w:val="0"/>
      <w:marBottom w:val="0"/>
      <w:divBdr>
        <w:top w:val="none" w:sz="0" w:space="0" w:color="auto"/>
        <w:left w:val="none" w:sz="0" w:space="0" w:color="auto"/>
        <w:bottom w:val="none" w:sz="0" w:space="0" w:color="auto"/>
        <w:right w:val="none" w:sz="0" w:space="0" w:color="auto"/>
      </w:divBdr>
    </w:div>
    <w:div w:id="939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1444-B7A5-40C1-A18C-C20387FB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14818</Words>
  <Characters>84468</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Кончева Наталья Валериевна</dc:creator>
  <cp:keywords/>
  <dc:description/>
  <cp:lastModifiedBy>Софьина Юлия Владимировна</cp:lastModifiedBy>
  <cp:revision>2</cp:revision>
  <dcterms:created xsi:type="dcterms:W3CDTF">2025-05-28T11:34:00Z</dcterms:created>
  <dcterms:modified xsi:type="dcterms:W3CDTF">2025-05-28T11:34:00Z</dcterms:modified>
</cp:coreProperties>
</file>