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1F" w:rsidRPr="002C101F" w:rsidRDefault="002C101F" w:rsidP="002C101F">
      <w:pPr>
        <w:spacing w:after="0" w:line="240" w:lineRule="auto"/>
        <w:rPr>
          <w:rFonts w:ascii="Times New Roman" w:eastAsia="Times New Roman" w:hAnsi="Times New Roman" w:cs="Times New Roman"/>
          <w:sz w:val="24"/>
          <w:szCs w:val="24"/>
          <w:lang w:eastAsia="ru-RU"/>
        </w:rPr>
      </w:pPr>
      <w:r w:rsidRPr="002C101F">
        <w:rPr>
          <w:rFonts w:ascii="Tahoma" w:eastAsia="Times New Roman" w:hAnsi="Tahoma" w:cs="Tahoma"/>
          <w:b/>
          <w:bCs/>
          <w:color w:val="BF0000"/>
          <w:sz w:val="18"/>
          <w:szCs w:val="18"/>
          <w:lang w:eastAsia="ru-RU"/>
        </w:rPr>
        <w:t>Пояснительная записка к докладу мэра городского округа Тольятти о достигнутых значениях показателей для оценки эффективности деятельности органов местного самоуправления городского округа Тольятти за 2009 год и их планируемых значениях на 2010-2012 г.г.</w:t>
      </w:r>
      <w:r w:rsidRPr="002C101F">
        <w:rPr>
          <w:rFonts w:ascii="Tahoma" w:eastAsia="Times New Roman" w:hAnsi="Tahoma" w:cs="Tahoma"/>
          <w:color w:val="283959"/>
          <w:sz w:val="18"/>
          <w:lang w:eastAsia="ru-RU"/>
        </w:rPr>
        <w:t> </w:t>
      </w:r>
      <w:r w:rsidRPr="002C101F">
        <w:rPr>
          <w:rFonts w:ascii="Tahoma" w:eastAsia="Times New Roman" w:hAnsi="Tahoma" w:cs="Tahoma"/>
          <w:color w:val="283959"/>
          <w:sz w:val="18"/>
          <w:szCs w:val="18"/>
          <w:lang w:eastAsia="ru-RU"/>
        </w:rPr>
        <w:br/>
      </w:r>
      <w:r w:rsidRPr="002C101F">
        <w:rPr>
          <w:rFonts w:ascii="Tahoma" w:eastAsia="Times New Roman" w:hAnsi="Tahoma" w:cs="Tahoma"/>
          <w:color w:val="283959"/>
          <w:sz w:val="18"/>
          <w:szCs w:val="18"/>
          <w:lang w:eastAsia="ru-RU"/>
        </w:rPr>
        <w:br/>
      </w:r>
      <w:r w:rsidRPr="002C101F">
        <w:rPr>
          <w:rFonts w:ascii="Tahoma" w:eastAsia="Times New Roman" w:hAnsi="Tahoma" w:cs="Tahoma"/>
          <w:color w:val="898989"/>
          <w:sz w:val="18"/>
          <w:szCs w:val="18"/>
          <w:lang w:eastAsia="ru-RU"/>
        </w:rPr>
        <w:t>01.05.2010</w:t>
      </w:r>
      <w:r w:rsidRPr="002C101F">
        <w:rPr>
          <w:rFonts w:ascii="Tahoma" w:eastAsia="Times New Roman" w:hAnsi="Tahoma" w:cs="Tahoma"/>
          <w:color w:val="283959"/>
          <w:sz w:val="18"/>
          <w:lang w:eastAsia="ru-RU"/>
        </w:rPr>
        <w:t> </w:t>
      </w:r>
      <w:r w:rsidRPr="002C101F">
        <w:rPr>
          <w:rFonts w:ascii="Tahoma" w:eastAsia="Times New Roman" w:hAnsi="Tahoma" w:cs="Tahoma"/>
          <w:color w:val="283959"/>
          <w:sz w:val="18"/>
          <w:szCs w:val="18"/>
          <w:lang w:eastAsia="ru-RU"/>
        </w:rPr>
        <w:br/>
      </w:r>
      <w:r w:rsidRPr="002C101F">
        <w:rPr>
          <w:rFonts w:ascii="Tahoma" w:eastAsia="Times New Roman" w:hAnsi="Tahoma" w:cs="Tahoma"/>
          <w:color w:val="283959"/>
          <w:sz w:val="18"/>
          <w:szCs w:val="18"/>
          <w:lang w:eastAsia="ru-RU"/>
        </w:rPr>
        <w:br/>
      </w:r>
    </w:p>
    <w:p w:rsidR="002C101F" w:rsidRPr="002C101F" w:rsidRDefault="002C101F" w:rsidP="002C101F">
      <w:pPr>
        <w:spacing w:before="150" w:after="0" w:line="270" w:lineRule="atLeast"/>
        <w:jc w:val="center"/>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Основные результаты и перспективы деятельности органов местного самоуправления по решению вопросов местного значения и обеспечению социально-экономического развития городского округа Тольятти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(пояснительная записка к докладу мэра городского округа Тольятти о достигнутых значениях показателей для оценки эффективности деятельности органов местного самоуправления городского округа Тольятти за 2009 год и их планируемых значениях на 2010-2012 г.г.)</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Муниципальное образование городской округ Тольятти – второй по величине в Самарской области,</w:t>
      </w:r>
      <w:r w:rsidRPr="002C101F">
        <w:rPr>
          <w:rFonts w:ascii="Times New Roman" w:eastAsia="Times New Roman" w:hAnsi="Times New Roman" w:cs="Times New Roman"/>
          <w:color w:val="283959"/>
          <w:sz w:val="23"/>
          <w:lang w:eastAsia="ru-RU"/>
        </w:rPr>
        <w:t> </w:t>
      </w:r>
      <w:r w:rsidRPr="002C101F">
        <w:rPr>
          <w:rFonts w:ascii="Times New Roman" w:eastAsia="Times New Roman" w:hAnsi="Times New Roman" w:cs="Times New Roman"/>
          <w:color w:val="283959"/>
          <w:sz w:val="23"/>
          <w:szCs w:val="23"/>
          <w:lang w:eastAsia="ru-RU"/>
        </w:rPr>
        <w:t>крупный промышленный центр Среднего Поволжья, речной порт, узел шоссейных и железнодорожных линий. Место расположения характеризуется сложными физико-географическими условиями – холмистым рельефом, разнообразным растительным покровом, близостью таких крупных водоемов, как Куйбышевское и Саратовское водохранилища.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Территорию городского округа составляют исторически сложившиеся земли городского округа, прилегающие к нему земли общего пользования, территории традиционного природопользования населения городского округа, рекреационные земли, земли для развития городского округа.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Территория городского округа разделена на районы: Автозаводский, Центральный, Комсомольский. В 2006 году произведено объединение города Тольятти с поселками городского типа Поволжский, Федоровка, поселком Загородный, селом Новоматюшкино в один населенный пункт.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Одна из особенностей городского округа – лесные массивы между районами городского округа, которые служат естественными границами. Протяженность леса между районами достигает нескольких километров, что позволяет каждому району сохранить свой микроклимат, а в целом способствует более равномерному распределению и снижению антропогенной нагрузки на воздушный бассейн городского округа.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Главным документом устойчивого развития городского округа является Генеральный план. Генеральный план определяет направление и развитие планировочного каркаса городского округа, функционального назначения территории и схему инженерного обеспечения.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Генеральном плане 2004 года территории города составляют 31479 га.   В границы городской черты входят: селитебные территории площадью 5270 га (16,7%); промышленно-коммунально-складские зоны – 5532 га (17,6%); территория внешнего транспорта – 1032 га (3,3%); городские леса – 8042 га (25,5%); земли сельхозиспользования — 724 га (2,3%).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Значительными территориальными резервами для размещения жилищно-гражданского и промышленного строительства обладают Автозаводский и Центральный район. Общая площадь городских резервных территорий составляет 4434,2 га.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Городской округ Тольятти – второй по величине в Самарской области и уникальное муниципальное образование, в котором сосредоточен мощнейший промышленный, инфраструктурный и кадровый потенциал региона.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xml:space="preserve">Тольятти - крупнейший моногород России. Градообразующим предприятием является открытое акционерное общество «АВТОВАЗ» (далее – ОАО «АВТОВАЗ»), среднесписочная численность работников которого в 2008 году составляла 27,5% от числа экономически активного населения, объем отгруженной продукции - 53,6% в общем объеме отгруженных </w:t>
      </w:r>
      <w:r w:rsidRPr="002C101F">
        <w:rPr>
          <w:rFonts w:ascii="Times New Roman" w:eastAsia="Times New Roman" w:hAnsi="Times New Roman" w:cs="Times New Roman"/>
          <w:color w:val="283959"/>
          <w:sz w:val="23"/>
          <w:szCs w:val="23"/>
          <w:lang w:eastAsia="ru-RU"/>
        </w:rPr>
        <w:lastRenderedPageBreak/>
        <w:t>товаров, работ, услуг. В кооперации с ОАО «АВТОВАЗ» работает 166 городских предприятий и 154 предприятий региона.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Серьезные коррективы в социально-экономическое развитие городского округа Тольятти, Самарской области и РФ внес мировой финансовый кризис.</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Объем выпуска легковых автомобилей за 2009 год составил 37,1 %, а объем продаж с учетом складских запасов – 51,5% к соответствующему периоду прошлого года, что обусловлено сокращением покупательского спроса на автомобили.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За январь-декабрь 2009 год индекс промышленного производства городского округа Тольятти составил 56,4 % к уровню 2008 года, в том числе в обрабатывающих производствах – 54,7%.</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экономике городского округа Тольятти продолжают доминировать факторы, обусловившие быстроту и</w:t>
      </w:r>
      <w:r w:rsidRPr="002C101F">
        <w:rPr>
          <w:rFonts w:ascii="Times New Roman" w:eastAsia="Times New Roman" w:hAnsi="Times New Roman" w:cs="Times New Roman"/>
          <w:color w:val="283959"/>
          <w:sz w:val="23"/>
          <w:lang w:eastAsia="ru-RU"/>
        </w:rPr>
        <w:t> </w:t>
      </w:r>
      <w:r w:rsidRPr="002C101F">
        <w:rPr>
          <w:rFonts w:ascii="Times New Roman" w:eastAsia="Times New Roman" w:hAnsi="Times New Roman" w:cs="Times New Roman"/>
          <w:color w:val="283959"/>
          <w:sz w:val="23"/>
          <w:szCs w:val="23"/>
          <w:lang w:eastAsia="ru-RU"/>
        </w:rPr>
        <w:t>глубину спада: зависимость от конъюнктуры мировых цен на товары экспорта, низкий внутренний спрос и неспособность промышленности его обеспечить, слабая финансовая система и отсутствие в экономике «длинных» денег.</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При этом городской округ Тольятти является стратегически важным муниципальным образованием Самарской области с точки зрения наличия, воспроизводства и развития человеческого и трудового потенциала.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Численность населения городского округа Тольятти растет, за последние пять лет она увеличилась на 3,1 тыс.человек и на 01.01.2010 составила 720,3 тыс. человек (22,7% общей ее численности по области). Среднегодовая численность постоянного населения составила 721,0 тыс.чел.</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Округ отличается наиболее благоприятной возрастной структурой населения, здесь самая высокая доля населения трудоспособного возраста среди территорий области - 65,2% от общей численности населения (в целом по России - 63%). Несмотря на то, что доля граждан старше трудоспособного возраста превышает долю детей и подростков на 3,6 п.п., эта разница значительно меньше, чем в целом по России - 5,2 п.п и по Самарской области - 7,4 п.п. Средний возраст жителей - 37,8 лет - ниже, чем в целом по РФ - 38,8 лет, и по Самарской области - 39,4 лет.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Активная демографическая политика в регионе и сложившаяся возрастная структура населения способствуют позитивным тенденциям процессов естественного воспроизводства. Это единственный городской округ области, где на протяжении последних трех лет сохраняется естественный прирост населения (в 2008 году он составил 0,7 тыс. человек, в январе-ноябре 2009 года - 0,6 тыс. человек).</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Положение на рынке труда осложняется ситуацией на ОАО «АВТОВАЗ», среднесписочная численность работников которого сократилась со 106 тыс. человек на начало 2009 года до 79 тыс. человек на 18.01.2010 (без учета дочерних организаций).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Численность зарегистрированных безработных увеличилась с начала 2009 года в 5,4 раза и на 01.01.2010 составила 16,7 тыс. человек.</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2009 году городской округ Тольятти участвовал в реализации 20 различных городских и областных целевых программ. В связи с развитием кризисных явлений в экономике в 2009 году поступление налоговых и неналоговых доходов снизилось, что внесло некоторые коррективы в реализацию раннее поставленных задач. Налоговые и неналоговые доходы бюджета городского округа были сокращены на 1460,5 млн.руб. Соответственно,   и расходная часть была секвестирована.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Финансирование программных мероприятий сократилось на 59,5%, в том числе, за счет средств городского бюджета – на 43,4%, федерального бюджета – на 46,3%, областного бюджета – на 86,5%.</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lastRenderedPageBreak/>
        <w:t>SWOT-анализ, проведенный в рамках разработки Стратегического плана развития городского округа Тольятти до 2020 года, показывает, что в разряд моногородов с наиболее тяжелым экономическим положением Тольятти попал в связи с преимущественно моноотраслевым типом экономики, глубоким падением спроса на продукцию градообразующего предприятия, наличием зависимости крупнейших химических экспортно-ориентированных предприятий от конъюнктуры мирового рынка и незначительной долей малого и среднего бизнеса.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При этом городской округ Тольятти имеет существенные преимущества перед другими российскими моногородами: выгодное экономико-географическое положение, наличие рекреационных ресурсов, развитую транспортную, финансовую инфраструктуру и высокий трудовой потенциал.</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Очевидно, что используя государственную помощь, участие в реализации федеральных и областных программ, потенциал развития российского автомобильного рынка и высокий инвестиционный рейтинг Самарской области, а также возможности участия в международном и межрегиональном разделении труда и эффект агломерации, у городского округа Тольятти есть шансы сократить до минимума имеющиеся риски и выйти из кризисной ситуации.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Важным фактором жизнеобеспечения населения, способствующим стабильности социально-экономического развития городского округа Тольятти, является развитие и поддержание в нормативном состоянии сети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Основой дорожной сети городского округа Тольятти является сеть автомобильных дорог общей протяженностью 1498 км, площадью дорожных покрытий в объеме 14345 тыс. м2, в том числе с твердым покрытием –   1414 км, включающая магистральные автодороги, дороги промышленно-коммунальной зоны, внутриквартальные проезды и бульвары, дороги частного сектора.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рамках реализации ведомственной целевой программы городского округа Тольятти «Повышение безопасности дорожного движения на период 2009 – 2011 гг.» в 2009 году: установлено и заменено 1415 дорожных знаков (+ 45% к уровню 2008 года); выполнен капитальный ремонт, реконструкция и строительство 23 светофорных объектов; пешеходные ограждения в очагах аварийности установлены в том же объеме, что и в 2008 году (742 м.п.); нанесена дорожная разметка в объеме 667 км.п. (+ 42,8% к уровню 2008 года).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На 01.01. 2010 года в городском округе насчитывается 342 автобуса и 175 троллейбусов, из них со 100% износом - 141 автобус и 149 троллейбусов, что составляет соответственно 41,2 % и 85,1 % от общего количества.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2009 году закуплено 5 единиц автобусов марки НЕФАЗ 5299-20-32 и 6 единиц троллейбусов марки ТРОЛЗА-5275.07.</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1 «Доля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 текущий ремонт».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Капитальный ремонт автодорог городского округа Тольятти выполнен на площади 139,144 тыс. м2. Приведенная протяженность капитально отремонтированных дорог составляет 139,144 / 7 = 19,88 (км). Протяженность дорог в городском округе Тольятти с твердым покрытием составляет 1414 км.</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2009 году выполнен капитальный ремонт автодорог на общей площади   90,3 тыс. м2 общей протяженностью 12,9 км (в 2008 году - 139,144 тыс. м2, общей протяженностью 19,88 км).</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lastRenderedPageBreak/>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 в 2009 году составил 0,91% (в 2008 году – 1,4%). По сравнению с 2008 годом этот показатель уменьшился на 0,49 п.п.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связи с сокращением финансирования долгосрочной целевой программы «Модернизация и развитие автомобильных дорог местного значения городского округа Тольятти на 2009-2015 годы» сроки реализации запланированных мероприятий по строительству и реконструкции улично-дорожной сети городского округа Тольятти перенесены на более поздние сроки.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 в 2009 году составил 0,74% (в 2008 году – 0,33%). В 2009 году, по сравнению с 2008 годом, этот показатель увеличился на 0,41 п.п. за счет перераспределения финансирования внутри бюджета департамента дорожного хозяйства, транспорта и связи.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2010 году планируется реализация двух проектов реконструкции автодорог с заменой кольцевых развязок, а также строительство автодороги Н-21. Ведется работа по проектированию строительства многоуровневой развязки и подготовке проектной документации на строительство и капитальный ремонт 5 объектов дорожного хозяйства.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3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Данный показатель в период 2008-2012 годы остается стабильным на уровне 94,4%.</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4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Важным фактором жизнеобеспечения населения городского округа Тольятти является состояние и развитие транспорта.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Пассажирские перевозки в городском округе Тольятти в 2009 году осуществлялись двумя муниципальными предприятиями, обслуживающими: 77 автобусных маршрутов и 22 троллейбусных маршрутов. Кроме этого, перевозки пассажиров осуществляли 22 фирмы-перевозчиков на коммерческой основе по 51 городскому маршруту.</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Для определения качества пассажирских перевозок применяются показатели регулярности работы городского пассажирского транспорта (выполнен на 99%) и выпуск на линию транспортных средств, осуществляющих пассажирские перевозки (в течение последних лет сохраняется на уровне 99%).</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Всему населению городского округа Тольятти доступно регулярное автобусное сообщение с административным центром городского округа Тольятти.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настоящее время функционирование субъектов малого предпринимательства на территории городского округа Тольятти осуществляется как в условиях глубокого финансового-экономического кризиса, так и на этапе перехода от государственной политики поддержки малого предпринимательства к государственной политике развития малого и среднего предпринимательства, предусмотренного Федеральным законом от 24.07.2007 г. № 209-ФЗ «О развитии малого и среднего предпринимательства в Российской Федерации».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связи с изменениями законодательства в области статистики, за 2008 и 2009 годы отсутствуют статистические данные об основных показателях микропредприятий численностью до 16 человек и выручкой до 60 млн.руб.</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lastRenderedPageBreak/>
        <w:t>В связи с новыми критериями по численности и структуре уставного капитала количество малых предприятий сократилось с 8,4 тыс.ед. в 2007 году до 2,2 тыс.ед. в 2008 году. С вступлением с 1 января 2009 года критерия по предельному значению выручки от реализации товаров (работ и услуг), из числа малых предприятий, числящихся в статистическом реестре, исключено еще более половины малых предприятий. Незначительная их часть получила статус среднего предприятия, а наибольшая часть – статус микропредприятия.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 оценочным данным Самарастат, подготовленным по итогам выборочного государственного статистического наблюдения с распространением итогов выборочного наблюдения на генеральную совокупность, количество малых предприятий (без микропредприятий) городского округа Тольятти по состоянию на 01.01.2010 года составило 1,0 тыс. ед., сократившись на 55,6% к уровню соответствующего периода 2008 года.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Первое статистическое наблюдение за деятельностью микропредприятий, составляющих, по экспертной оценке, от 70% до 80% от общего количества малых предприятий, запланировано Самарастат на 2011 год, и его результаты будут известны не ранее 2012 года.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r w:rsidRPr="002C101F">
        <w:rPr>
          <w:rFonts w:ascii="Times New Roman" w:eastAsia="Times New Roman" w:hAnsi="Times New Roman" w:cs="Times New Roman"/>
          <w:b/>
          <w:bCs/>
          <w:color w:val="283959"/>
          <w:sz w:val="23"/>
          <w:lang w:eastAsia="ru-RU"/>
        </w:rPr>
        <w:t>Показатель № 5 «Число субъектов малого предпринимательства (единиц на 10000 человек населения»).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Расчет показателя произведен исходя из данных: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07"/>
        <w:gridCol w:w="1797"/>
        <w:gridCol w:w="1724"/>
        <w:gridCol w:w="1857"/>
      </w:tblGrid>
      <w:tr w:rsidR="002C101F" w:rsidRPr="002C101F" w:rsidTr="002C101F">
        <w:trPr>
          <w:tblCellSpacing w:w="0" w:type="dxa"/>
        </w:trPr>
        <w:tc>
          <w:tcPr>
            <w:tcW w:w="4740" w:type="dxa"/>
            <w:tcBorders>
              <w:top w:val="outset" w:sz="6" w:space="0" w:color="auto"/>
              <w:left w:val="outset" w:sz="6" w:space="0" w:color="auto"/>
              <w:bottom w:val="outset" w:sz="6" w:space="0" w:color="auto"/>
              <w:right w:val="outset" w:sz="6" w:space="0" w:color="auto"/>
            </w:tcBorders>
            <w:hideMark/>
          </w:tcPr>
          <w:p w:rsidR="002C101F" w:rsidRPr="002C101F" w:rsidRDefault="002C101F" w:rsidP="002C101F">
            <w:pPr>
              <w:spacing w:before="150" w:after="0" w:line="270" w:lineRule="atLeast"/>
              <w:jc w:val="center"/>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Показатель</w:t>
            </w:r>
          </w:p>
        </w:tc>
        <w:tc>
          <w:tcPr>
            <w:tcW w:w="2130" w:type="dxa"/>
            <w:tcBorders>
              <w:top w:val="outset" w:sz="6" w:space="0" w:color="auto"/>
              <w:left w:val="outset" w:sz="6" w:space="0" w:color="auto"/>
              <w:bottom w:val="outset" w:sz="6" w:space="0" w:color="auto"/>
              <w:right w:val="outset" w:sz="6" w:space="0" w:color="auto"/>
            </w:tcBorders>
            <w:hideMark/>
          </w:tcPr>
          <w:p w:rsidR="002C101F" w:rsidRPr="002C101F" w:rsidRDefault="002C101F" w:rsidP="002C101F">
            <w:pPr>
              <w:spacing w:before="150" w:after="0" w:line="270" w:lineRule="atLeast"/>
              <w:jc w:val="center"/>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Ед.изм.</w:t>
            </w:r>
          </w:p>
        </w:tc>
        <w:tc>
          <w:tcPr>
            <w:tcW w:w="2130" w:type="dxa"/>
            <w:tcBorders>
              <w:top w:val="outset" w:sz="6" w:space="0" w:color="auto"/>
              <w:left w:val="outset" w:sz="6" w:space="0" w:color="auto"/>
              <w:bottom w:val="outset" w:sz="6" w:space="0" w:color="auto"/>
              <w:right w:val="outset" w:sz="6" w:space="0" w:color="auto"/>
            </w:tcBorders>
            <w:hideMark/>
          </w:tcPr>
          <w:p w:rsidR="002C101F" w:rsidRPr="002C101F" w:rsidRDefault="002C101F" w:rsidP="002C101F">
            <w:pPr>
              <w:spacing w:before="150" w:after="0" w:line="270" w:lineRule="atLeast"/>
              <w:jc w:val="center"/>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2008 год</w:t>
            </w:r>
          </w:p>
        </w:tc>
        <w:tc>
          <w:tcPr>
            <w:tcW w:w="2310" w:type="dxa"/>
            <w:tcBorders>
              <w:top w:val="outset" w:sz="6" w:space="0" w:color="auto"/>
              <w:left w:val="outset" w:sz="6" w:space="0" w:color="auto"/>
              <w:bottom w:val="outset" w:sz="6" w:space="0" w:color="auto"/>
              <w:right w:val="outset" w:sz="6" w:space="0" w:color="auto"/>
            </w:tcBorders>
            <w:hideMark/>
          </w:tcPr>
          <w:p w:rsidR="002C101F" w:rsidRPr="002C101F" w:rsidRDefault="002C101F" w:rsidP="002C101F">
            <w:pPr>
              <w:spacing w:before="150" w:after="0" w:line="270" w:lineRule="atLeast"/>
              <w:jc w:val="center"/>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2009 год</w:t>
            </w:r>
          </w:p>
        </w:tc>
      </w:tr>
      <w:tr w:rsidR="002C101F" w:rsidRPr="002C101F" w:rsidTr="002C101F">
        <w:trPr>
          <w:tblCellSpacing w:w="0" w:type="dxa"/>
        </w:trPr>
        <w:tc>
          <w:tcPr>
            <w:tcW w:w="4740" w:type="dxa"/>
            <w:tcBorders>
              <w:top w:val="outset" w:sz="6" w:space="0" w:color="auto"/>
              <w:left w:val="outset" w:sz="6" w:space="0" w:color="auto"/>
              <w:bottom w:val="outset" w:sz="6" w:space="0" w:color="auto"/>
              <w:right w:val="outset" w:sz="6" w:space="0" w:color="auto"/>
            </w:tcBorders>
            <w:hideMark/>
          </w:tcPr>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Количество малых предприятий</w:t>
            </w:r>
          </w:p>
        </w:tc>
        <w:tc>
          <w:tcPr>
            <w:tcW w:w="2130" w:type="dxa"/>
            <w:tcBorders>
              <w:top w:val="outset" w:sz="6" w:space="0" w:color="auto"/>
              <w:left w:val="outset" w:sz="6" w:space="0" w:color="auto"/>
              <w:bottom w:val="outset" w:sz="6" w:space="0" w:color="auto"/>
              <w:right w:val="outset" w:sz="6" w:space="0" w:color="auto"/>
            </w:tcBorders>
            <w:hideMark/>
          </w:tcPr>
          <w:p w:rsidR="002C101F" w:rsidRPr="002C101F" w:rsidRDefault="002C101F" w:rsidP="002C101F">
            <w:pPr>
              <w:spacing w:before="150" w:after="0" w:line="270" w:lineRule="atLeast"/>
              <w:jc w:val="center"/>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тыс.ед.</w:t>
            </w:r>
          </w:p>
        </w:tc>
        <w:tc>
          <w:tcPr>
            <w:tcW w:w="2130" w:type="dxa"/>
            <w:tcBorders>
              <w:top w:val="outset" w:sz="6" w:space="0" w:color="auto"/>
              <w:left w:val="outset" w:sz="6" w:space="0" w:color="auto"/>
              <w:bottom w:val="outset" w:sz="6" w:space="0" w:color="auto"/>
              <w:right w:val="outset" w:sz="6" w:space="0" w:color="auto"/>
            </w:tcBorders>
            <w:hideMark/>
          </w:tcPr>
          <w:p w:rsidR="002C101F" w:rsidRPr="002C101F" w:rsidRDefault="002C101F" w:rsidP="002C101F">
            <w:pPr>
              <w:spacing w:before="150" w:after="0" w:line="270" w:lineRule="atLeast"/>
              <w:jc w:val="center"/>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2,3</w:t>
            </w:r>
          </w:p>
        </w:tc>
        <w:tc>
          <w:tcPr>
            <w:tcW w:w="2310" w:type="dxa"/>
            <w:tcBorders>
              <w:top w:val="outset" w:sz="6" w:space="0" w:color="auto"/>
              <w:left w:val="outset" w:sz="6" w:space="0" w:color="auto"/>
              <w:bottom w:val="outset" w:sz="6" w:space="0" w:color="auto"/>
              <w:right w:val="outset" w:sz="6" w:space="0" w:color="auto"/>
            </w:tcBorders>
            <w:hideMark/>
          </w:tcPr>
          <w:p w:rsidR="002C101F" w:rsidRPr="002C101F" w:rsidRDefault="002C101F" w:rsidP="002C101F">
            <w:pPr>
              <w:spacing w:before="150" w:after="0" w:line="270" w:lineRule="atLeast"/>
              <w:jc w:val="center"/>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1,0</w:t>
            </w:r>
          </w:p>
        </w:tc>
      </w:tr>
      <w:tr w:rsidR="002C101F" w:rsidRPr="002C101F" w:rsidTr="002C101F">
        <w:trPr>
          <w:tblCellSpacing w:w="0" w:type="dxa"/>
        </w:trPr>
        <w:tc>
          <w:tcPr>
            <w:tcW w:w="4740" w:type="dxa"/>
            <w:tcBorders>
              <w:top w:val="outset" w:sz="6" w:space="0" w:color="auto"/>
              <w:left w:val="outset" w:sz="6" w:space="0" w:color="auto"/>
              <w:bottom w:val="outset" w:sz="6" w:space="0" w:color="auto"/>
              <w:right w:val="outset" w:sz="6" w:space="0" w:color="auto"/>
            </w:tcBorders>
            <w:hideMark/>
          </w:tcPr>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Количество индивидуальных предпринимателей</w:t>
            </w:r>
          </w:p>
        </w:tc>
        <w:tc>
          <w:tcPr>
            <w:tcW w:w="2130" w:type="dxa"/>
            <w:tcBorders>
              <w:top w:val="outset" w:sz="6" w:space="0" w:color="auto"/>
              <w:left w:val="outset" w:sz="6" w:space="0" w:color="auto"/>
              <w:bottom w:val="outset" w:sz="6" w:space="0" w:color="auto"/>
              <w:right w:val="outset" w:sz="6" w:space="0" w:color="auto"/>
            </w:tcBorders>
            <w:hideMark/>
          </w:tcPr>
          <w:p w:rsidR="002C101F" w:rsidRPr="002C101F" w:rsidRDefault="002C101F" w:rsidP="002C101F">
            <w:pPr>
              <w:spacing w:before="150" w:after="0" w:line="270" w:lineRule="atLeast"/>
              <w:jc w:val="center"/>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тыс.чел.</w:t>
            </w:r>
          </w:p>
        </w:tc>
        <w:tc>
          <w:tcPr>
            <w:tcW w:w="2130" w:type="dxa"/>
            <w:tcBorders>
              <w:top w:val="outset" w:sz="6" w:space="0" w:color="auto"/>
              <w:left w:val="outset" w:sz="6" w:space="0" w:color="auto"/>
              <w:bottom w:val="outset" w:sz="6" w:space="0" w:color="auto"/>
              <w:right w:val="outset" w:sz="6" w:space="0" w:color="auto"/>
            </w:tcBorders>
            <w:hideMark/>
          </w:tcPr>
          <w:p w:rsidR="002C101F" w:rsidRPr="002C101F" w:rsidRDefault="002C101F" w:rsidP="002C101F">
            <w:pPr>
              <w:spacing w:before="150" w:after="0" w:line="270" w:lineRule="atLeast"/>
              <w:jc w:val="center"/>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15,0</w:t>
            </w:r>
          </w:p>
        </w:tc>
        <w:tc>
          <w:tcPr>
            <w:tcW w:w="2310" w:type="dxa"/>
            <w:tcBorders>
              <w:top w:val="outset" w:sz="6" w:space="0" w:color="auto"/>
              <w:left w:val="outset" w:sz="6" w:space="0" w:color="auto"/>
              <w:bottom w:val="outset" w:sz="6" w:space="0" w:color="auto"/>
              <w:right w:val="outset" w:sz="6" w:space="0" w:color="auto"/>
            </w:tcBorders>
            <w:hideMark/>
          </w:tcPr>
          <w:p w:rsidR="002C101F" w:rsidRPr="002C101F" w:rsidRDefault="002C101F" w:rsidP="002C101F">
            <w:pPr>
              <w:spacing w:before="150" w:after="0" w:line="270" w:lineRule="atLeast"/>
              <w:jc w:val="center"/>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16,0</w:t>
            </w:r>
          </w:p>
        </w:tc>
      </w:tr>
      <w:tr w:rsidR="002C101F" w:rsidRPr="002C101F" w:rsidTr="002C101F">
        <w:trPr>
          <w:tblCellSpacing w:w="0" w:type="dxa"/>
        </w:trPr>
        <w:tc>
          <w:tcPr>
            <w:tcW w:w="4740" w:type="dxa"/>
            <w:tcBorders>
              <w:top w:val="outset" w:sz="6" w:space="0" w:color="auto"/>
              <w:left w:val="outset" w:sz="6" w:space="0" w:color="auto"/>
              <w:bottom w:val="outset" w:sz="6" w:space="0" w:color="auto"/>
              <w:right w:val="outset" w:sz="6" w:space="0" w:color="auto"/>
            </w:tcBorders>
            <w:hideMark/>
          </w:tcPr>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Среднегодовая численность населения</w:t>
            </w:r>
          </w:p>
        </w:tc>
        <w:tc>
          <w:tcPr>
            <w:tcW w:w="2130" w:type="dxa"/>
            <w:tcBorders>
              <w:top w:val="outset" w:sz="6" w:space="0" w:color="auto"/>
              <w:left w:val="outset" w:sz="6" w:space="0" w:color="auto"/>
              <w:bottom w:val="outset" w:sz="6" w:space="0" w:color="auto"/>
              <w:right w:val="outset" w:sz="6" w:space="0" w:color="auto"/>
            </w:tcBorders>
            <w:hideMark/>
          </w:tcPr>
          <w:p w:rsidR="002C101F" w:rsidRPr="002C101F" w:rsidRDefault="002C101F" w:rsidP="002C101F">
            <w:pPr>
              <w:spacing w:before="150" w:after="0" w:line="270" w:lineRule="atLeast"/>
              <w:jc w:val="center"/>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тыс.чел.</w:t>
            </w:r>
          </w:p>
        </w:tc>
        <w:tc>
          <w:tcPr>
            <w:tcW w:w="2130" w:type="dxa"/>
            <w:tcBorders>
              <w:top w:val="outset" w:sz="6" w:space="0" w:color="auto"/>
              <w:left w:val="outset" w:sz="6" w:space="0" w:color="auto"/>
              <w:bottom w:val="outset" w:sz="6" w:space="0" w:color="auto"/>
              <w:right w:val="outset" w:sz="6" w:space="0" w:color="auto"/>
            </w:tcBorders>
            <w:hideMark/>
          </w:tcPr>
          <w:p w:rsidR="002C101F" w:rsidRPr="002C101F" w:rsidRDefault="002C101F" w:rsidP="002C101F">
            <w:pPr>
              <w:spacing w:before="150" w:after="0" w:line="270" w:lineRule="atLeast"/>
              <w:jc w:val="center"/>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719,4</w:t>
            </w:r>
          </w:p>
        </w:tc>
        <w:tc>
          <w:tcPr>
            <w:tcW w:w="2310" w:type="dxa"/>
            <w:tcBorders>
              <w:top w:val="outset" w:sz="6" w:space="0" w:color="auto"/>
              <w:left w:val="outset" w:sz="6" w:space="0" w:color="auto"/>
              <w:bottom w:val="outset" w:sz="6" w:space="0" w:color="auto"/>
              <w:right w:val="outset" w:sz="6" w:space="0" w:color="auto"/>
            </w:tcBorders>
            <w:hideMark/>
          </w:tcPr>
          <w:p w:rsidR="002C101F" w:rsidRPr="002C101F" w:rsidRDefault="002C101F" w:rsidP="002C101F">
            <w:pPr>
              <w:spacing w:before="150" w:after="0" w:line="270" w:lineRule="atLeast"/>
              <w:jc w:val="center"/>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721,0</w:t>
            </w:r>
          </w:p>
        </w:tc>
      </w:tr>
    </w:tbl>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Рост показателя за 2009 год составил 110,2% за счет увеличения количества индивидуальных предпринимателей на 106,7%. Количество предпринимателей увеличилось в связи с развитием самозанятости населения на фоне резкого сокращения численности работающих на предприятиях городского округа.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6. 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связи с отсутствием объективных статистических данных о среднесписочной численности работников малых предприятий, включая микропредприятия, расчет показателя произведен по методике рекомендуемой ГУ «Высшая школа экономики», исходя из данных статистического баланса трудовых ресурсов городского округа Тольятти.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Городской округ Тольятти обладает достаточными для своего экономического развития трудовыми ресурсами. Доля численности трудовых ресурсов в общей численности населения округа составляет порядка 68,8 %.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Спад в экономике городского округа Тольятти самым непосредственным образом отразился на сфере занятости населения. Так по итогам 2009 года среднесписочная численность работающих на крупных и средних предприятиях городского округа Тольятти по сравнению с аналогичным показателем прошлого года уменьшилась на 4,4 % и составила 241,5 тыс. чел.</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Растет напряженность на рынке труда. На 01.01.2010г. официально зарегистрированных безработных состояло в ГУ Центр занятости городского округа Тольятти 16,7 тыс. человек, что в 5,4 больше уровня прошлого года (на 01.01.2009г. – 3,1 тыс. чел.).</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xml:space="preserve">Уровень зарегистрированной безработицы относительно трудоспособного населения с начала 2009 года вырос с 0,68 % до 3,67 % на конец года. Реальные возможности экономики в </w:t>
      </w:r>
      <w:r w:rsidRPr="002C101F">
        <w:rPr>
          <w:rFonts w:ascii="Times New Roman" w:eastAsia="Times New Roman" w:hAnsi="Times New Roman" w:cs="Times New Roman"/>
          <w:color w:val="283959"/>
          <w:sz w:val="23"/>
          <w:szCs w:val="23"/>
          <w:lang w:eastAsia="ru-RU"/>
        </w:rPr>
        <w:lastRenderedPageBreak/>
        <w:t>обеспечении занятости населения весьма ограничены: если в начале 2009 года на 1 постоянное место претендовало 1,6 незанятых граждан, то на начало 2010 года - 12 человек.</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результате высвобождения работников на предприятиях городского округа Тольятти происходит постепенное снижение численности занятых в экономике в целом. При этом следует отметить, что наибольшие сокращения рабочей силы коснулись именно крупных и средних предприятий округа, что соответственно привело к уменьшению доли занятого населения на крупных и средних предприятиях в общей численности занятых в экономике. Высвобожденные рабочие кадры с крупных и средних предприятий для поддержания уровня жизни ищут работу в малом бизнесе.</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Необходимо отметить, что основной проблемой развития малого предпринимательства в городском округе Тольятти является сокращение в 2009 году потребительского спроса на товары, работы и услуги в связи со снижением доходов населения, сокращение объемов кредитования малого бизнеса, а также сохраняющаяся слабая диверсификация экономики.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Мэрия городского округа Тольятти организовывает и проводит мероприятия по созданию условий для развития малого и среднего предпринимательства на территории городского округа Тольятти в рамках целевой программы «Развитие субъектов малого и среднего предпринимательства на территории городского округа Тольятти на 2008-2010 гг.», а также мероприятия, не финансируемые из бюджета городского округа.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рамках реализации антикризисных мер по направлению поддержки и развития предпринимательства в 2009 году для субъектов малого и среднего предпринимательства проведено 10 запросов котировок для участия в конкурсах на право выполнения муниципальных заказов на общую сумму около 3 млн.руб.</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Проведены конкурсы по отбору субъектов малого и среднего предпринимательства для предоставления субсидий в целях возмещения затрат в части расходов на приобретение основных средств, оказана помощь в оформлении 94 свидетельств на право занятия предпринимательской деятельностью и регистрации 35 малых предприятий, что позволило создать до 330 новых рабочих мест.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течение 2009 года 756 безработных граждан, желающих организовать собственное дело, получили консультации по актуальным вопросам ведения бизнеса. Проведено 35 семинаров и курсов, в которых приняли участие более 3 тысяч субъектов малого и среднего предпринимательства.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Тольяттинском инновационном бизнес-инкубаторе проведены конкурсы по отбору субъектов малого и среднего предпринимательства.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 целью снижения налоговой нагрузки на плательщиков земельного налога принято решение о понижении ставок земельного налога до уровня 2008 года, в связи с чем фискальная нагрузка на налогоплательщиков снизилась в общей сумме на 110 млн.руб.</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 целью увеличения притока инвестиций в экономику городского округа внесены изменения в положение о земельном налоге в части предоставления льгот по земельному налогу инвесторам, реализующим инвестиционные проекты на территории городского округа. При применении указанной льготы инвесторами размер муниципальной помощи составит в общей сложности 3 млн.руб.</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целях поддержки малого предпринимательства утверждена базовая ставка арендной платы за муниципальное имущество на 2009 год на уровне 2008 года, тем самым нагрузка на арендаторов снижена в размере порядка 65 млн.руб.</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xml:space="preserve">С целью снижения налоговой нагрузки на реальный сектор экономики в связи с ростом кадастровой стоимости земель изменены коэффициенты, применяемые при определении размера арендной платы за использование земельных участков, государственная </w:t>
      </w:r>
      <w:r w:rsidRPr="002C101F">
        <w:rPr>
          <w:rFonts w:ascii="Times New Roman" w:eastAsia="Times New Roman" w:hAnsi="Times New Roman" w:cs="Times New Roman"/>
          <w:color w:val="283959"/>
          <w:sz w:val="23"/>
          <w:szCs w:val="23"/>
          <w:lang w:eastAsia="ru-RU"/>
        </w:rPr>
        <w:lastRenderedPageBreak/>
        <w:t>собственность на которые не разграничена. Таким образом введено ограничение роста арендной платы, не превышающего 25% от уровня 2008 года. Размер арендной платы за земельные участки, предоставленные под строительство, сохранен на уровне 2008 года.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 результатам проведенного анализа поступлений в бюджет доходов от субъектов малого бизнеса, уплачивающих единый налог на вмененный доход, принято решение о снижении коэффициента К2 по оказанию бытовых услуг.</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Осенью 2009 года для местных производителей сельхозпродукции была организована работа сезонных ярмарок на 6-ти площадках с одновременным обустройством до 600 торговых мест.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 учетом новых требований к развитию  малого бизнеса в 2009 году разработана и утверждена долгосрочная программа «Поддержка и развитие малого и среднего предпринимательства на 2010-2015 годы», предусматривающая финансирование за счет средств федерального бюджета, бюджета Самарской области, бюджета городского округа Тольятти и внебюджетных средств на сумму 13,8 млрд.руб. За 5 лет реализации данной программы планируется создание до 1,5 тысяч новых субъектов малого предпринимательства и до 8 тысяч новых рабочих мест.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 2012 году, с учетом предполагаемого сокращения численности ОАО «АВТОВАЗ» до 64 тысяч человек в 2012 году и инвестиционных проектов создания новых предприятий, преимущественно относящихся к малым, показатель № 6 может составить 41,9%, в 2011 году – 40,3%.</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Инвестиционная политика городского округа Тольятти направлена на создание благоприятных условий для расширения инвестиционной деятельности, отраслевую диверсификацию экономики, создание новых рабочих мест, формирование доходной части бюджета.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Согласно проведенному ІІ рейтингу экономической привлекательности российских городов, где приняли участие 64 из 75 администраций крупных городов, опубликованному в ежемесячном журнале "РБК", городской округ Тольятти за 2008 год занял 12-ю позицию. Однако в 2009 году Тольятти занял лишь 18-ю позицию данного рейтинга.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Основные инвестиционные проекты, вошедшие в проект разрабатываемой Программы комплексного социально-экономического развития городского округа Тольятти на 2010-2020 годы и Комплексный инвестиционный план модернизации городского округа Тольятти Самарской области на 2010 – 2020 годы, направлены на диверсификацию отраслей экономики, создание рабочих мест, модернизацию производств, развитие инфраструктуры. Общий объем инвестиций на период 2010-2013 годы составит порядка 67 млрд.руб.</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Реализация серии крупных инвестиционных проектов усилит инвестиционный потенциал городского округа, позволит обеспечить занятость населения, расширить налоговую базу и увеличить приток денежных поступлений в бюджет городского округа. Кроме того, в перспективе это позволит решить задачу отраслевой диверсификации экономики.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целях повышения инвестиционной привлекательности городского округа Тольятти в 2009 году осуществлялась реализация «Положения об организации разработки Стратегического плана развития городского округа Тольятти до 2020 года», утвержденного решением Думы г.о. Тольятти № 958 от 17.09.2008г. (подготовлено техническое задание на разработку Стратегического плана развития городского округа Тольятти до 2020 года; проведен конкурс на право заключения муниципального контракта на разработку Стратегического плана; проведена научная экспертиза, сбор замечаний и предложений к I и II разделу проекта Стратегического плана).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lastRenderedPageBreak/>
        <w:t> </w:t>
      </w:r>
      <w:r w:rsidRPr="002C101F">
        <w:rPr>
          <w:rFonts w:ascii="Times New Roman" w:eastAsia="Times New Roman" w:hAnsi="Times New Roman" w:cs="Times New Roman"/>
          <w:b/>
          <w:bCs/>
          <w:color w:val="283959"/>
          <w:sz w:val="23"/>
          <w:lang w:eastAsia="ru-RU"/>
        </w:rPr>
        <w:t>Показатель № 7 Площадь земельных участков, предоставленных для строительства, в том числе: для жилищного строительства, индивидуального жилищного строительства, для комплексного освоения в целях жилищного строительства».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2009 году для строительства на территории городского округа Тольятти предоставлено 39 земельных участков общей площадью 17,28 га, из них для жилищного строительства - 6 земельных участков общей площадью 0,7 га, в том числе 2 земельных участка общей площадью 0,46 га - на конкурсной основе. Эти показатели ниже уровня 2008 года в связи с отсутствием вакантных земельных участков, не обремененных правами третьих лиц, общего снижения активности в строительной отрасли.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r w:rsidRPr="002C101F">
        <w:rPr>
          <w:rFonts w:ascii="Times New Roman" w:eastAsia="Times New Roman" w:hAnsi="Times New Roman" w:cs="Times New Roman"/>
          <w:b/>
          <w:bCs/>
          <w:color w:val="283959"/>
          <w:sz w:val="23"/>
          <w:lang w:eastAsia="ru-RU"/>
        </w:rPr>
        <w:t>Показатель № 8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Для определения площади земельных участков, являющихся объектами налогообложения земельным налогом, из общей площади городского округа (31479 га) была исключена площадь территории городского округа, не облагаемая земельным налогом, а, именно:</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земли общего пользования – 1052 га; земли автомобильного транспорта – 518 га; земли, занятые особо охраняемыми территориями и объектами – 634 га; земли лесничеств и лесопарков – 8020 га; земли под водными объектами – 910 га; земли под объектами иного специального назначения – 40 га; земли, не вовлеченные в градостроительную и иную деятельность – 359 га; земли, предоставленные на праве аренды – 2480,76 га.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Таким образом, площадь земельных участков, являющихся объектами налогообложения земельным налогом, составила 17465 га.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Доля площади земельных участков, являющихся объектами налогообложения земельным налогом, в общей площади территориального городского округа составила 54,92%.</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9: «Средняя продолжительность периода со дня принятия решения о предоставлении земельного участка для строительства или подписания протокола о результатах торгов (конкурсов, аукционов) по предоставлению земельных участков до получения разрешения на строительство».</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Значение указанного показателя в 2009 году составило 914 дней и возросло к уровню 2008 года на 47 дней или 5,4%. Причины длительных сроков получения разрешений на строительство объектов состоят, главным образом, в длительных сроках оформления исходно-разрешительной документации, прохождения экспертизы проектов.</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Плановое значение данного показателя на период 2010-2012 показано на уровне 2008-2009 годов. Однако, в связи с принимаемыми мерами на уровне Правительства РФ, а также разработкой административных регламентов прохождения согласований исходно-разрешительной документации в структурных подразделениях мэрии, значение данного показателя в планируемом периоде должно сократиться.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Продолжительность указанного периода и комплекс мероприятий, которые необходимо осуществить для получения разрешения на строительство, определяется сроками подготовки документов по следующим этапам:</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заключение договора аренды земельного участка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государственной регистрации договора аренды</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сбор материалов для подготовки градостроительного плана, в том числе выполнение изысканий для строительства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подготовка и утверждение градостроительного плана земельного участка по обращению заявителя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lastRenderedPageBreak/>
        <w:t>разработка проектной документации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получение заключений государственной экспертизы проектной документации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подготовка и выдача разрешений на строительство</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подготовка и выдача разрешения на ввод объектов в эксплуатацию</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К полномочиям органов местного самоуправления на данных этапах относятся: заключение договора аренды земельного участка (30 дней), подготовка и утверждение градостроительного плана земельного участка (30 дней), подготовка и выдача разрешений на строительство и ввод объектов в эксплуатацию (10 дней). Приведенные данные свидетельствуют о низком удельном весе продолжительности данных этапов в общих затратах времени на получение разрешения на строительство (7,75 – в 2009 году). Сокращение остальных непроизводительных затрат времени зависит от заказчиков-застройщиков, на которых у органов местного самоуправления отсутствует возможность оказывать влияние.</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10: «Площадь земельных участков, предоставленных для строительства, в отношении которых со дня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в том числе индивидуального жилищного строительства - в течение трех лет; иных объектов капитального строительства - в течение пяти лет».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Значение данного показателя в 2009 году снижено к уровню 2008 года и составляет: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 объектам жилищного строительства – 49,92 га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 иным объектам капитального строительства – 5,88 га.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Причинами превышения сроков строительства жилых домов свыше 3-х лет и иных объектов свыше 5-ти лет служат, в основном, отсутствие средств у застройщиков, отсутствие разрешительной документации, отклонения от проектной документации.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Ослабевание воздействия кризисных факторов на строительную отрасль, ужесточение дисциплины застройщиков и органов местного самоуправления призваны постепенно сократить число таких земельных участков.</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r w:rsidRPr="002C101F">
        <w:rPr>
          <w:rFonts w:ascii="Times New Roman" w:eastAsia="Times New Roman" w:hAnsi="Times New Roman" w:cs="Times New Roman"/>
          <w:b/>
          <w:bCs/>
          <w:color w:val="283959"/>
          <w:sz w:val="23"/>
          <w:lang w:eastAsia="ru-RU"/>
        </w:rPr>
        <w:t>Показатели № 11 и № 12</w:t>
      </w:r>
      <w:r w:rsidRPr="002C101F">
        <w:rPr>
          <w:rFonts w:ascii="Times New Roman" w:eastAsia="Times New Roman" w:hAnsi="Times New Roman" w:cs="Times New Roman"/>
          <w:color w:val="283959"/>
          <w:sz w:val="23"/>
          <w:lang w:eastAsia="ru-RU"/>
        </w:rPr>
        <w:t> </w:t>
      </w:r>
      <w:r w:rsidRPr="002C101F">
        <w:rPr>
          <w:rFonts w:ascii="Times New Roman" w:eastAsia="Times New Roman" w:hAnsi="Times New Roman" w:cs="Times New Roman"/>
          <w:color w:val="283959"/>
          <w:sz w:val="23"/>
          <w:szCs w:val="23"/>
          <w:lang w:eastAsia="ru-RU"/>
        </w:rPr>
        <w:t>для городского округа Тольятти не актуальны. Согласно статистическим данным в 2009 году в городском округе Тольятти 6 крупных и средних организаций осуществляли вид экономической деятельности «сельское хозяйство, охота и лесное хозяйство» или 0,07% от общего количества крупных и средних предприятий. При этом определить, сколько в их числе сельскохозяйственных предприятий, не представляется возможным. Доля отгруженной продукции данных организаций в общем объеме отгруженной продукции незначительна и составляет 0,02%.</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Кроме того, на территории городского округа данные организации, как правило, фактически не осуществляют деятельность, а зарегистрированы по месту нахождения органа управления (проживания руководителя организации). По статистическим данным удельный вес прибыльных сельскохозяйственных организаций в общем их числе сократился с 60% до 25%.</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13 «Отношение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плате работников крупных и средних предприятий и некоммерческих организаций городского округа (муниципального района)».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2009 году данный показатель составил 73,4%, увеличившись на 14,3 п.п. к уровню 2008 года за счет более интенсивного сокращения среднемесячной номинальной начисленной заработной платы работников крупных и средних предприятий по сравнению с аналогичным показателем в бюджетной сфере.</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lastRenderedPageBreak/>
        <w:t>Сокращение заработной платы в коммерческом секторе связано, в основном, с введением режима неполного рабочего дня, административными отпусками без сохранения оплаты труда и другими мерами, обусловленными сокращением объемов производства продукции, выполнения работ и оказания услуг. В бюджетной сфере объемы муниципальных услуг не сокращались, правомерных оснований для снижения заработной платы не возникало.</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течение 2010-2012 годов ожидается снижение показателя до 65,8%.</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14 «Среднемесячная номинальная начисленная заработная плата работников».</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Среднемесячная номинальная начисленная заработная плата работников крупных и средних предприятий городского округа составила в 2009 году 15786,8 руб. что на 8,4% меньше, чем в 2008 году. Ожидаемое снижение данного показателя в 2010 году по сравнению с 2009 годом – 2,3%.</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Предполагается, что к концу 2010 году численность большинства крупных и средних предприятий городского округа (кроме ОАО «АВТОВАЗ») достигнет оптимальной величины с учетом объемов производства.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Статистические данные о среднемесячной номинальной начисленной заработной плате работников некоммерческих организаций городского округа Тольятти отсутствуют.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Среднемесячная номинальная начисленная заработная плата работников в 2009 году составила: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муниципальных детских дошкольных учреждений – 8386,1 руб. (+2,0% к уровню 2008 года);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учителей муниципальных общеобразовательных учреждений – 11009 руб. (+6,4% к уровню 2008 года);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прочих работающих в муниципальных общеобразовательных учреждениях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 - 13216 руб. (+63,0% к уровню 2008 года).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прогнозном периоде на 2010-2012 годы среднемесячная номинальная начисленная заработная плата работников планируется без повышения в том же объеме, кроме заработной платы прочих работающих (10970 руб.), которая рассчитана исходя из средств муниципального бюджета, без учета внебюджетных поступлений,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Среднемесячная заработная плата в 2009 году из всех источников финансирования, в том числе с учетом выплат, связанных с оказанием дополнительной медицинской помощи врачами-терапевтами участковыми, врачами-педиатрами участковыми, врачами общей практики, медицинскими сестрами участковыми врачей-терапевтов участковых, врачей-педиатров участковых, медицинскими сестрами врачей общей практики (врачам - 10000 руб., среднему медицинскому персоналу - 5000 руб.), выплат врачам, фельдшерам и медицинским сестрам скорой медицинской помощи (врачам 5000 руб., фельдшерам - 3500 руб., медицинским сестрам - 2500 руб.) в рамках реализации приоритетного национального проекта «Здоровье», составила у врачей 19966 руб., у среднего медицинского персонала - 11516 руб.</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Рост заработной платы на 15%, по сравнению с 2008г., произошел за счет введения с 1 января 2009 года новой системы оплаты труда в муниципальных учреждениях здравоохранения городского округа Тольятти на основании постановления мэра городского округа Тольятти № 2713-п/1 от 31.10.2008 г. «Об утверждении Положения об оплате труда работников муниципальных учреждений здравоохранения городского округа Тольятти».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2010-2012 годах рост среднемесячной номинальной начисленной заработной платы работников по отрасли «здравоохранение» не планируется.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lastRenderedPageBreak/>
        <w:t>В 2009 году основными задачами здравоохранения городского округа Тольятти являлись: выполнение Территориальной программы Госгарантий обязательного медицинского страхования, реализация приоритетного национального проекта в сфере здравоохранения, дополнительное лекарственное обеспечение отдельной категории граждан, санитарно – эпидемиологическое благополучие, доступность и качество оказания медицинской помощи.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 состоянию на 1января 2010 года медицинская помощь оказывалась: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- 11 учреждениями, имеющими круглосуточные стационары (6 муниципальных больниц, 4 государственных учреждения здравоохранения – диспансеры и 1 МСЧ ОАО «АВТОВАЗ»);</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- 19 учреждениями, осуществляющими амбулаторно-поликлинический прием (4 муниципальные поликлиники, 5 диспансеров, 3 стоматологические поликлиники, Центр реабилитации детей «Ариадна», 6 медико-санитарных частей).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Количество больных, получивших медицинскую помощь в дневных стационарах при медицинских учреждениях амбулаторно – поликлинического типа, за 2009 год уменьшилось на 0,2% и составило     – 25 528 человек.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В стационарах дневного пребывания при круглосуточных стационарах количество мест составило 195, увеличилось за год на 20 мест за счет открытия мест онкологического профиля в МУЗ Клиническая больница №5.</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Число пролеченных больных в стационарах дневного пребывания при медицинских учреждениях стационарного типа увеличилось на 56,2% и составило 5 592 человека.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В дневных стационарах на дому количество мест увеличилось на 45 мест и составило 105 мест. Число пролеченных больных в стационарах на дому составило 1 776 человек, что в 2,4 раза больше, чем в 2008 году.</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На этапе амбулаторно–поликлинической помощи количество посещений уменьшилось на 3,6% и составило 8 996,4 на 1 000 населения.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Количество посещений по ОМС уменьшилось на 3,6% и составило 6984,8 на 1 000 населения. Задание по обеспечению Госгарантий оказания населению Самарской области бесплатной медицинской помощи за счет средств ОМС выполнено на 101,2%.</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Количество профилактических посещений уменьшилось на 0,7% и составило 2944,5 на 1 000 населения.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Количество платных посещений уменьшилось на 10,1% и составило 1178,9 на 1 000 населения.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Количество вызовов скорой помощи увеличилось на 2,7% и составило за 2009 год 206 482 вызов. Увеличение связано с эпидемией простудных заболеваний, в т.ч. гриппа.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детских санаториях за 2009 год оздоровлено 5 259 ребенка, что на 5,1% меньше, чем в 2008 году.</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17 «Доля амбулаторных учреждений, имеющих медицинское оборудование в соответствии с табелем оснащения».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Доля амбулаторно-профилактических учреждений, имеющих медицинское оборудование в соответствии с табелем оснащения, в 2008, 2009г. составляла 15%. В 2010-2012 годах финансирование на закупку оборудования для муниципальных медицинских учреждений не предусмотрено, в связи с чем увеличится процент износа оборудования и, как следствие, произойдет его списание. Медицинских учреждений, укомплектованных медицинским оборудованием в соответствии с табелем оснащения, в городском округе Тольятти не будет.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lastRenderedPageBreak/>
        <w:t>Показатель № 18 «Доля муниципальных медицинских учреждений: применяющих медико-экономические стандарты оказания медицинской помощи; переведенных на оплату медицинской помощи по результатам деятельности; переведенных на новую систему оплаты труда, ориентированную на результат; переведенных преимущественно на одноканальное финансирование через систему обязательного медицинского страхования».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Все муниципальные медицинские учреждения городского округа Тольятти применяют медико-экономические стандарты оказания медицинской помощи.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Осуществление оплаты за оказание стационарной помощи производится в соответствии с клинико-статистическими группами.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2008 - 2009 г. оплата по результатам деятельности осуществлялась во всех стационарных учреждениях (за пролеченного больного на основе медико-экономических стандартов по КСГ) - 6 учреждений. В 2010 г. - на оплату по результатам деятельности переведены 4 городские поликлиники - подушевое финансирование по обязательному медицинскому страхованию.</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Всего в 2010 г. оплата по результатам деятельности осуществляется в 10 ЛПУ (6 стационарных учреждений и 4 амбулаторных учреждения). С 1 января 2010 года в соответствии с Положением о порядке оплаты медицинских услуг в системе ОМС населения Самарской области учреждения ПМСП переведены на фондодержание, финансирование страховыми медицинскими организациями осуществляется исходя из дифференцированного подушевого норматива в расчете на 1 застрахованного.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 1 января 2009 года все муниципальные учреждения здравоохранения городского округа Тольятти в соответствии с постановлением мэра городского округа Тольятти № 2713-п/1 от 31.10.2008 г. "Об утверждении Положения об оплате труда работников муниципальных учреждений здравоохранения городского округа Тольятти" переведены на новую систему оплаты труда.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19 «Число случаев смерти лиц в возрасте до 65 лет», показатель № 20 «Число случаев смерти детей до 18 лет».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2009 году число случаев смерти лиц в возрасте до 65 лет составило 3150 ед., в том числе: на дому – 1838 ед., в первые сутки в стационаре – 337 ед.</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связи с реализацией с 2009г. нового направления в приоритетном национальном проекте «Здоровье» - «Совершенствование медицинской помощи больным с сосудистыми заболеваниями» - число случаев смерти случаев смерти лиц в возрасте до 65 лет на дому планируется снизить на 21,1% в 2012 году.</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r w:rsidRPr="002C101F">
        <w:rPr>
          <w:rFonts w:ascii="Times New Roman" w:eastAsia="Times New Roman" w:hAnsi="Times New Roman" w:cs="Times New Roman"/>
          <w:b/>
          <w:bCs/>
          <w:color w:val="283959"/>
          <w:sz w:val="23"/>
          <w:lang w:eastAsia="ru-RU"/>
        </w:rPr>
        <w:t>Показатель № 21 «Число работающих в муниципальных учреждениях здравоохранения в расчете на 10000 человек населения (на конец года)».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Количество медработников в муниципальных и государственных учреждениях увеличилось на 7,7% и составило 13 171 человек.</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Количество врачей государственных и муниципальных лечебных учреждений увеличилось на 2,1% и составило 2 324 человек, средних медицинских работников - на 5,2% и составило 5 963 человек.</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22 «Уровень госпитализации в муниципальные учреждения здравоохранения».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xml:space="preserve">Уровень госпитализации рассчитан в соответствии с методикой расчета, на самом деле он значительно выше за счет оказания специализированной помощи на базе муниципальных </w:t>
      </w:r>
      <w:r w:rsidRPr="002C101F">
        <w:rPr>
          <w:rFonts w:ascii="Times New Roman" w:eastAsia="Times New Roman" w:hAnsi="Times New Roman" w:cs="Times New Roman"/>
          <w:color w:val="283959"/>
          <w:sz w:val="23"/>
          <w:szCs w:val="23"/>
          <w:lang w:eastAsia="ru-RU"/>
        </w:rPr>
        <w:lastRenderedPageBreak/>
        <w:t>учреждений городского округа (онкологической, женщинам в перинатальном центре, межрайонных центрах: камбустиологическом, урологическом и др.).</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Уровень госпитализации в дневные стационары увеличился на 0,5% и составил 45,7 на 1 000 населения, вместо 41 за 2008год.</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Уровень госпитализаций за 2009 год составил 215,9 на 1 000 населения (факт за 2008 год - 216,7).</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Уровень госпитализации по обязательному медицинскому страхованию (ОМС) превысил Задание по обеспечению Госгарантий оказания бесплатной медицинской помощи населению Самарской области за счет средств ОМС на 6,6% (план – 180,7 на 1 000 населения, факт – 192,7).</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23 «Средняя продолжительность пребывания пациента на койке в круглосуточном стационаре муниципальных учреждений здравоохранения», № 24 «Среднегодовая занятость койки в муниципальных учреждениях здравоохранения».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Средняя длительность лечения составила за 2009 год – 11,7 дней, (факт за 2008 год – 11,9 дней).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Количество мест в дневных стационарах всех типов увеличилось на 47 и составило – 1 225 (факт за 2008 год – 1 178).</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Число мест в дневных стационарах при поликлиниках уменьшилось на 14 и составило 929.</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Снижение показателя средней продолжительности пребывания пациента на койке в круглосуточном стационаре планируется за счет введения новых медицинских технологий и распространение стационаросберегающих технологий (стационар одного дня). Эти мероприятия позволят привести среднегодовую занятость койки в соответствие с нормативами.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25 «Число коек в муниципальных учреждениях здравоохранения на 10000 человек населения».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 состоянию на 1 января 2010 года в стационарах города функционировало 5 525 коек (факт 01.01.2008 г. – 5 470 коек).</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Обеспеченность больничными койками на 01.01.2010 года составила 76,7 (факт на 01.01.2008 г. – 76,1) на 10 000 жителей.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Число пролеченных больных на койках круглосуточного пребывания– 155 515 чел., что на 0,1% меньше факта 2008 года.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Работа койки уменьшилась на 5 дней и составила 332 дня (факт за 2008 год – 337 дня). Расчетный норматив – 336,8 дня.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 оценке, данной выездной Коллегией Министерства здравоохранения и социального развития Самарской области, 25.02.10г. коечный фонд городского округа сбалансированный и оптимальный для оказания всех видов круглосуточной стационарной помощи жителям города. Увеличения коечного фонда в последующие годы планируется за счет открытия коек сестринского ухода, хосписных коек, так как ежегодно население старше трудоспособного возраста увеличивается на 7%, общая заболеваемость населения ежегодно растет в среднем на 3-5%.</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r w:rsidRPr="002C101F">
        <w:rPr>
          <w:rFonts w:ascii="Times New Roman" w:eastAsia="Times New Roman" w:hAnsi="Times New Roman" w:cs="Times New Roman"/>
          <w:color w:val="283959"/>
          <w:sz w:val="23"/>
          <w:lang w:eastAsia="ru-RU"/>
        </w:rPr>
        <w:t> </w:t>
      </w:r>
      <w:r w:rsidRPr="002C101F">
        <w:rPr>
          <w:rFonts w:ascii="Times New Roman" w:eastAsia="Times New Roman" w:hAnsi="Times New Roman" w:cs="Times New Roman"/>
          <w:b/>
          <w:bCs/>
          <w:color w:val="283959"/>
          <w:sz w:val="23"/>
          <w:lang w:eastAsia="ru-RU"/>
        </w:rPr>
        <w:t>Показатель № 26 «Стоимость содержания одной койки в муниципальных учреждениях здравоохранения в сутки».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Значение стоимости содержания одной койки в муниципальных учреждениях здравоохранения в сутки - это фактический размер средств муниципального бюджета, направленных на содержание ЛПУ, работающих в системе ОМС, приходящихся на 1 койко-</w:t>
      </w:r>
      <w:r w:rsidRPr="002C101F">
        <w:rPr>
          <w:rFonts w:ascii="Times New Roman" w:eastAsia="Times New Roman" w:hAnsi="Times New Roman" w:cs="Times New Roman"/>
          <w:color w:val="283959"/>
          <w:sz w:val="23"/>
          <w:szCs w:val="23"/>
          <w:lang w:eastAsia="ru-RU"/>
        </w:rPr>
        <w:lastRenderedPageBreak/>
        <w:t>день стационарной медицинской помощи в системе ОМС (без расходов, входящих в структуру тарифа по обязательному медицинскому страхованию).</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Снижение расходов муниципального бюджета на содержание 1 койки в муниципальных учреждениях в сутки до 211 руб. в 2012 году против 250 руб. в 2008 году связано с секвестированием расходов бюджета городского округа Тольятти в 2009 году в связи со сложившейся ситуацией в экономике страны и городского округа Тольятти по отрасли «Здравоохранение» на 14,5 % (утвержденный план ассигнований на 2009 г. по отрасли "Здравоохранение" – 1277,9 млн. руб., уточненный план ассигнований на 2009 г. – 1092,0 млн. руб., секвестировано расходов бюджета в сумме – 185,9 млн. руб.).</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27 «Средняя стоимость койко-дня в муниципальных стационарных медицинских учреждениях»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Средняя стоимость койко–дня в муниципальных стационарных медицинских учреждениях – это среднее значение фактических расходов, входящих в структуру тарифа по ОМС, на один койко – день стационарной медицинской помощи в системе ОМС. За счет средств ОМС компенсируются затраты ЛПУ в соответствии с целевыми статьями и видами расходов бюджетов РФ, определяемыми Тарифным соглашением, заключаемым между Министерством здравоохранения и социального развития Самарской области, ассоциацией медицинских страховых компаний Самарской области, Самарской областной ассоциацией врачей и Территориальным фондом ОМС Самарской области (5 статей затрат: оплата труда, начисления на фонд оплаты труда, медикаменты и перевязочные средства, мягкий инвентарь, продукты питания).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План на 2009 год по Тарифному соглашению (городской уровень) на 1 койко-день по ОМС - 720 руб., кассовые расходы - 795 руб. Отклонение фактической стоимости 1 койко-дня от плана в 2009 году связано с видами оказываемых услуг и профилей лечебных отделений (онкологический, инфекционный, гематологический, нефрологический, неврологический (с нарушением мозгового кровообращения), торакально–хирургический профиль и др.), где стоимость госпитализации и койко-дня по прейскуранту ОМС выше, чем средняя по Тарифному соглашению. План на 2010 год - по Тарифному соглашению с 01.01.2010 г. (городской уровень) - 736 руб.</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28 «Объем медицинской помощи, предоставляемой муниципальными учреждениями здравоохранения, в расчете на одного жителя».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объемах стационарной помощи, оказываемой больничными учреждениями города, 12% медицинской помощи оказывается пациентам, не проживающим на территории г.о. Тольятти (участие медицинских учреждений в программах «Профилактика сердечно сосудистых заболеваний», «Дорожно-транспортный травматизм», оказание медицинской помощи по урологии, онкологии, оказание медицинской помощи пациенткам перинатального центра, а так же живущим с ВИЧ-инфекцией).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При перерасчёте объема медицинской помощи предоставляемой муниципальными учреждениями в расчёте на одного жителя муниципального образования данный показатель составил в 2009 году 1,8 койко-день, что не превышает норматива установленного субъектом Российской Федерации по стационарной медицинской помощи.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Фактические объем амбулаторной медицинской помощи за 2009 год по г.о. Тольятти рассчитывается в соответствии с инструкцией по данным формы № 62, которая не имеет разделения по застрахованным жителям г.о Тольятти и застрахованным жителям Самарской области (г. Жигулёвск, г. Сызрань, Ставропольского р-на и т.д.). 1,5% амбулаторной помощи, по специальностям, отсутствующим в поликлинических учреждениях (ревматолог, пульмонолог, гематолог, нейрохирург, офтальмолог и т.д.), оказывается на базе стационаров города населению, проживающему как на территории городского округа Тольятти, так и вне его территории.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lastRenderedPageBreak/>
        <w:t>При перерасчёте объема амбулаторной медицинской помощи на 1 жителя муниципального образования данный показатель составил в 2009 году 7,9 посещения. Рост в 2009 году произошел за счет открытия дополнительных мест в дневных стационарах всех типов в целях развития стационарозамещающих технологий.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Рост показателя объема скорой медицинской помощи в расчете на одного жителя в 2009 году за счет эпидемии гриппа.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29 «Стоимость единицы объема оказанной медицинской помощи муниципальными учреждениями здравоохранения».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Стоимость единицы объема оказанной медицинской помощи муниципальными учреждениями здравоохранения - это значение среднего размера фактического совокупного финансирования ЛПУ из средств всех бюджетов, приходящегося на единицу медицинской помощи соответствующего вида. Рост по стационарной помощи - за счет увеличения стоимости 1 койко-дня по тарифам ОМС в соответствии с Тарифным соглашением с 01.09.2009 г. на 18 % по оплате труда, медикаментам, питанию и мягкому инвентарю. Снижение стоимости 1 пациенто-дня в дневных стационарах всех типов - за счет открытия дневного стационара в Перинатальном центре Городской клинической больнице № 5 и дополнительных мест дневного стационара в городских поликлиниках, где в структуре 1 койко-дня не предусмотрены расходы на питание больных и стоимость госпитализации больного ниже, чем в стационарах дневного пребывания (при стационарах).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32 «Доля детей в возрасте от 3 до 7 лет, получающих дошкольную образовательную услугу и (или) услугу по их содержанию в организациях различной организационно-правовой формы и формы собственности, в общей численности детей от 3 до 7 лет»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Для муниципалитета важнейшей задачей является максимальный охват дошкольным образованием, прежде всего, детей в возрасте от 3 до 7 лет. В городском округе Тольятти дошкольным образованием в 2009 году было охвачено 26 466 (89%) от общего количества детей данного возраста (27508 чел. в 2008 году- 82%).</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Увеличение показателя в 2009 году достигнуто в результате реализации плановых мероприятий муниципалитета по созданию дополнительных мест в условиях уменьшения количества детей данного возраста: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освобождение детских садов от арендаторов;</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переоборудование специализированных кабинетов в МДОУ для обучения детей.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Результатом перечисленных мероприятий стало открытие в 2009 году в детских садах города 7 дополнительных групп, в которые принято 124 ребенка. Финансирование из муниципального бюджета на эти цели составило более 5,5 млн. рублей.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В 2010 году запланировано охватить дошкольным образованием не менее 91% детей от 3 до 7 лет.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Для достижения прогнозируемого результата охвата детей дошкольным образованием в 2010 году запланировано:</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открытие 43 (770 мест) дополнительных групп (в т.ч. 38 групп – в детских садах АНО ДО «Планета детства «Лада») На эти мероприятия предусмотрены средства из муниципального (4500 тыс. руб.) регионального (35000 тыс. руб) бюджетов;</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создание дополнительных мест (85 мест) за счет перевода функционирующих малокомплектных групп компенсирующей направленности в помещения меньшей площади.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lastRenderedPageBreak/>
        <w:t>Показатель № 33 «Удельный вес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2009 году значение данного показателя составило 62,4% (в 2008 году - 79%), но объективного снижения значения данного показателя не произошло. В 2008 году расчёт значения показателей был произведен на основании данных учета количества услуг дополнительного образования, а не количества пользователей. Введение учета численности обучающихся на основании единой электронной базы данных (позволило с 2009 года ввести персонифицированный учёт количества физических лиц, получающих услуги дополнительного образования. Произвести перерасчет показателя за 2008 год не представляется возможным по техническим причинам. Таким образом, значения показателя за 2008 и 2009 год не сопоставимы, их сравнение является некорректным, а сложившаяся отрицательная динамика – необъективной.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Показатель является консолидированным по отрасли «образование» и отрасли «культура» на основе сертификационного учета базы данных модуля «Дополнительное образование» Автоматизированной системы управления региональной системой образования (АСУ РСО).</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плановом периоде предполагается сохранение контингента учащихся муниципальных образовательных учреждений, подведомственных департаменту культуры мэрии, на уровне 2009 года (на 01.01.2009 г. 7075 учащихся - 10,95 % от общего числа детей школьного возраста в возрасте от 6 до 18 лет).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34 «Доля детских дошкольных муниципальных учреждений в общем числе организаций, в том числе субъектов малого предпринимательства, оказывающих услуги по содержанию детей в таком учреждении, услуги по дошкольному образованию и получающих средства бюджета городского округа на оказание таких услуг».</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Значение данного показателя для городского округа Тольятти остается стабильным.</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В связи с необходимостью обеспечения, в соответствии с действующим законодательством, гарантий прав ребенка на бесплатное дошкольное образование в период до 2012 года запланирован рост показателя на 1 %, за счет открытия детских садов после реконструкции зданий (в случае возобновления действия областной программы «Развитие сети дошкольных образовательных учреждений в Самарской области» на 2009-2011годы).</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35 «Доля детей в возрасте от 5 до 7 лет, получающих дошкольные образовательные услуги».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Охват дошкольным образованием детей в возрасте от 5 до 7 лет особенно актуален для обеспечения равных стартовых возможностей детей при поступлении в школу.</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Доля детей в возрасте от 5 до 7 лет, получающих дошкольные образовательные услуги, в 2009 году составляет 89,5%, что значительно превышает показатель 2008 года – 76%</w:t>
      </w:r>
      <w:r w:rsidRPr="002C101F">
        <w:rPr>
          <w:rFonts w:ascii="Times New Roman" w:eastAsia="Times New Roman" w:hAnsi="Times New Roman" w:cs="Times New Roman"/>
          <w:b/>
          <w:bCs/>
          <w:color w:val="283959"/>
          <w:sz w:val="23"/>
          <w:lang w:eastAsia="ru-RU"/>
        </w:rPr>
        <w:t>.</w:t>
      </w:r>
      <w:r w:rsidRPr="002C101F">
        <w:rPr>
          <w:rFonts w:ascii="Times New Roman" w:eastAsia="Times New Roman" w:hAnsi="Times New Roman" w:cs="Times New Roman"/>
          <w:color w:val="283959"/>
          <w:sz w:val="23"/>
          <w:lang w:eastAsia="ru-RU"/>
        </w:rPr>
        <w:t> </w:t>
      </w:r>
      <w:r w:rsidRPr="002C101F">
        <w:rPr>
          <w:rFonts w:ascii="Times New Roman" w:eastAsia="Times New Roman" w:hAnsi="Times New Roman" w:cs="Times New Roman"/>
          <w:color w:val="283959"/>
          <w:sz w:val="23"/>
          <w:szCs w:val="23"/>
          <w:lang w:eastAsia="ru-RU"/>
        </w:rPr>
        <w:t>В 2009 году для максимального удовлетворения потребности населения в предшкольном образовании на базе МДОУ была организована работа: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разновозрастных групп (5-7 лет), зачисление в которые осуществляется по мере необходимости;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групп кратковременного пребывания по предшкольной подготовке.</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условиях незначительного (на 145 детей) увеличения общего количества детей старшего дошкольного возраста прогнозируется увеличение до 95% охвата детей от 5 до 7 лет дошкольным образованием.</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lastRenderedPageBreak/>
        <w:t> В городской системе образования на 31.12.2009 года функционировало 211 муниципальных образовательных учреждений, реализующих программы дошкольного, общего и дополнительного образования из них:</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дошкольных образовательных учреждений – 88;</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общеобразовательных учреждений – 85;</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учреждений дополнительного образования детей – 32;</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учреждений дополнительного профессионального образования (повышения квалификации) специалистов - 2;</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межшкольных учебных комбинатов – 2;</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прочих -2</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Количество детей: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муниципальных общеобразовательных учреждениях - 65075 учащихся;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дошкольных образовательных учреждениях – 31286 ребенок.</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№37 «Удельный вес лиц, сдавших единый государственный экзамен, в числе выпускников общеобразовательных муниципальных учреждений, участвовавших в едином государственном экзамене»</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Резкий рост (с 46,2% до 79,2%) показателя связан, в том числе, с изменениями, внесенными в 2009 г. в Положение о формах и порядке государственной (итоговой) аттестации обучающихся, освоивших общеобразовательные программы среднего (полного) общего образования и Порядок проведения ЕГЭ.</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С 2009 года все выпускники, планирующие поступление в вуз в текущем году, вынуждены сдавать ЕГЭ по всем необходимым им предметам, поэтому доля участников ЕГЭ, вышедших на ЕГЭ по трем и более предметам выросла почти вдвое.</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Средние баллы ЕГЭ тольяттинских школьников стабильно выше среднероссийских показателей, что отражает конкурентоспособность системы образования г. о. Тольятти. Необходимо отметить положительную динамику по:</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успеваемости (только за последние три года успеваемость по русскому языку выросла с 92,1% до 98,5%, по математике – с 74,9% до 97,3%);</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доли выпускников, успешно сдающих ЕГЭ по всем заявленнымими предметам (за три года с 78,6% до 93,7%).</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r w:rsidRPr="002C101F">
        <w:rPr>
          <w:rFonts w:ascii="Times New Roman" w:eastAsia="Times New Roman" w:hAnsi="Times New Roman" w:cs="Times New Roman"/>
          <w:b/>
          <w:bCs/>
          <w:color w:val="283959"/>
          <w:sz w:val="23"/>
          <w:lang w:eastAsia="ru-RU"/>
        </w:rPr>
        <w:t>Показатель № 38 «Доля муниципальных общеобразовательных учреждений, переведенных: на нормативное подушевое финансирование; на новую систему оплаты труда, ориентированную на результат».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Финансирование учреждений отрасли «Образование» г.о. Тольятти осуществляется в соответствии с нормативами бюджетного финансирования образовательных учреждений, которое введено на территории г.о. Тольятти   с 2002 года.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Необходимо отметить, что с 2009 года в учреждениях и дополнительного образования введена новая система оплаты труда, ориентированная на конечный результат (по школам такая система введена с 2006 года, по дошкольным учреждениям с 2008 года). Рост средней заработной платы по учреждениям дополнительного образования детей в 2009 году составил 18% по отношению к 2008 году.</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 xml:space="preserve">Показатель № 39 «Доля муниципальных общеобразовательных упреждений с числом учащихся на 3-й ступени обучения (10-11 классы) менее 150 человек в городской </w:t>
      </w:r>
      <w:r w:rsidRPr="002C101F">
        <w:rPr>
          <w:rFonts w:ascii="Times New Roman" w:eastAsia="Times New Roman" w:hAnsi="Times New Roman" w:cs="Times New Roman"/>
          <w:b/>
          <w:bCs/>
          <w:color w:val="283959"/>
          <w:sz w:val="23"/>
          <w:lang w:eastAsia="ru-RU"/>
        </w:rPr>
        <w:lastRenderedPageBreak/>
        <w:t>местности и менее 84 человек в сельской местности в общем числе муниципальных общеобразовательных учреждений».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Значение данного показателя в 2009 году составило 96,3% ,что выше показателя 2008 года (89,1%) на 7,2%.</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прогнозном периоде до 2012 года реализация муниципального плана оптимизации сети должна обеспечить уменьшение данного показателя в 2010 году – до 90%, 2011 году – до 88% и в 2012 году – до 86%.</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42 «Удельный вес населения, систематически занимающегося физической культурой и спортом»</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Государственная политика в области физической культуры и спорта в последнее время имеют тенденцию к развитию и направлена на более полное обеспечение реализации прав граждан на укрепление здоровья средствами физической культуры и спорта. Основной объем работы по ее реализации отводится муниципальному сектору.</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Доля жителей городского округа Тольятти, регулярно занимающихся физической культурой и спортом в 2009 году, составила 14,1%, что на 0,6 процентных пункта больше, чем в 2008 году.</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Обеспеченность плоскостными сооружениями составляет 38,6% от норматива, спортивными залами - 33,8%, бассейнами - 6,7%. Состояние имеющихся спортивных объектов, особенно плоскостных сооружений, в основном не отвечает современным требованиям и требованиям техники безопасности.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2009 году в городском округе Тольятти завершена процедура передачи спортивных объектов ОАО «АВТОВАЗ» в собственность муниципалитета. Данное решение позволит в дальнейшем исключить возможность перепрофилирования спортивных объектов, произвести необходимый ремонт и более эффективно использовать спортивные сооружения по назначению. Вместе с тем, для создания жителям городского округа благоприятных условий для регулярных занятий физической культурой и спортом необходимо строительство новых спортивных сооружений, в том числе непосредственно в густонаселенных жилых кварталах.</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Развитие физической культуры и спорта в городском округе на 2010-2012 годы прогнозируется с учетом концепции федеральной целевой программы «Развитие физической культуры и спорта в Российской Федерации на 2006-2015 годы».</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Одним из главенствующих направлений является сохранение и развитие сети спортивных сооружений, государственных и муниципальных учреждений дополнительного образования, физкультурно-спортивных объединений, клубов, а также обеспечение необходимого уровня сервиса услуг на физкультурно-спортивных сооружениях и доступности их посещения населением, поддержка общественных инициатив в сфере укрепления спортивной материальной базы.</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настоящее время на согласовании находится ведомственная целевая программа «Развитие физической культуры и спорта в городском округе Тольятти на 2010 год и плановый период 2011-2012 годов», в рамках которой предполагается процесс оптимизации спортивных школ (сокращение) с сохранением показателя количества учащихся в детско-юношеских спортивных школах.</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Кроме того, проектом Программы комплексного социально-экономического развития городского округа Тольятти на 2010-2020 годы предусмотрено строительство 28 универсальных спортивных площадок – экономичных в строительстве и эксплуатации открытых плоскостных сооружений с современным покрытием, крышей-навесом, хозблоком. На это программное мероприятие предусмотрено финансирование в сумме 673,2 млн.руб., в том числе на период 2010-2013 годы – 21,4 млн. руб. (3,2% от общей суммы финансирования).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lastRenderedPageBreak/>
        <w:t>В проект программы на долгосрочную перспективу также вошли: строительство лыжероллерной трассы в лесной зоне Центрального района, футбольного поля с искусственным травяным покрытием за СК «Кристалл», 9 ед. физкультурно-спортивных комплексов, ледового дворца спорта «Лада-Арена», реконструкция стадионов «Труд» и «Дружба» с укладкой искусственного травяного покрытия.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 Показатель № 43 «Доля многоквартирных домов, в которых собственники помещений выбрали и реализуют один из способов управления многоквартирными домами»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Плановые значения показателей на 2010-2012 года не имеют значительного изменения, в связи с тем, что основная работа по выбору способа управления проведена в 2008-2009 годах и собственниками заключены договора управления на срок 3-5 лет.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r w:rsidRPr="002C101F">
        <w:rPr>
          <w:rFonts w:ascii="Times New Roman" w:eastAsia="Times New Roman" w:hAnsi="Times New Roman" w:cs="Times New Roman"/>
          <w:b/>
          <w:bCs/>
          <w:color w:val="283959"/>
          <w:sz w:val="23"/>
          <w:lang w:eastAsia="ru-RU"/>
        </w:rPr>
        <w:t>Показатель № 44.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Рост данного показателя в 2010-1012 гг. на 21,2 п.п. по сравнению с 2009 годом обусловлен переходом муниципальных предприятий, оказывающих услуги в сфере ЖКХ, в частную форму собственности.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r w:rsidRPr="002C101F">
        <w:rPr>
          <w:rFonts w:ascii="Times New Roman" w:eastAsia="Times New Roman" w:hAnsi="Times New Roman" w:cs="Times New Roman"/>
          <w:b/>
          <w:bCs/>
          <w:color w:val="283959"/>
          <w:sz w:val="23"/>
          <w:lang w:eastAsia="ru-RU"/>
        </w:rPr>
        <w:t>Показатель № 45. «Доля организаций, осуществляющих управление многоквартирными домами и (или) оказание услуг по содержанию и ремонту общего имущества в многоквартирных домах,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осуществляющих данные виды деятельности на территории городского округа (муниципального района), кроме товариществ собственников жилья, жилищных, жилищно-строительных кооперативов и иных специализированных потребительских кооперативов»</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Доля управляющих организаций будет увеличиваться в связи с ликвидацией управляющих компаний, имеющих муниципальную долю в уставном капитале более 25%.</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r w:rsidRPr="002C101F">
        <w:rPr>
          <w:rFonts w:ascii="Times New Roman" w:eastAsia="Times New Roman" w:hAnsi="Times New Roman" w:cs="Times New Roman"/>
          <w:b/>
          <w:bCs/>
          <w:color w:val="283959"/>
          <w:sz w:val="23"/>
          <w:lang w:eastAsia="ru-RU"/>
        </w:rPr>
        <w:t>Показатель № 46. Доля объема отпуска коммунальных ресурсов, счета за которые выставлены по показаниям приборов учета.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Учитывая требования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планируется внести корректировки в муниципальную программу по срокам установки общедомовых приборов учета.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Комплексной программе социально-экономического развития городского округа Тольятти на 2010-2020 г.г., с целью опережающего финансирования работ по установке общедомовых приборов учета с использованием федерального бюджета, запланированы мероприятия по установке общедомовых приборов учета в многоквартирных домах городского округа Тольятти в 2 этапа: в 2010 и 2011-2012 годах на общую сумму финансирования 852,0 млн.руб.</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47 «Уровень собираемости платежей за предоставленные жилищно-коммунальные услуги»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xml:space="preserve">Уровень собираемости платежей за предоставленные жилищно-коммунальные услуги в 2010-2012 годах планируется на уровне 2009 года. Департаментом городского хозяйства совместно </w:t>
      </w:r>
      <w:r w:rsidRPr="002C101F">
        <w:rPr>
          <w:rFonts w:ascii="Times New Roman" w:eastAsia="Times New Roman" w:hAnsi="Times New Roman" w:cs="Times New Roman"/>
          <w:color w:val="283959"/>
          <w:sz w:val="23"/>
          <w:szCs w:val="23"/>
          <w:lang w:eastAsia="ru-RU"/>
        </w:rPr>
        <w:lastRenderedPageBreak/>
        <w:t>с управляющими компаниями, осуществляющими обслуживание жилого фонда, разработан и действует план мероприятий по погашению задолженности населения. В связи со снижением доходов населения городского округа Тольятти в условиях экономического кризиса и в целях обеспечения доступности жилищно-коммунальных услуг мэрией городского округа на 2010 год плата граждан за содержание жилищного фонда утверждена на уровне 2009 года.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48. Процент подписанных паспортов готовности жилищного фонда и котельных (по состоянию на 15 ноября отчетного года)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Паспорта готовности жилищного фонда и котельных готовятся в полном объёме и на все объекты в обязательном порядке при подготовке к отопительному сезону.</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50 «Общая площадь жилых помещений, приходящаяся в среднем на одного жителя».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Общая площадь жилых помещений, приходящаяся в среднем на одного жителя, - всего, в том числе введенная в действие за год»:</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Средняя обеспеченность жильем на конец 2009 года по статистическим данным составила 20,3 кв.м., в то время как в соответствии с действующим Генеральным планом расчетная обеспеченность жильем в указанном периоде должна составить 19,8 кв.м. на одного жителя.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Планируемый ввод жилья в 2010-2012 годах в общем объеме 306 тыс.кв.м. общей площади позволит увеличить значение данного показателя на конец 2012 года до 20,7 кв.м. на одного жителя.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54: «Год утверждения или внесения последних изменений: в Генеральный план городского округа, в Правила землепользования и застройки городского округа»: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2008год.</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2008 году утверждена "Схема функциональных зон городского округа Тольятти" в рамках внесения изменений в проект корректировки Генерального плана г. Тольятти до 2015 года.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Утверждены новые Правила землепользования и застройки городского округа Тольятти.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2009 год</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Подготовлено задание на разработку градостроительной документации (проект изменений в Генеральный план городского округа Тольятти на расчетный срок до 2025 года) и пакет документов для размещения муниципального заказа на торги.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Выполнены мероприятия по подготовке изменений в Правила землепользования и застройки в соответствии со ст. 33 Градостроительного кодекса РФ — 6 решений Думы городского округа Тольятти. Внесены соответствующие изменения в Правила землепользования и застройки городского округа Тольятти.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2010 год</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2010 году проведен открытый конкурс на право заключения муниципального контракта на разработку проекта изменений в Генеральный план городского округа Тольятти на расчетный срок до 2025 года. Муниципальный контракт на выполнение внесений изменений в Генеральный план заключен с ГУП «ТерНИИгражданпроект» г. Самара.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настоящее время в соответствии с заданием на разработку градостроительной документации (проект изменений в Генеральный план на расчетный срок до 2025 года) ведется сбор исходных данных для разработки проекта.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2011 год</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lastRenderedPageBreak/>
        <w:t>В целях обеспечения реализации проектных решений и достижения утвержденных показателей Генерального плана городского округа Тольятти до 2025 года в 2011 году планируется разработать «План реализации Генерального плана городского округа Тольятти».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56 «Доля муниципальных автономных учреждений от общего числа муниципальных учреждений (бюджетных и автономных) в городском округе (муниципальном районе)».</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2008-2009 г.г. в городском округе начат процесс создания автономных учреждений, а так же процесс перевода учреждений из статуса бюджетных в автономные.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57. Доля собственных доходов местного бюджета (за исключением безвозмездных поступлений, поступлений налоговых доходов по дополнительным нормативам отчислений и доходов от платных услуг, оказываемых муниципальными бюджетными учреждениями) в общем объеме доходов бюджета муниципального образования.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Снижение доли собственных доходов бюджета городского округа в общем объеме доходов в 2009 году по сравнению с 2008 годом на 6,1 п.п. связано со снижением объема налоговых доходов в связи с кризисной ситуацией в экономике.</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Доля собственных доходов бюджета городского округа в общем объеме доходов в 2010 году по сравнению с 2009 годом незначительно увеличилась в связи со снижением планируемой суммы безвозмездных поступлений в 2010 году.</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рамках взаимодействия с исполнительными органами государственной власти РФ и Самарской области в целях улучшения налогового администрирования и увеличения поступления доходов в бюджет городского округа, постановлением мэра городского округа от 14.11.2008г.№ 2820-П/1 утверждена и реализуется Программа совместных действий мэрии городского округа Тольятти, правоохранительных, контролирующих и иных органов и организаций по усилению налоговой дисциплины на территории городского округа, обеспечению поступлений налоговых и других обязательных платежей в бюджет городского округа Тольятти и развитию налоговой базы в городском округе на 2008-2010г.г.</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Доходная часть бюджета городского округа на 2011-2012 годы утверждена без учета безвозмездных поступлений. После утверждения областного бюджета на указанный период средства вышестоящих бюджетов будут уточнены, и, соответственно, значение показателей изменится.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Культура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сфере культуры и искусства городского округа Тольятти функционируют 16 муниципальных образовательных учреждений дополнительного образования детей, с общим контингентом обучающихся - 7075 человек. Педагогический состав учебных заведений обладает высоким профессионализмом и успешным опытом в формировании творческой элиты города, в учреждениях культуры трудится свыше 800 человек.</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целях сохранения традиций и развития художественного образования, выявления и поддержки талантливой молодежи было проведено около 20 конкурсных, выставочных, фестивальных мероприятий городского и областного статусов для учащихся и преподавателей образовательных учреждений культуры. Участниками этих мероприятий в 2009 году стали более 6000 человек.</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xml:space="preserve">Одаренные дети Тольятти ежегодно активно участвуют в мероприятиях всероссийского и международного уровней. На Восьмых Дельфийских играх России «Молодость России» делегация Самарской губернии заняла почетное первое место, одержав заслуженную победу в 21 номинации. Среди участников: 13 учащихся и студентов тольяттинских образовательных </w:t>
      </w:r>
      <w:r w:rsidRPr="002C101F">
        <w:rPr>
          <w:rFonts w:ascii="Times New Roman" w:eastAsia="Times New Roman" w:hAnsi="Times New Roman" w:cs="Times New Roman"/>
          <w:color w:val="283959"/>
          <w:sz w:val="23"/>
          <w:szCs w:val="23"/>
          <w:lang w:eastAsia="ru-RU"/>
        </w:rPr>
        <w:lastRenderedPageBreak/>
        <w:t>учреждений культуры и искусства, которые получили семь наград, из них медалей золотых - 2, серебряных - 2, бронзовых - 1,</w:t>
      </w:r>
      <w:r w:rsidRPr="002C101F">
        <w:rPr>
          <w:rFonts w:ascii="Times New Roman" w:eastAsia="Times New Roman" w:hAnsi="Times New Roman" w:cs="Times New Roman"/>
          <w:color w:val="283959"/>
          <w:sz w:val="23"/>
          <w:lang w:eastAsia="ru-RU"/>
        </w:rPr>
        <w:t> </w:t>
      </w:r>
      <w:r w:rsidRPr="002C101F">
        <w:rPr>
          <w:rFonts w:ascii="Times New Roman" w:eastAsia="Times New Roman" w:hAnsi="Times New Roman" w:cs="Times New Roman"/>
          <w:color w:val="283959"/>
          <w:sz w:val="23"/>
          <w:szCs w:val="23"/>
          <w:lang w:eastAsia="ru-RU"/>
        </w:rPr>
        <w:br/>
        <w:t>дипломов - 2.</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Именной премией Губернатора Самарской области в номинации «Художественное творчество» были отмечены одаренные тольяттинские дети: П. Сандимирова (учащаяся Детской Хореографической школы им. М.М. Плисецкой), Е. Финтисова (скрипка, Лицей искусств), Д. Васильев (фортепиано, ДМШ № 4). Густешова Ирина (ДМШ №4) стала обладателем премии «Молодое дарование» Министерства культуры Самарской области. Финтисова Елена (ДШИ «Лицей искусств») получила статус стипендиата мэра городского округа Тольятти.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Трем коллективам муниципальных образовательных учреждений дополнительного образования детей присвоены звания: «Образцовый самодеятельный коллектив» вокальной студии «Мелодия», «Народная самодеятельная студия» народной студии «Радуга» (МОУДОД Детского Дома культуры), «Образцовый самодеятельный коллектив» хору мальчиков «Ладья» (МОУ ДОД Детской музыкальной школы №4). Победитель всероссийских и международных конкурсов «Хор мальчиков и юношей «Ладья» МОУ Детской музыкальной школы № 4 принял участие в Шестом Всероссийском национальном фестивале–конкурсе «Великая Россия» (г. Дагомыс), получил Гран-при в номинации «Хоровое пение» и диплом Министерства культуры РФ, а также в Международном фестивале молодежных симфонических оркестров и хоров «Еврооркестрия–2009» (Франция), где был отмечен дипломом участника фестиваля и получил приглашение к участию в фестивальной программе в следующем году.</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Всего за прошедший учебный год учащимися муниципальных образовательных учреждений было получено более 1500 наград различного уровней.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городском округе Тольятти действуют 3 муниципальные библиотечные системы (МУК «Тольяттинская библиотечная корпорация», МУК «Объединение детских библиотек», МУК «Библиотека Автограда»), включающие 64 структурных подразделения. Высокий уровень информационно- библиотечного обслуживания жителей Тольятти и широкая социокультурная деятельность тольяттинских библиотек ежегодно отмечается на уровне Министерства культуры Самарской области.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Совокупный объем фондов по трём системам насчитывает 1924549 экземпляров, всего читателей 196500 человек.</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Важными направлениями деятельности в области культуры остается улучшению условий для повышения многообразия и качества предоставляемых услуг, повышение эффективности деятельности учреждений культуры и искусства, а также организация новых форм досуга населения через развитие фестивального движения и проведение массовых праздничных мероприятий на территории городского округа Тольятти.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городском округе Тольятти действуют: 3 муниципальных профессиональных театра (МУК «Драматический театр «Колесо» им. Г.Б. Дроздова, Молодежный драматический театр и театр кукол «Пилигрим»), МУИ и К «Тольяттинская филармония», МУК Досуговый центр «Русич».</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Муниципальными театрами в 2009 году было представлено 848 спектаклей, активно обновлялся репертуар (было поставлено 18 новых спектаклей ). Театральными зрителями стали в 2009 году 109,3 тысяч человек (15,2 % от числа жителей). Состоялся фестиваль «Неделя «Театр – детям и юношеству», в котором приняли участие 18 профессиональных и любительских коллективов города, показано 73 спектакля для 21 тысячи человек.</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xml:space="preserve">В Тольяттинской филармонии в 2009 году проведено 370 мероприятий (традиционный фестиваль «Тольяттинская Музыкальная осень», абонементные программы «Классика-детям», </w:t>
      </w:r>
      <w:r w:rsidRPr="002C101F">
        <w:rPr>
          <w:rFonts w:ascii="Times New Roman" w:eastAsia="Times New Roman" w:hAnsi="Times New Roman" w:cs="Times New Roman"/>
          <w:color w:val="283959"/>
          <w:sz w:val="23"/>
          <w:szCs w:val="23"/>
          <w:lang w:eastAsia="ru-RU"/>
        </w:rPr>
        <w:lastRenderedPageBreak/>
        <w:t>«Расскажи мне, музыка», «Джаз на все времена»; международный фестиваль «Джазовая провинция» и др.).</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Создано муниципальное автономное учреждение «Дворец культуры, искусства и творчества» на базе объекта, переданного ОАО «АВТОВАЗ», где будут сохраняться культурно-досуговая деятельность, развиваться творческие коллективы и проводиться концертно-просветительские мероприятия для широкого круга жителей.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Некоммерческими организациями в партнерстве с муниципалитетом реализованы яркие имиджевые проекты: фестиваль камерной музыки «Ирина Кандинская и «Персона» приглашают…» (КЦ «Персона»), международный музыкальный фестиваль «Классика над Волгой» (АНО «Молодежный симфонический оркестр Поволжья») и др.</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Оказывается содействие общественным организациям в проведении совместных мероприятий, поддерживается практика межотраслевого взаимодействия по проведению массовых городских и государственных праздников, таких как День молодежи, День памяти и скорби, День Матери, Международный День инвалида и др.</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2009 году в городском округе состоялось свыше 200 культурно-массовых мероприятий различного статуса, в том числе проведено 11 крупных общегородских праздничных мероприятий, с общим охватом населения 391613 человек.</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Учитывая сложившиеся социально-экономические положение в условиях финансового кризиса, была активизирована работа по расширению числа благотворительных мероприятий для малообеспеченных категорий населения городского округа.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целях сохранения традиций местного народного художественного творчества и развития потенциала мастеров декоративно-прикладного творчества, в 2009 году были проведены фестивали, конкурсные художественные выставки, в которых приняло участие более трех тысяч самодеятельных мастеров.</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На территории городского округа Тольятти находится 120 объектов культурного наследия (архитектурные памятники, ансамбли, мемориалы, скульптурные памятники и указатели улиц), в том числе регионального значения -25.</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2009 году начата работа по реализации межотраслевого плана мероприятий по предупреждению актов вандализма в отношении объектов культурного наследия (памятников истории и культуры) на 2009-2011 год. Оформлено 9 охранных обязательств на находящиеся в муниципальной собственности объекты культурного наследия (недвижимые памятники истории и культуры). С Правительством Самарской области достигнута договоренность о выделении в 2010 году субсидии из областного бюджета на благоустройство (проведение ремонтно-восстановительных работ) мемориальных сооружений и объектов, увековечивающих память погибших при защите Отечества.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целях оптимизации деятельности парков городского округа Тольятти и консолидации ресурсов, в 2009 году было учреждено муниципальное автономное учреждение «Парки города». Создаются условия для массового отдыха жителей в парках культуры и отдыха, проведено 20 массовых мероприятий, в которых приняло участие более 15 тысяч человек.</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Организация досуга жителей по месту жительства основывается на взаимодействии с администрациями районов, территориальными органами самоуправления (ТОС), департаментами и комитетами мэрии городского округа Тольятти и имеющейся сетью институтов социокультурной сферы, любительскими объединениями и творческими коллективами. За 2009 год проведено 96 мероприятий, в которых приняло участие около 35 тысяч жителей.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xml:space="preserve">В городском округе Тольятти активно осуществляется концертно-выставочная деятельность с участием одаренных учащихся муниципальных образовательных учреждений. Число </w:t>
      </w:r>
      <w:r w:rsidRPr="002C101F">
        <w:rPr>
          <w:rFonts w:ascii="Times New Roman" w:eastAsia="Times New Roman" w:hAnsi="Times New Roman" w:cs="Times New Roman"/>
          <w:color w:val="283959"/>
          <w:sz w:val="23"/>
          <w:szCs w:val="23"/>
          <w:lang w:eastAsia="ru-RU"/>
        </w:rPr>
        <w:lastRenderedPageBreak/>
        <w:t>читателей – детей в муниципальных библиотеках составило в 2009 году около 55 тысяч человек. Концертами Тольяттинской Филармонии и спектаклями Молодежного драматического театра, театра кукол «Пилигрим» была охвачена детская аудитория свыше</w:t>
      </w:r>
      <w:r w:rsidRPr="002C101F">
        <w:rPr>
          <w:rFonts w:ascii="Times New Roman" w:eastAsia="Times New Roman" w:hAnsi="Times New Roman" w:cs="Times New Roman"/>
          <w:color w:val="283959"/>
          <w:sz w:val="23"/>
          <w:lang w:eastAsia="ru-RU"/>
        </w:rPr>
        <w:t> </w:t>
      </w:r>
      <w:r w:rsidRPr="002C101F">
        <w:rPr>
          <w:rFonts w:ascii="Times New Roman" w:eastAsia="Times New Roman" w:hAnsi="Times New Roman" w:cs="Times New Roman"/>
          <w:color w:val="283959"/>
          <w:sz w:val="23"/>
          <w:szCs w:val="23"/>
          <w:lang w:eastAsia="ru-RU"/>
        </w:rPr>
        <w:br/>
        <w:t>50 тысяч зрителей.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городе проживает и обучается свыше 100 тысяч человек в возрасте от 14 до 30 лет, среди которых талантливые музыканты, художники, дизайнеры, создающий позитивный имидж не только городу Тольятти, но и Самарской губернии. В Год Молодежи в Российской Федерации, при поддержке мэрии городского округа Тольятти были реализованы крупные имиджевые проекты с участием перспективных молодых музыкантов и творческих коллективов (Молодежный симфонический оркестр Поволжья, хор мальчиков и юношей «Ладья», фольклорный ансамбль «Таусень» и др.).</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рамках традиционного фестиваля народного творчества в 2009 году состоялся фестиваль «Тольятти-город молодежных ритмов», в котором приняли участие 58 молодежных творческих коллективов разных жанров и направлений.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 целью развития современных форм культурно - досуговой деятельности и любительского творчества, в 2009 году были созданы новые клубные формирования молодежи на базе досугового центра «Русич» (агитбригада «Тинейджер», киноклуб «Потемкин», ВИА «Русичи», рок-клуб «Стикс»). Данным учреждением систематически проводится цикл мероприятий, способствующих профилактике наркомании в молодежной среде. Формы проведения таких мероприятий разнообразны: шоу-программы, молодежные акции на открытых площадках города («Нет наркотикам», «Молодежь – за добрые дела», «Молодежь за добро», «Молодежь за здоровый образ жизни» (профилактика СПИДа). Всего в 2009 году проведено 240 мероприятий с охватом более 115 тысяч человек.</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 учетом интересов молодого зрителя формируется репертуар Молодежного драматического театра, в 2009 году зрителями театра стали 22 тысячи человек. Наряду с новыми спектаклями сохраняет актуальность спектакль – акция против наркомании «Разбивая стекло».</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городском округе Тольятти действуют 4 муниципальных музея (художественный музей, краеведческий музей, ГМК «Наследие», Тольяттинский музей истории градостроительства), которыми в 2009 году проведено 1309 мероприятий различной направленности (лекции, экскурсии, конкурсы, викторины, выставки). Число посетителей составило свыше 250 тысяч человек (35 % от общего числа жителей).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2009 году МОУ ВПО «Тольяттинский институт искусств» исполнилось 10 лет со дня создания, уровень качества предоставлемых услуг подтвержден свидетельством о государственной аккредитации. Осуществляются образовательные программы по исполнительскому и вокальному искусству, социокультурной деятельности и народному художественному творчеству (число учащихся колледжа составило 100 человек студентов высшего звена – 92 человека). В настоящее время это уникальное многоуровневое учреждение, получившее признание в Самарской губернии. На базе института успешно действует Научный Методический центр, обеспечивающий организационно-информационное сопровождение деятельности школ искусств, музыкальных и художественных школ и других учреждений дополнительного образования детей.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Тольятти - город многонациональный, в котором пристальное внимание уделяется проведению мероприятий, направленным на сохранение национального разнообразия, поддержку традиций и межкультурного сотрудничества.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Органы власти активно взаимодействуют с 23 национально-культурными центрами и автономиями.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lastRenderedPageBreak/>
        <w:t>Показатель № 60. «Доля основных фондов организаций муниципальной формы собственности, находящихся в стадии банкротства, в общей стоимости основных фондов организаций муниципальной формы собственности (на конец года)».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2009 году по заявлению ФНС России в лице Межрайонной инспекции ФНС России № 2 по Самарской области в отношении Муниципального предприятия городского округа Тольятти «Тольяттинское пассажирское автотранспортное предприятие № 1» возбуждено производство по делу о несостоятельности (банкротстве).</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Определением арбитражного суда Самарской области от 03.11.2009 г. в отношении данного предприятия введена процедура наблюдения.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Остаточная стоимость основных средств на 01.10.2009 г. составляет 37 138 тыс. руб.</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2010 году продолжается процедура банкротства по МП городского округа Тольятти «ТП АТП-1».</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соответствии с данными территориального органа Федеральной службы государственной статистики по Самарской области полная учетная стоимость основных фондов всех организаций муниципальной формы собственности составляет 21 712 907 тыс.руб.</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r w:rsidRPr="002C101F">
        <w:rPr>
          <w:rFonts w:ascii="Times New Roman" w:eastAsia="Times New Roman" w:hAnsi="Times New Roman" w:cs="Times New Roman"/>
          <w:b/>
          <w:bCs/>
          <w:color w:val="283959"/>
          <w:sz w:val="23"/>
          <w:lang w:eastAsia="ru-RU"/>
        </w:rPr>
        <w:t>Показатель № 61. «Доля кредиторской задолженности по оплате труда (включая начисления на оплату труда) муниципальных бюджетных учреждений».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По состоянию на 01.01.2010 года кредиторской задолженности по оплате труда (включая начисления на оплату труда) у муниципальных бюджетных учреждений городского округа Тольятти не имеется. В плановом периоде даже в случае низкого поступления доходной части бюджета в первую очередь будут производиться выплаты по оплате труда с начислениями. Таким образом, мы постараемся исключить возможность возникновения задолженности по этим расходам.</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62 «Доля объектов капитального строительства, по которым не соблюдены нормативные или плановые сроки ввода в эксплуатацию, в общем количестве объектов капитального строительства»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2009 году доля объектов капитального строительства, по которым не соблюдены нормативные или плановые сроки ввода в эксплуатацию, в общем числе объектов капитального строительства, по застройщикам всех форм собственности возросла с 63% до 76%, с одной стороны, за счет снижения общего числа строящихся объектов, и с другой – в связи с отсутствием достаточных инвестиций для завершения строительства объектов. И данная ситуация распространится на последующие годы, поскольку причина у перечисленных факторов влияния на динамику показателя одна – кризисное состояние экономики, в том числе в строительной сфере.</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части объектов капитального строительства муниципальной формы собственности в 2009 году значение показателя улучшилось против 2008 года на 13,2 процентных пункта за счет ввода в эксплуатацию двух объектов и составило 71,4%. В 2009 году из 7-ми строившихся объектов не введены в эксплуатацию 5 объектов по причине резкого снижения объемов финансирования из бюджета городского округа Тольятти более, чем на 63% к первоначальному объему и полного отсутствия средств из бюджетов вышестоящих уровней.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2010 году ситуация с финансированием объектов еще более усугубилась (63% к уровню 2009 года практически при отсутствии финансирования из областного бюджета). По этой причине значение данного показателя ожидается на уровне 75 %.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63 «Утверждение бюджета на 3 года».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lastRenderedPageBreak/>
        <w:t>В соответствии со ст. 56 Устава городского округа, а так же ст. 7 Положения о бюджетном процессе в городском округе проект бюджета составляется и утверждается сроком на три года (очередной финансовый год и плановый период).</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Изменения, регламентирующие утверждение бюджета городского округа сроком на три года, были внесены в указанные правовые акты в 2007 году.</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64 «Среднегодовая численность постоянного населения».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Среднегодовая численность по итогам 2009г. составила 721 тыс. чел., что на 0,2% выше уровня 2008г.</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Прогнозируется, что среднегодовая численность населения округа будет относительно стабильной с небольшими колебаниями в сторону увеличения до 2011 года, затем число жителей округа будет постепенно сокращаться. В 2012 году данный показатель составит 721,3 тыс. чел., что практически на уровне 2009 года.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65 «Общий объем расходов бюджета муниципального образования»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При представлении информации о расходах бюджета муниципального образования за 2008-2009г.г. использовались данные о кассовых расходах из отчетов об исполнении бюджета муниципального образования за соответствующий год, за 2010-2012г.г. - плановые показатели бюджета городского округа Тольятти.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условиях сложившейся в 2009 году кризисной ситуации расходная часть бюджета городского округа исполнялась исходя из следующих принципов:</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1) поквартальное открытие лимитов бюджетных обязательств осуществлялось с учетом анализа поступлений доходной части бюджета;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2) применялся механизм исполнения бюджета с учетом приоритетности групп расходов;</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3) ограничивалось перераспределение бюджетных ассигнований между расходами бюджетной классификации;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4) экономия от размещения муниципального заказа направлялась на сокращение расходов бюджета с последующим контролем;</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5) кассовый план по расходам на текущий месяц изменялся в пределах доведенного кассового плана, исходя из приоритетности расходов;</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6) проведена оптимизация сети муниципальных учреждений;</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7) проведены ресурсосберегающие мероприятия в подведомственных организациях с целью повышения эффективности использования средств (установка счетчиков);</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8) проводился контроль по недопущению образования просроченной кредиторской задолженности.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Для реализации данных мер были разработаны и приняты следующие нормативно-правовые акты:</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1.            Постановление мэрии городского округа Тольятти от 10.03.09 г. № 482-п/1 «О внесении изменений в постановление мэра городского округа Тольятти от 01.02.08 г. № 320-1/п «Об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средств бюджета городского округа Тольятти.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2.            Постановления мэрии городского округа Тольятти от 03.04.09 № 732-п/1, от 29.05.09 № 1241-п/1, от 27.07.09 № 1676-п/1 «О мерах по исполнению бюджета городского округа Тольятти в 2009 году».</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lastRenderedPageBreak/>
        <w:t>3.            Постановление мэрии городского округа Тольятти от 21.09.09 № 2110-п/1 «Об утверждении плана антикризисных мер в городском округе Тольятти на 2009 год».</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4.            Решение Думы городского округа Тольятти от 11.11.09 № 161 «О внесении изменений в Положение о муниципальном заказе городского округа Тольятти, утверждённое решением Думы городского округа Тольятти от 13.05.09 № 59».</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66 «Наличие площадок».</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Показатели эффективности благоустройства территорий за 2009 год остались на уровне 2008 года в связи с секвестированием бюджета. Планируется повышение показателей эффективности за счёт выполнения мероприятий благоустройства внутриквартальных территорий в 2010-2012 гг.</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r w:rsidRPr="002C101F">
        <w:rPr>
          <w:rFonts w:ascii="Times New Roman" w:eastAsia="Times New Roman" w:hAnsi="Times New Roman" w:cs="Times New Roman"/>
          <w:b/>
          <w:bCs/>
          <w:color w:val="283959"/>
          <w:sz w:val="23"/>
          <w:lang w:eastAsia="ru-RU"/>
        </w:rPr>
        <w:t>Показатель № 67. Доля улиц, обеспеченных действующим уличным освещением.</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Показатель 2009 года остался на уровне 2008 г. (97,5%). В 2010-2012 гг. значительных изменений показателя не планируется.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 Показатель № 68 «Обеспеченность владельцев личного автотранспорта машиноместами на стоянках и в гаражах».</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Расчет значений данного показателя произведен с использованием имеющихся данных о количестве машиномест в гаражно-строительных и эксплуатационных кооперативах - 103737 ед., индивидуальных гаражах - 5344 ед., в том числе на участках индивидуальных жилых домов – 3000 ед., а также фактическом и планируемом количестве условных машиномест на ночных и круглосуточных стоянках городского округа Тольятти, исходя из установленного законодательством РФ норматива 11,5 кв.м на 1 машину:</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r w:rsidRPr="002C101F">
        <w:rPr>
          <w:rFonts w:ascii="Times New Roman" w:eastAsia="Times New Roman" w:hAnsi="Times New Roman" w:cs="Times New Roman"/>
          <w:b/>
          <w:bCs/>
          <w:color w:val="283959"/>
          <w:sz w:val="23"/>
          <w:lang w:eastAsia="ru-RU"/>
        </w:rPr>
        <w:t>Показатель № 69. «Доля многоэтажных зданий с неудовлетворительным состоянием фасадов»</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Данный показатель поступательно снижается, в связи с постоянным осуществлением контроля за техническим состоянием жилищного фонда, возможностью упрощённого (визуального) обследования, а так же выполнением программных мероприятий, финансируемых из бюджетов всех уровней. В 2010 году ожидается уменьшение доли многоэтажных зданий с неудовлетворительным состоянием фасадов на 2% к уровню 2009 года в связи с направлением средств Фонда содействия реформированию ЖКХ на проведение капитального ремонта жилищного фонда.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70. Уровень обеспеченности территории муниципального образования объектами общего пользования, благоустроенными зелеными насаждениями (парками, лесопарками, садами, скверами, бульварами)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На 1 жителя городского округа Тольятти приходится зелёных насаждений: в 2008 году – 51 кв.м, в 2009 – 52 кв.м,</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r w:rsidRPr="002C101F">
        <w:rPr>
          <w:rFonts w:ascii="Times New Roman" w:eastAsia="Times New Roman" w:hAnsi="Times New Roman" w:cs="Times New Roman"/>
          <w:b/>
          <w:bCs/>
          <w:color w:val="283959"/>
          <w:sz w:val="23"/>
          <w:lang w:eastAsia="ru-RU"/>
        </w:rPr>
        <w:t>Показатель № 74. «Объем мусора на несанкционированных свалках: ликвидированного за отчётный период; вновь зарегистрированного (выявленного) за отчётный период».</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Инвентаризация несанкционированных мест размещения отходов на территории городского округа Тольятти проводилась в 2007 году в соответствии с Постановлением мэра города от 19.12.2006 года № 11666-1/п. По итогам инвентаризации в 2007 году было выявлено 587 003,6 м</w:t>
      </w:r>
      <w:r w:rsidRPr="002C101F">
        <w:rPr>
          <w:rFonts w:ascii="Times New Roman" w:eastAsia="Times New Roman" w:hAnsi="Times New Roman" w:cs="Times New Roman"/>
          <w:color w:val="283959"/>
          <w:sz w:val="23"/>
          <w:szCs w:val="23"/>
          <w:vertAlign w:val="superscript"/>
          <w:lang w:eastAsia="ru-RU"/>
        </w:rPr>
        <w:t>3</w:t>
      </w:r>
      <w:r w:rsidRPr="002C101F">
        <w:rPr>
          <w:rFonts w:ascii="Times New Roman" w:eastAsia="Times New Roman" w:hAnsi="Times New Roman" w:cs="Times New Roman"/>
          <w:color w:val="283959"/>
          <w:sz w:val="23"/>
          <w:vertAlign w:val="superscript"/>
          <w:lang w:eastAsia="ru-RU"/>
        </w:rPr>
        <w:t> </w:t>
      </w:r>
      <w:r w:rsidRPr="002C101F">
        <w:rPr>
          <w:rFonts w:ascii="Times New Roman" w:eastAsia="Times New Roman" w:hAnsi="Times New Roman" w:cs="Times New Roman"/>
          <w:color w:val="283959"/>
          <w:sz w:val="23"/>
          <w:szCs w:val="23"/>
          <w:lang w:eastAsia="ru-RU"/>
        </w:rPr>
        <w:t>отходов производства и потребления. </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xml:space="preserve">В соответствии с постановлением мэрии городского округа Тольятти от 19.01.2010г. № 75-п/1 «О проведении инвентаризации несанкционированных мест размещения отходов </w:t>
      </w:r>
      <w:r w:rsidRPr="002C101F">
        <w:rPr>
          <w:rFonts w:ascii="Times New Roman" w:eastAsia="Times New Roman" w:hAnsi="Times New Roman" w:cs="Times New Roman"/>
          <w:color w:val="283959"/>
          <w:sz w:val="23"/>
          <w:szCs w:val="23"/>
          <w:lang w:eastAsia="ru-RU"/>
        </w:rPr>
        <w:lastRenderedPageBreak/>
        <w:t>производства и потребления и о мерах по их ликвидации» в 2010 году на территории городского округа Тольятти будет проводиться инвентаризация несанкционированных мест размещения отходов. Срок окончания проведения инвентаризации - 14.06.2010г. В ходе проведения инвентаризации могут быть выявлены дополнительные места несанкционированного размещения отходов, и их объем может составить около 35000 м</w:t>
      </w:r>
      <w:r w:rsidRPr="002C101F">
        <w:rPr>
          <w:rFonts w:ascii="Times New Roman" w:eastAsia="Times New Roman" w:hAnsi="Times New Roman" w:cs="Times New Roman"/>
          <w:color w:val="283959"/>
          <w:sz w:val="23"/>
          <w:szCs w:val="23"/>
          <w:vertAlign w:val="superscript"/>
          <w:lang w:eastAsia="ru-RU"/>
        </w:rPr>
        <w:t>3</w:t>
      </w:r>
      <w:r w:rsidRPr="002C101F">
        <w:rPr>
          <w:rFonts w:ascii="Times New Roman" w:eastAsia="Times New Roman" w:hAnsi="Times New Roman" w:cs="Times New Roman"/>
          <w:color w:val="283959"/>
          <w:sz w:val="23"/>
          <w:szCs w:val="23"/>
          <w:lang w:eastAsia="ru-RU"/>
        </w:rPr>
        <w:t>.Данные будут уточнены по итогам инвентаризации.    Периодичность проведения инвентаризации – 1 раз в 3 года.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76 «Доля извлечения вторичного сырья из общего объема образующихся на территории муниципального образования бытовых и промышленных отходов»</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По данному показателю процент вторичного использования рассчитывался из общих объемов отходов, образующихся на промышленных предприятиях. Показатели за 2008-2009г.г. рассчитаны по данным государственной статистической отчетности. Снижение показателя в 2009 году на 24,5% обусловлено сокращением объемов промышленного производства.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77. Обеспеченность оборудованными местами временного хранения отходов на территории муниципального образования (объём вывозимого мусора на один контейнер в год)</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Общее количество ТБО, образуемого в жилом фонде городского округа Тольятти на 2010г. из расчета 1.67м3 на 1 человека в год составляет 1 147 748 м³</w:t>
      </w:r>
      <w:r w:rsidRPr="002C101F">
        <w:rPr>
          <w:rFonts w:ascii="Times New Roman" w:eastAsia="Times New Roman" w:hAnsi="Times New Roman" w:cs="Times New Roman"/>
          <w:b/>
          <w:bCs/>
          <w:color w:val="283959"/>
          <w:sz w:val="23"/>
          <w:lang w:eastAsia="ru-RU"/>
        </w:rPr>
        <w:t>, </w:t>
      </w:r>
      <w:r w:rsidRPr="002C101F">
        <w:rPr>
          <w:rFonts w:ascii="Times New Roman" w:eastAsia="Times New Roman" w:hAnsi="Times New Roman" w:cs="Times New Roman"/>
          <w:color w:val="283959"/>
          <w:sz w:val="23"/>
          <w:szCs w:val="23"/>
          <w:lang w:eastAsia="ru-RU"/>
        </w:rPr>
        <w:t>в том числе от Центрального и Комсомольского районов около 360,0 т.м</w:t>
      </w:r>
      <w:r w:rsidRPr="002C101F">
        <w:rPr>
          <w:rFonts w:ascii="Times New Roman" w:eastAsia="Times New Roman" w:hAnsi="Times New Roman" w:cs="Times New Roman"/>
          <w:color w:val="283959"/>
          <w:sz w:val="23"/>
          <w:szCs w:val="23"/>
          <w:vertAlign w:val="superscript"/>
          <w:lang w:eastAsia="ru-RU"/>
        </w:rPr>
        <w:t>3</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Вывоз ТБО осуществляется:</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 Автозаводский район – бесконтейнерным методом (из мусоропроводов многоэтажных жилых домов);</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 Центральный и Комсомольский районы - с мест временного хранения отходов, оборудованных контейнерными площадками.</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Количество контейнерных площадок и количество контейнеров в Центральном и Комсомольском районах городского округа Тольятти на 01.01.2010г составляет: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контейнерных площадок – 270 шт: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количество контейнеров – 1311 шт.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Один стандартный контейнер V- 0,75м</w:t>
      </w:r>
      <w:r w:rsidRPr="002C101F">
        <w:rPr>
          <w:rFonts w:ascii="Times New Roman" w:eastAsia="Times New Roman" w:hAnsi="Times New Roman" w:cs="Times New Roman"/>
          <w:color w:val="283959"/>
          <w:sz w:val="23"/>
          <w:szCs w:val="23"/>
          <w:vertAlign w:val="superscript"/>
          <w:lang w:eastAsia="ru-RU"/>
        </w:rPr>
        <w:t>3</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b/>
          <w:bCs/>
          <w:color w:val="283959"/>
          <w:sz w:val="23"/>
          <w:lang w:eastAsia="ru-RU"/>
        </w:rPr>
        <w:t>Показатель № 78 «Доля мест временного хранения отходов, в отношении которых произведен: капитальный ремонт, текущий ремонт».</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В связи с секвестированием бюджета работы по капитальному и текущему ремонту в 2009 году не проводились. В 2010-2012 гг. планируется увеличение данного показателя за счёт средств полученной экономии после проведения аукционов и привлечения средств городского бюджета.</w:t>
      </w:r>
    </w:p>
    <w:p w:rsidR="002C101F" w:rsidRPr="002C101F" w:rsidRDefault="002C101F" w:rsidP="002C101F">
      <w:pPr>
        <w:spacing w:before="150" w:after="0" w:line="270" w:lineRule="atLeast"/>
        <w:rPr>
          <w:rFonts w:ascii="Times New Roman" w:eastAsia="Times New Roman" w:hAnsi="Times New Roman" w:cs="Times New Roman"/>
          <w:color w:val="283959"/>
          <w:sz w:val="23"/>
          <w:szCs w:val="23"/>
          <w:lang w:eastAsia="ru-RU"/>
        </w:rPr>
      </w:pPr>
      <w:r w:rsidRPr="002C101F">
        <w:rPr>
          <w:rFonts w:ascii="Times New Roman" w:eastAsia="Times New Roman" w:hAnsi="Times New Roman" w:cs="Times New Roman"/>
          <w:color w:val="283959"/>
          <w:sz w:val="23"/>
          <w:szCs w:val="23"/>
          <w:lang w:eastAsia="ru-RU"/>
        </w:rPr>
        <w:t> </w:t>
      </w:r>
    </w:p>
    <w:p w:rsidR="00860202" w:rsidRDefault="00860202"/>
    <w:sectPr w:rsidR="00860202" w:rsidSect="00860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101F"/>
    <w:rsid w:val="00000821"/>
    <w:rsid w:val="000058CE"/>
    <w:rsid w:val="000149F5"/>
    <w:rsid w:val="00017510"/>
    <w:rsid w:val="000211D8"/>
    <w:rsid w:val="00024D09"/>
    <w:rsid w:val="00026CD9"/>
    <w:rsid w:val="00030DEB"/>
    <w:rsid w:val="00032D7A"/>
    <w:rsid w:val="00032D8B"/>
    <w:rsid w:val="00034BAA"/>
    <w:rsid w:val="00044E84"/>
    <w:rsid w:val="000461DC"/>
    <w:rsid w:val="00046C1A"/>
    <w:rsid w:val="0005385E"/>
    <w:rsid w:val="00054C76"/>
    <w:rsid w:val="00061182"/>
    <w:rsid w:val="00062574"/>
    <w:rsid w:val="00063C61"/>
    <w:rsid w:val="00065C62"/>
    <w:rsid w:val="00066344"/>
    <w:rsid w:val="00070D6E"/>
    <w:rsid w:val="000722C1"/>
    <w:rsid w:val="00073E53"/>
    <w:rsid w:val="000748ED"/>
    <w:rsid w:val="00076171"/>
    <w:rsid w:val="0007636C"/>
    <w:rsid w:val="00087040"/>
    <w:rsid w:val="00091770"/>
    <w:rsid w:val="00092EDC"/>
    <w:rsid w:val="00094B5D"/>
    <w:rsid w:val="00096078"/>
    <w:rsid w:val="00097DBA"/>
    <w:rsid w:val="000A78C8"/>
    <w:rsid w:val="000B132C"/>
    <w:rsid w:val="000B302E"/>
    <w:rsid w:val="000B40FB"/>
    <w:rsid w:val="000B4585"/>
    <w:rsid w:val="000B58E1"/>
    <w:rsid w:val="000B638D"/>
    <w:rsid w:val="000B6C61"/>
    <w:rsid w:val="000C6D7B"/>
    <w:rsid w:val="000D003A"/>
    <w:rsid w:val="000D32C5"/>
    <w:rsid w:val="000D4596"/>
    <w:rsid w:val="000E172E"/>
    <w:rsid w:val="000E525A"/>
    <w:rsid w:val="000E78BD"/>
    <w:rsid w:val="000E7CCA"/>
    <w:rsid w:val="000F0BC7"/>
    <w:rsid w:val="000F1182"/>
    <w:rsid w:val="000F2B55"/>
    <w:rsid w:val="000F2C3B"/>
    <w:rsid w:val="000F7554"/>
    <w:rsid w:val="001003C2"/>
    <w:rsid w:val="00100A67"/>
    <w:rsid w:val="00102298"/>
    <w:rsid w:val="00106247"/>
    <w:rsid w:val="001103AD"/>
    <w:rsid w:val="00112B67"/>
    <w:rsid w:val="00113845"/>
    <w:rsid w:val="00127735"/>
    <w:rsid w:val="00127927"/>
    <w:rsid w:val="0013382A"/>
    <w:rsid w:val="00133D1B"/>
    <w:rsid w:val="00136960"/>
    <w:rsid w:val="00137926"/>
    <w:rsid w:val="00137DE5"/>
    <w:rsid w:val="001420AF"/>
    <w:rsid w:val="001436AC"/>
    <w:rsid w:val="00155886"/>
    <w:rsid w:val="00157ABC"/>
    <w:rsid w:val="001617FB"/>
    <w:rsid w:val="0016203E"/>
    <w:rsid w:val="00165FC0"/>
    <w:rsid w:val="00165FF7"/>
    <w:rsid w:val="00166690"/>
    <w:rsid w:val="00170FE3"/>
    <w:rsid w:val="0017222E"/>
    <w:rsid w:val="00175D2B"/>
    <w:rsid w:val="001807E1"/>
    <w:rsid w:val="00187B03"/>
    <w:rsid w:val="001915E3"/>
    <w:rsid w:val="00194354"/>
    <w:rsid w:val="00194EB9"/>
    <w:rsid w:val="001A0EE5"/>
    <w:rsid w:val="001A28C4"/>
    <w:rsid w:val="001B0138"/>
    <w:rsid w:val="001B0229"/>
    <w:rsid w:val="001B1D9E"/>
    <w:rsid w:val="001B4E9B"/>
    <w:rsid w:val="001B63B9"/>
    <w:rsid w:val="001B6F13"/>
    <w:rsid w:val="001C2F56"/>
    <w:rsid w:val="001C3AEF"/>
    <w:rsid w:val="001C6A61"/>
    <w:rsid w:val="001D2F59"/>
    <w:rsid w:val="001E0A81"/>
    <w:rsid w:val="001E2A2F"/>
    <w:rsid w:val="001F7D2A"/>
    <w:rsid w:val="00201102"/>
    <w:rsid w:val="0020199F"/>
    <w:rsid w:val="00203790"/>
    <w:rsid w:val="002112D5"/>
    <w:rsid w:val="0021156B"/>
    <w:rsid w:val="002116FD"/>
    <w:rsid w:val="00215B3A"/>
    <w:rsid w:val="00225074"/>
    <w:rsid w:val="002306E5"/>
    <w:rsid w:val="00233C56"/>
    <w:rsid w:val="00241EA6"/>
    <w:rsid w:val="002443FE"/>
    <w:rsid w:val="00247532"/>
    <w:rsid w:val="00253024"/>
    <w:rsid w:val="002556AE"/>
    <w:rsid w:val="0025581C"/>
    <w:rsid w:val="002604E3"/>
    <w:rsid w:val="00263356"/>
    <w:rsid w:val="00263C66"/>
    <w:rsid w:val="00271AE8"/>
    <w:rsid w:val="002720DF"/>
    <w:rsid w:val="00274E22"/>
    <w:rsid w:val="002752A3"/>
    <w:rsid w:val="002807DD"/>
    <w:rsid w:val="00282F4B"/>
    <w:rsid w:val="002835D9"/>
    <w:rsid w:val="0028486A"/>
    <w:rsid w:val="0028573B"/>
    <w:rsid w:val="00286463"/>
    <w:rsid w:val="00287158"/>
    <w:rsid w:val="00287D87"/>
    <w:rsid w:val="00290236"/>
    <w:rsid w:val="0029035C"/>
    <w:rsid w:val="00291B5E"/>
    <w:rsid w:val="00292859"/>
    <w:rsid w:val="00293641"/>
    <w:rsid w:val="002954A7"/>
    <w:rsid w:val="00296F72"/>
    <w:rsid w:val="002978E8"/>
    <w:rsid w:val="00297D9E"/>
    <w:rsid w:val="002A5D9A"/>
    <w:rsid w:val="002A76AA"/>
    <w:rsid w:val="002B143D"/>
    <w:rsid w:val="002B373A"/>
    <w:rsid w:val="002B5D51"/>
    <w:rsid w:val="002C101F"/>
    <w:rsid w:val="002C1975"/>
    <w:rsid w:val="002C22CB"/>
    <w:rsid w:val="002C2921"/>
    <w:rsid w:val="002C3A3A"/>
    <w:rsid w:val="002C540B"/>
    <w:rsid w:val="002C5AA5"/>
    <w:rsid w:val="002C6E12"/>
    <w:rsid w:val="002C6EBB"/>
    <w:rsid w:val="002D02C0"/>
    <w:rsid w:val="002D6291"/>
    <w:rsid w:val="002E0D35"/>
    <w:rsid w:val="002E2E56"/>
    <w:rsid w:val="002E3C9F"/>
    <w:rsid w:val="002E794E"/>
    <w:rsid w:val="002F404E"/>
    <w:rsid w:val="002F67C2"/>
    <w:rsid w:val="00301229"/>
    <w:rsid w:val="0030329B"/>
    <w:rsid w:val="00304502"/>
    <w:rsid w:val="00304C15"/>
    <w:rsid w:val="00307ACC"/>
    <w:rsid w:val="00310AB2"/>
    <w:rsid w:val="00310E4D"/>
    <w:rsid w:val="00311132"/>
    <w:rsid w:val="003118F6"/>
    <w:rsid w:val="00311D0F"/>
    <w:rsid w:val="00313B57"/>
    <w:rsid w:val="003141EA"/>
    <w:rsid w:val="003162B2"/>
    <w:rsid w:val="00333A2B"/>
    <w:rsid w:val="00334EB3"/>
    <w:rsid w:val="0033536D"/>
    <w:rsid w:val="00335560"/>
    <w:rsid w:val="00336900"/>
    <w:rsid w:val="00336F67"/>
    <w:rsid w:val="003370EE"/>
    <w:rsid w:val="00340543"/>
    <w:rsid w:val="00345AE9"/>
    <w:rsid w:val="00346CC0"/>
    <w:rsid w:val="0034740F"/>
    <w:rsid w:val="00352D54"/>
    <w:rsid w:val="0035372E"/>
    <w:rsid w:val="00354CB0"/>
    <w:rsid w:val="003554D6"/>
    <w:rsid w:val="00355DB7"/>
    <w:rsid w:val="003577C6"/>
    <w:rsid w:val="003633DE"/>
    <w:rsid w:val="003733B7"/>
    <w:rsid w:val="00375DF0"/>
    <w:rsid w:val="00382EB9"/>
    <w:rsid w:val="00383C7A"/>
    <w:rsid w:val="00384862"/>
    <w:rsid w:val="00385CC6"/>
    <w:rsid w:val="00396593"/>
    <w:rsid w:val="003A5CED"/>
    <w:rsid w:val="003C09CA"/>
    <w:rsid w:val="003C1376"/>
    <w:rsid w:val="003C279F"/>
    <w:rsid w:val="003C3B16"/>
    <w:rsid w:val="003C66AD"/>
    <w:rsid w:val="003D1AFA"/>
    <w:rsid w:val="003D20C8"/>
    <w:rsid w:val="003D26D8"/>
    <w:rsid w:val="003D2F4D"/>
    <w:rsid w:val="003D75EB"/>
    <w:rsid w:val="003D775C"/>
    <w:rsid w:val="003D7B32"/>
    <w:rsid w:val="003E0F03"/>
    <w:rsid w:val="003E3D01"/>
    <w:rsid w:val="003E7F5D"/>
    <w:rsid w:val="003F1DBE"/>
    <w:rsid w:val="003F3ECC"/>
    <w:rsid w:val="00401AD5"/>
    <w:rsid w:val="00402374"/>
    <w:rsid w:val="00403294"/>
    <w:rsid w:val="00403BDB"/>
    <w:rsid w:val="00407DFE"/>
    <w:rsid w:val="0041222C"/>
    <w:rsid w:val="00414E74"/>
    <w:rsid w:val="00416147"/>
    <w:rsid w:val="00423A68"/>
    <w:rsid w:val="004241B8"/>
    <w:rsid w:val="00425307"/>
    <w:rsid w:val="00426917"/>
    <w:rsid w:val="00435B90"/>
    <w:rsid w:val="00436AEC"/>
    <w:rsid w:val="00437EC4"/>
    <w:rsid w:val="00444D46"/>
    <w:rsid w:val="00446FE4"/>
    <w:rsid w:val="00451F81"/>
    <w:rsid w:val="00452083"/>
    <w:rsid w:val="004527A4"/>
    <w:rsid w:val="00453E2E"/>
    <w:rsid w:val="00456C2F"/>
    <w:rsid w:val="004608D5"/>
    <w:rsid w:val="00461AA5"/>
    <w:rsid w:val="0046368A"/>
    <w:rsid w:val="00465CB4"/>
    <w:rsid w:val="00467AAA"/>
    <w:rsid w:val="004740E6"/>
    <w:rsid w:val="004811A4"/>
    <w:rsid w:val="0048289D"/>
    <w:rsid w:val="00484DD7"/>
    <w:rsid w:val="00485289"/>
    <w:rsid w:val="00485A7B"/>
    <w:rsid w:val="00497664"/>
    <w:rsid w:val="004A4CDE"/>
    <w:rsid w:val="004B071E"/>
    <w:rsid w:val="004B371B"/>
    <w:rsid w:val="004B4C95"/>
    <w:rsid w:val="004B598A"/>
    <w:rsid w:val="004B60C4"/>
    <w:rsid w:val="004C4F11"/>
    <w:rsid w:val="004C59C2"/>
    <w:rsid w:val="004C59D4"/>
    <w:rsid w:val="004D5B82"/>
    <w:rsid w:val="004E3564"/>
    <w:rsid w:val="004E4E2D"/>
    <w:rsid w:val="004F0AA8"/>
    <w:rsid w:val="004F35BB"/>
    <w:rsid w:val="004F57AC"/>
    <w:rsid w:val="004F68E6"/>
    <w:rsid w:val="004F7BAA"/>
    <w:rsid w:val="00501A80"/>
    <w:rsid w:val="0050300D"/>
    <w:rsid w:val="005071A9"/>
    <w:rsid w:val="00510F9E"/>
    <w:rsid w:val="00511E02"/>
    <w:rsid w:val="00517187"/>
    <w:rsid w:val="00517556"/>
    <w:rsid w:val="0051764C"/>
    <w:rsid w:val="00517A1E"/>
    <w:rsid w:val="005220F8"/>
    <w:rsid w:val="00523FF4"/>
    <w:rsid w:val="00524225"/>
    <w:rsid w:val="00524507"/>
    <w:rsid w:val="0053020E"/>
    <w:rsid w:val="0053025D"/>
    <w:rsid w:val="00530276"/>
    <w:rsid w:val="00531A47"/>
    <w:rsid w:val="005332AA"/>
    <w:rsid w:val="00533A28"/>
    <w:rsid w:val="00535864"/>
    <w:rsid w:val="00540EF7"/>
    <w:rsid w:val="0054120F"/>
    <w:rsid w:val="00541243"/>
    <w:rsid w:val="00541C5B"/>
    <w:rsid w:val="005426F7"/>
    <w:rsid w:val="00551A76"/>
    <w:rsid w:val="00553665"/>
    <w:rsid w:val="005544B3"/>
    <w:rsid w:val="0055596A"/>
    <w:rsid w:val="00561C2A"/>
    <w:rsid w:val="00565D92"/>
    <w:rsid w:val="005725E1"/>
    <w:rsid w:val="00572937"/>
    <w:rsid w:val="00573913"/>
    <w:rsid w:val="00573F3F"/>
    <w:rsid w:val="0057525D"/>
    <w:rsid w:val="005777F4"/>
    <w:rsid w:val="005824CB"/>
    <w:rsid w:val="0058716A"/>
    <w:rsid w:val="005901AE"/>
    <w:rsid w:val="00590313"/>
    <w:rsid w:val="00594EF8"/>
    <w:rsid w:val="005A133B"/>
    <w:rsid w:val="005A5A46"/>
    <w:rsid w:val="005A69CF"/>
    <w:rsid w:val="005A6DA1"/>
    <w:rsid w:val="005B2562"/>
    <w:rsid w:val="005B38E2"/>
    <w:rsid w:val="005B6299"/>
    <w:rsid w:val="005B6740"/>
    <w:rsid w:val="005C010D"/>
    <w:rsid w:val="005D07E6"/>
    <w:rsid w:val="005D09F0"/>
    <w:rsid w:val="005D3196"/>
    <w:rsid w:val="005D4367"/>
    <w:rsid w:val="005D7E21"/>
    <w:rsid w:val="005D7F72"/>
    <w:rsid w:val="005F0D78"/>
    <w:rsid w:val="005F1C4C"/>
    <w:rsid w:val="005F2E3F"/>
    <w:rsid w:val="005F5113"/>
    <w:rsid w:val="00603313"/>
    <w:rsid w:val="00604CBA"/>
    <w:rsid w:val="006073FA"/>
    <w:rsid w:val="006112B4"/>
    <w:rsid w:val="00612600"/>
    <w:rsid w:val="006140E5"/>
    <w:rsid w:val="00616D8B"/>
    <w:rsid w:val="006209E4"/>
    <w:rsid w:val="00623D62"/>
    <w:rsid w:val="00624947"/>
    <w:rsid w:val="00626BF7"/>
    <w:rsid w:val="00626ECC"/>
    <w:rsid w:val="00627E5A"/>
    <w:rsid w:val="00631059"/>
    <w:rsid w:val="00632FCC"/>
    <w:rsid w:val="00634C27"/>
    <w:rsid w:val="00640EFB"/>
    <w:rsid w:val="00643484"/>
    <w:rsid w:val="006457ED"/>
    <w:rsid w:val="0065123C"/>
    <w:rsid w:val="00651A04"/>
    <w:rsid w:val="006539D3"/>
    <w:rsid w:val="00654A67"/>
    <w:rsid w:val="0066080D"/>
    <w:rsid w:val="00660A4E"/>
    <w:rsid w:val="00661C8F"/>
    <w:rsid w:val="006657C4"/>
    <w:rsid w:val="00666043"/>
    <w:rsid w:val="00672ED6"/>
    <w:rsid w:val="00690CF9"/>
    <w:rsid w:val="00692149"/>
    <w:rsid w:val="00696AD5"/>
    <w:rsid w:val="006A228B"/>
    <w:rsid w:val="006A22E8"/>
    <w:rsid w:val="006A6CF4"/>
    <w:rsid w:val="006A7033"/>
    <w:rsid w:val="006B2B8C"/>
    <w:rsid w:val="006B59C7"/>
    <w:rsid w:val="006C568E"/>
    <w:rsid w:val="006C7191"/>
    <w:rsid w:val="006C72EC"/>
    <w:rsid w:val="006C73C8"/>
    <w:rsid w:val="006C7644"/>
    <w:rsid w:val="006D0501"/>
    <w:rsid w:val="006D077B"/>
    <w:rsid w:val="006D676F"/>
    <w:rsid w:val="006D70ED"/>
    <w:rsid w:val="006E0591"/>
    <w:rsid w:val="006E24D6"/>
    <w:rsid w:val="006E7559"/>
    <w:rsid w:val="006F6743"/>
    <w:rsid w:val="00702328"/>
    <w:rsid w:val="00702794"/>
    <w:rsid w:val="00703E47"/>
    <w:rsid w:val="007065DB"/>
    <w:rsid w:val="00710E21"/>
    <w:rsid w:val="007113D2"/>
    <w:rsid w:val="0071447D"/>
    <w:rsid w:val="00714A4D"/>
    <w:rsid w:val="00714EA4"/>
    <w:rsid w:val="00716A37"/>
    <w:rsid w:val="007233B9"/>
    <w:rsid w:val="0072656F"/>
    <w:rsid w:val="00727C56"/>
    <w:rsid w:val="00730456"/>
    <w:rsid w:val="007305E7"/>
    <w:rsid w:val="007322B2"/>
    <w:rsid w:val="007442D7"/>
    <w:rsid w:val="00745283"/>
    <w:rsid w:val="00756F29"/>
    <w:rsid w:val="00757E26"/>
    <w:rsid w:val="0076033C"/>
    <w:rsid w:val="00761DE2"/>
    <w:rsid w:val="007648A2"/>
    <w:rsid w:val="00765556"/>
    <w:rsid w:val="0076568A"/>
    <w:rsid w:val="0076626A"/>
    <w:rsid w:val="007675DB"/>
    <w:rsid w:val="007705DB"/>
    <w:rsid w:val="00770F07"/>
    <w:rsid w:val="007754AE"/>
    <w:rsid w:val="00781342"/>
    <w:rsid w:val="00782DA3"/>
    <w:rsid w:val="00784327"/>
    <w:rsid w:val="00785019"/>
    <w:rsid w:val="00787487"/>
    <w:rsid w:val="00790367"/>
    <w:rsid w:val="00791A82"/>
    <w:rsid w:val="00794042"/>
    <w:rsid w:val="00795FCA"/>
    <w:rsid w:val="00796F2E"/>
    <w:rsid w:val="00797471"/>
    <w:rsid w:val="00797AAE"/>
    <w:rsid w:val="007A154E"/>
    <w:rsid w:val="007A405F"/>
    <w:rsid w:val="007A5BC6"/>
    <w:rsid w:val="007A6228"/>
    <w:rsid w:val="007A6901"/>
    <w:rsid w:val="007A77A0"/>
    <w:rsid w:val="007B4882"/>
    <w:rsid w:val="007B5FA3"/>
    <w:rsid w:val="007C18F5"/>
    <w:rsid w:val="007C1D89"/>
    <w:rsid w:val="007C7471"/>
    <w:rsid w:val="007C7E62"/>
    <w:rsid w:val="007D0BFB"/>
    <w:rsid w:val="007D491B"/>
    <w:rsid w:val="007D4E66"/>
    <w:rsid w:val="007D75A1"/>
    <w:rsid w:val="007E0E23"/>
    <w:rsid w:val="007E1E93"/>
    <w:rsid w:val="007E232E"/>
    <w:rsid w:val="007E3685"/>
    <w:rsid w:val="007E4428"/>
    <w:rsid w:val="007E7A72"/>
    <w:rsid w:val="007F181F"/>
    <w:rsid w:val="007F3700"/>
    <w:rsid w:val="007F3B65"/>
    <w:rsid w:val="007F3BBB"/>
    <w:rsid w:val="007F4DD1"/>
    <w:rsid w:val="00806E41"/>
    <w:rsid w:val="00810294"/>
    <w:rsid w:val="00810500"/>
    <w:rsid w:val="008135ED"/>
    <w:rsid w:val="00815098"/>
    <w:rsid w:val="00816477"/>
    <w:rsid w:val="008168B3"/>
    <w:rsid w:val="00822C48"/>
    <w:rsid w:val="0083086E"/>
    <w:rsid w:val="008327CE"/>
    <w:rsid w:val="008429CF"/>
    <w:rsid w:val="00843DFB"/>
    <w:rsid w:val="008462F4"/>
    <w:rsid w:val="008542D0"/>
    <w:rsid w:val="0085474E"/>
    <w:rsid w:val="00860202"/>
    <w:rsid w:val="00861DCB"/>
    <w:rsid w:val="00862558"/>
    <w:rsid w:val="00863416"/>
    <w:rsid w:val="00864012"/>
    <w:rsid w:val="00867306"/>
    <w:rsid w:val="00867D96"/>
    <w:rsid w:val="00872153"/>
    <w:rsid w:val="00872D29"/>
    <w:rsid w:val="0087536E"/>
    <w:rsid w:val="00877EA3"/>
    <w:rsid w:val="0088094A"/>
    <w:rsid w:val="00883547"/>
    <w:rsid w:val="00883CB8"/>
    <w:rsid w:val="00886665"/>
    <w:rsid w:val="008915B6"/>
    <w:rsid w:val="00897232"/>
    <w:rsid w:val="00897826"/>
    <w:rsid w:val="008A046D"/>
    <w:rsid w:val="008A41C3"/>
    <w:rsid w:val="008A5735"/>
    <w:rsid w:val="008A6D1D"/>
    <w:rsid w:val="008B1ED3"/>
    <w:rsid w:val="008B5AF5"/>
    <w:rsid w:val="008C3C5F"/>
    <w:rsid w:val="008C3CC5"/>
    <w:rsid w:val="008C5EB6"/>
    <w:rsid w:val="008C7ED0"/>
    <w:rsid w:val="008D12DD"/>
    <w:rsid w:val="008D430A"/>
    <w:rsid w:val="008D432B"/>
    <w:rsid w:val="008D4F1A"/>
    <w:rsid w:val="008E04E3"/>
    <w:rsid w:val="008E3531"/>
    <w:rsid w:val="008E60F1"/>
    <w:rsid w:val="008E6D99"/>
    <w:rsid w:val="008E6F7B"/>
    <w:rsid w:val="008F5837"/>
    <w:rsid w:val="00912B18"/>
    <w:rsid w:val="00915486"/>
    <w:rsid w:val="00915D04"/>
    <w:rsid w:val="0092052A"/>
    <w:rsid w:val="009216CE"/>
    <w:rsid w:val="009221F7"/>
    <w:rsid w:val="00922CA5"/>
    <w:rsid w:val="00924C13"/>
    <w:rsid w:val="00927D28"/>
    <w:rsid w:val="00930419"/>
    <w:rsid w:val="00932125"/>
    <w:rsid w:val="009327E0"/>
    <w:rsid w:val="00932A02"/>
    <w:rsid w:val="009337D8"/>
    <w:rsid w:val="0093540C"/>
    <w:rsid w:val="00936FDA"/>
    <w:rsid w:val="009417AB"/>
    <w:rsid w:val="009472FA"/>
    <w:rsid w:val="0094789F"/>
    <w:rsid w:val="00951D69"/>
    <w:rsid w:val="00957D29"/>
    <w:rsid w:val="00965C41"/>
    <w:rsid w:val="0097207D"/>
    <w:rsid w:val="009730DB"/>
    <w:rsid w:val="00975DED"/>
    <w:rsid w:val="009761FD"/>
    <w:rsid w:val="009765EE"/>
    <w:rsid w:val="009779AC"/>
    <w:rsid w:val="00985CDA"/>
    <w:rsid w:val="009978E9"/>
    <w:rsid w:val="009A0461"/>
    <w:rsid w:val="009A4574"/>
    <w:rsid w:val="009A626C"/>
    <w:rsid w:val="009A639A"/>
    <w:rsid w:val="009A6B7C"/>
    <w:rsid w:val="009B02FC"/>
    <w:rsid w:val="009B4CAD"/>
    <w:rsid w:val="009B67FE"/>
    <w:rsid w:val="009C16BD"/>
    <w:rsid w:val="009C4D5D"/>
    <w:rsid w:val="009C72A6"/>
    <w:rsid w:val="009C7F70"/>
    <w:rsid w:val="009D2E24"/>
    <w:rsid w:val="009E37DC"/>
    <w:rsid w:val="009F6F6F"/>
    <w:rsid w:val="00A060C1"/>
    <w:rsid w:val="00A10DA0"/>
    <w:rsid w:val="00A14345"/>
    <w:rsid w:val="00A14F0F"/>
    <w:rsid w:val="00A1520C"/>
    <w:rsid w:val="00A228E5"/>
    <w:rsid w:val="00A23F83"/>
    <w:rsid w:val="00A27B85"/>
    <w:rsid w:val="00A27C4F"/>
    <w:rsid w:val="00A35BC5"/>
    <w:rsid w:val="00A3609A"/>
    <w:rsid w:val="00A4054C"/>
    <w:rsid w:val="00A40A9E"/>
    <w:rsid w:val="00A41FFA"/>
    <w:rsid w:val="00A43819"/>
    <w:rsid w:val="00A45B6C"/>
    <w:rsid w:val="00A46EC0"/>
    <w:rsid w:val="00A524B4"/>
    <w:rsid w:val="00A54096"/>
    <w:rsid w:val="00A55AFF"/>
    <w:rsid w:val="00A60011"/>
    <w:rsid w:val="00A61305"/>
    <w:rsid w:val="00A6573D"/>
    <w:rsid w:val="00A6668B"/>
    <w:rsid w:val="00A66ECE"/>
    <w:rsid w:val="00A6737B"/>
    <w:rsid w:val="00A70DC0"/>
    <w:rsid w:val="00A7537B"/>
    <w:rsid w:val="00A77B51"/>
    <w:rsid w:val="00A8048C"/>
    <w:rsid w:val="00A81CE8"/>
    <w:rsid w:val="00A82191"/>
    <w:rsid w:val="00A825EA"/>
    <w:rsid w:val="00A82EDD"/>
    <w:rsid w:val="00A9092A"/>
    <w:rsid w:val="00A94AD2"/>
    <w:rsid w:val="00A94CB3"/>
    <w:rsid w:val="00A958A1"/>
    <w:rsid w:val="00AA59D8"/>
    <w:rsid w:val="00AA77AE"/>
    <w:rsid w:val="00AB00F4"/>
    <w:rsid w:val="00AB1A49"/>
    <w:rsid w:val="00AB39DB"/>
    <w:rsid w:val="00AB4E26"/>
    <w:rsid w:val="00AB51AD"/>
    <w:rsid w:val="00AB7968"/>
    <w:rsid w:val="00AC37F4"/>
    <w:rsid w:val="00AC7B92"/>
    <w:rsid w:val="00AD2A15"/>
    <w:rsid w:val="00AD2DDC"/>
    <w:rsid w:val="00AD4509"/>
    <w:rsid w:val="00AE01E9"/>
    <w:rsid w:val="00AE1F66"/>
    <w:rsid w:val="00AE62E9"/>
    <w:rsid w:val="00AE6400"/>
    <w:rsid w:val="00AF5355"/>
    <w:rsid w:val="00B04DD5"/>
    <w:rsid w:val="00B06F4D"/>
    <w:rsid w:val="00B1104D"/>
    <w:rsid w:val="00B1359E"/>
    <w:rsid w:val="00B14D62"/>
    <w:rsid w:val="00B170C3"/>
    <w:rsid w:val="00B17B7D"/>
    <w:rsid w:val="00B17F77"/>
    <w:rsid w:val="00B21099"/>
    <w:rsid w:val="00B22BF2"/>
    <w:rsid w:val="00B22C7D"/>
    <w:rsid w:val="00B24261"/>
    <w:rsid w:val="00B2471C"/>
    <w:rsid w:val="00B25A39"/>
    <w:rsid w:val="00B26271"/>
    <w:rsid w:val="00B3012E"/>
    <w:rsid w:val="00B30489"/>
    <w:rsid w:val="00B32E6F"/>
    <w:rsid w:val="00B33B67"/>
    <w:rsid w:val="00B348DD"/>
    <w:rsid w:val="00B40818"/>
    <w:rsid w:val="00B40C5D"/>
    <w:rsid w:val="00B430FD"/>
    <w:rsid w:val="00B4563D"/>
    <w:rsid w:val="00B53621"/>
    <w:rsid w:val="00B54F28"/>
    <w:rsid w:val="00B56792"/>
    <w:rsid w:val="00B6435A"/>
    <w:rsid w:val="00B64D31"/>
    <w:rsid w:val="00B7028B"/>
    <w:rsid w:val="00B70BFC"/>
    <w:rsid w:val="00B716A3"/>
    <w:rsid w:val="00B71A4F"/>
    <w:rsid w:val="00B73BAD"/>
    <w:rsid w:val="00B747AD"/>
    <w:rsid w:val="00B85743"/>
    <w:rsid w:val="00B85B47"/>
    <w:rsid w:val="00B961AD"/>
    <w:rsid w:val="00BA0699"/>
    <w:rsid w:val="00BA1BF2"/>
    <w:rsid w:val="00BA31CC"/>
    <w:rsid w:val="00BA4C14"/>
    <w:rsid w:val="00BA6199"/>
    <w:rsid w:val="00BA6D64"/>
    <w:rsid w:val="00BA7E5C"/>
    <w:rsid w:val="00BA7EA6"/>
    <w:rsid w:val="00BB171A"/>
    <w:rsid w:val="00BC0A2F"/>
    <w:rsid w:val="00BC5C1D"/>
    <w:rsid w:val="00BC7406"/>
    <w:rsid w:val="00BD690F"/>
    <w:rsid w:val="00BD6D79"/>
    <w:rsid w:val="00BD7F7E"/>
    <w:rsid w:val="00BE0161"/>
    <w:rsid w:val="00BE0E49"/>
    <w:rsid w:val="00BE64A6"/>
    <w:rsid w:val="00BF00F8"/>
    <w:rsid w:val="00BF04CF"/>
    <w:rsid w:val="00BF15D2"/>
    <w:rsid w:val="00BF56DD"/>
    <w:rsid w:val="00BF5D9F"/>
    <w:rsid w:val="00C040F8"/>
    <w:rsid w:val="00C04664"/>
    <w:rsid w:val="00C04EF5"/>
    <w:rsid w:val="00C07F5A"/>
    <w:rsid w:val="00C10DBD"/>
    <w:rsid w:val="00C12680"/>
    <w:rsid w:val="00C1574C"/>
    <w:rsid w:val="00C21527"/>
    <w:rsid w:val="00C227DD"/>
    <w:rsid w:val="00C23A72"/>
    <w:rsid w:val="00C241B5"/>
    <w:rsid w:val="00C25117"/>
    <w:rsid w:val="00C26EB0"/>
    <w:rsid w:val="00C27364"/>
    <w:rsid w:val="00C35D30"/>
    <w:rsid w:val="00C40E48"/>
    <w:rsid w:val="00C42C2C"/>
    <w:rsid w:val="00C43F7B"/>
    <w:rsid w:val="00C468A7"/>
    <w:rsid w:val="00C53061"/>
    <w:rsid w:val="00C537A2"/>
    <w:rsid w:val="00C537BD"/>
    <w:rsid w:val="00C55143"/>
    <w:rsid w:val="00C55B6B"/>
    <w:rsid w:val="00C56343"/>
    <w:rsid w:val="00C63CD3"/>
    <w:rsid w:val="00C64BC7"/>
    <w:rsid w:val="00C65818"/>
    <w:rsid w:val="00C65F48"/>
    <w:rsid w:val="00C70F67"/>
    <w:rsid w:val="00C717CC"/>
    <w:rsid w:val="00C721E3"/>
    <w:rsid w:val="00C730D6"/>
    <w:rsid w:val="00C7503C"/>
    <w:rsid w:val="00C81169"/>
    <w:rsid w:val="00C8171F"/>
    <w:rsid w:val="00C82AE5"/>
    <w:rsid w:val="00C8448F"/>
    <w:rsid w:val="00C84851"/>
    <w:rsid w:val="00C8629A"/>
    <w:rsid w:val="00C8778B"/>
    <w:rsid w:val="00C877FC"/>
    <w:rsid w:val="00C9081D"/>
    <w:rsid w:val="00C90E43"/>
    <w:rsid w:val="00C928FF"/>
    <w:rsid w:val="00C9615D"/>
    <w:rsid w:val="00C977D1"/>
    <w:rsid w:val="00CA032D"/>
    <w:rsid w:val="00CA1EC9"/>
    <w:rsid w:val="00CA6EE4"/>
    <w:rsid w:val="00CB06DF"/>
    <w:rsid w:val="00CB2599"/>
    <w:rsid w:val="00CB2F67"/>
    <w:rsid w:val="00CC1C1B"/>
    <w:rsid w:val="00CC3B2B"/>
    <w:rsid w:val="00CC50C0"/>
    <w:rsid w:val="00CD07BF"/>
    <w:rsid w:val="00CD24A7"/>
    <w:rsid w:val="00CE1E79"/>
    <w:rsid w:val="00CE281F"/>
    <w:rsid w:val="00CE5BB7"/>
    <w:rsid w:val="00CF4DD3"/>
    <w:rsid w:val="00CF527A"/>
    <w:rsid w:val="00D00132"/>
    <w:rsid w:val="00D00873"/>
    <w:rsid w:val="00D013A4"/>
    <w:rsid w:val="00D02466"/>
    <w:rsid w:val="00D101F2"/>
    <w:rsid w:val="00D127DE"/>
    <w:rsid w:val="00D15EB8"/>
    <w:rsid w:val="00D17E64"/>
    <w:rsid w:val="00D21A7C"/>
    <w:rsid w:val="00D220F0"/>
    <w:rsid w:val="00D23799"/>
    <w:rsid w:val="00D2473B"/>
    <w:rsid w:val="00D27C38"/>
    <w:rsid w:val="00D32F41"/>
    <w:rsid w:val="00D35A8F"/>
    <w:rsid w:val="00D41A7F"/>
    <w:rsid w:val="00D42F2F"/>
    <w:rsid w:val="00D4797A"/>
    <w:rsid w:val="00D47B46"/>
    <w:rsid w:val="00D52238"/>
    <w:rsid w:val="00D524E6"/>
    <w:rsid w:val="00D564C9"/>
    <w:rsid w:val="00D56602"/>
    <w:rsid w:val="00D570C7"/>
    <w:rsid w:val="00D62381"/>
    <w:rsid w:val="00D627FF"/>
    <w:rsid w:val="00D654C2"/>
    <w:rsid w:val="00D657D9"/>
    <w:rsid w:val="00D668A0"/>
    <w:rsid w:val="00D72C72"/>
    <w:rsid w:val="00D74309"/>
    <w:rsid w:val="00D82320"/>
    <w:rsid w:val="00D870D2"/>
    <w:rsid w:val="00D91341"/>
    <w:rsid w:val="00D913F1"/>
    <w:rsid w:val="00D92A35"/>
    <w:rsid w:val="00D97063"/>
    <w:rsid w:val="00DA2FB1"/>
    <w:rsid w:val="00DA41B0"/>
    <w:rsid w:val="00DA5732"/>
    <w:rsid w:val="00DB0F75"/>
    <w:rsid w:val="00DB2278"/>
    <w:rsid w:val="00DB2C2C"/>
    <w:rsid w:val="00DB3854"/>
    <w:rsid w:val="00DB46BB"/>
    <w:rsid w:val="00DB4F41"/>
    <w:rsid w:val="00DD30CC"/>
    <w:rsid w:val="00DD734B"/>
    <w:rsid w:val="00DE1175"/>
    <w:rsid w:val="00DE4DBA"/>
    <w:rsid w:val="00DF212C"/>
    <w:rsid w:val="00DF2169"/>
    <w:rsid w:val="00DF2B33"/>
    <w:rsid w:val="00DF3E4F"/>
    <w:rsid w:val="00DF66B3"/>
    <w:rsid w:val="00E03A0F"/>
    <w:rsid w:val="00E07712"/>
    <w:rsid w:val="00E07A54"/>
    <w:rsid w:val="00E1057B"/>
    <w:rsid w:val="00E1494F"/>
    <w:rsid w:val="00E21DB0"/>
    <w:rsid w:val="00E31D46"/>
    <w:rsid w:val="00E326BC"/>
    <w:rsid w:val="00E32ED3"/>
    <w:rsid w:val="00E34186"/>
    <w:rsid w:val="00E34AAE"/>
    <w:rsid w:val="00E36E16"/>
    <w:rsid w:val="00E40829"/>
    <w:rsid w:val="00E44346"/>
    <w:rsid w:val="00E52DB6"/>
    <w:rsid w:val="00E53AAC"/>
    <w:rsid w:val="00E6036D"/>
    <w:rsid w:val="00E60934"/>
    <w:rsid w:val="00E620BB"/>
    <w:rsid w:val="00E62FA1"/>
    <w:rsid w:val="00E64B37"/>
    <w:rsid w:val="00E65967"/>
    <w:rsid w:val="00E65AB8"/>
    <w:rsid w:val="00E660BE"/>
    <w:rsid w:val="00E663DC"/>
    <w:rsid w:val="00E67B20"/>
    <w:rsid w:val="00E70777"/>
    <w:rsid w:val="00E8597A"/>
    <w:rsid w:val="00E8732E"/>
    <w:rsid w:val="00E879F9"/>
    <w:rsid w:val="00E905E8"/>
    <w:rsid w:val="00E920AA"/>
    <w:rsid w:val="00E92C3F"/>
    <w:rsid w:val="00EA3016"/>
    <w:rsid w:val="00EA6E9B"/>
    <w:rsid w:val="00EB330A"/>
    <w:rsid w:val="00EB3CEC"/>
    <w:rsid w:val="00EB4D7C"/>
    <w:rsid w:val="00EC0F4C"/>
    <w:rsid w:val="00EC7320"/>
    <w:rsid w:val="00ED159F"/>
    <w:rsid w:val="00ED66E1"/>
    <w:rsid w:val="00EE2A83"/>
    <w:rsid w:val="00EF3303"/>
    <w:rsid w:val="00EF3734"/>
    <w:rsid w:val="00EF3A26"/>
    <w:rsid w:val="00F01BBF"/>
    <w:rsid w:val="00F06376"/>
    <w:rsid w:val="00F072C7"/>
    <w:rsid w:val="00F14A9A"/>
    <w:rsid w:val="00F15B42"/>
    <w:rsid w:val="00F21241"/>
    <w:rsid w:val="00F21DBF"/>
    <w:rsid w:val="00F221E9"/>
    <w:rsid w:val="00F22748"/>
    <w:rsid w:val="00F22778"/>
    <w:rsid w:val="00F23741"/>
    <w:rsid w:val="00F249E4"/>
    <w:rsid w:val="00F24F05"/>
    <w:rsid w:val="00F25E62"/>
    <w:rsid w:val="00F2677A"/>
    <w:rsid w:val="00F26EB9"/>
    <w:rsid w:val="00F30471"/>
    <w:rsid w:val="00F30AE2"/>
    <w:rsid w:val="00F32F84"/>
    <w:rsid w:val="00F358F3"/>
    <w:rsid w:val="00F47F86"/>
    <w:rsid w:val="00F5294D"/>
    <w:rsid w:val="00F6184E"/>
    <w:rsid w:val="00F62671"/>
    <w:rsid w:val="00F66656"/>
    <w:rsid w:val="00F67411"/>
    <w:rsid w:val="00F72CCE"/>
    <w:rsid w:val="00F74400"/>
    <w:rsid w:val="00F76E88"/>
    <w:rsid w:val="00F77E1F"/>
    <w:rsid w:val="00F77FE5"/>
    <w:rsid w:val="00F82EBA"/>
    <w:rsid w:val="00F84344"/>
    <w:rsid w:val="00F8637D"/>
    <w:rsid w:val="00F94533"/>
    <w:rsid w:val="00F9537F"/>
    <w:rsid w:val="00F976EA"/>
    <w:rsid w:val="00FA21A0"/>
    <w:rsid w:val="00FA2B49"/>
    <w:rsid w:val="00FB6369"/>
    <w:rsid w:val="00FB7012"/>
    <w:rsid w:val="00FB7CEE"/>
    <w:rsid w:val="00FC04E9"/>
    <w:rsid w:val="00FC16C6"/>
    <w:rsid w:val="00FC16DD"/>
    <w:rsid w:val="00FC40F0"/>
    <w:rsid w:val="00FD098D"/>
    <w:rsid w:val="00FD11F0"/>
    <w:rsid w:val="00FD152F"/>
    <w:rsid w:val="00FD5549"/>
    <w:rsid w:val="00FE42CC"/>
    <w:rsid w:val="00FE5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101F"/>
  </w:style>
  <w:style w:type="paragraph" w:styleId="a3">
    <w:name w:val="Normal (Web)"/>
    <w:basedOn w:val="a"/>
    <w:uiPriority w:val="99"/>
    <w:unhideWhenUsed/>
    <w:rsid w:val="002C1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101F"/>
    <w:rPr>
      <w:b/>
      <w:bCs/>
    </w:rPr>
  </w:style>
</w:styles>
</file>

<file path=word/webSettings.xml><?xml version="1.0" encoding="utf-8"?>
<w:webSettings xmlns:r="http://schemas.openxmlformats.org/officeDocument/2006/relationships" xmlns:w="http://schemas.openxmlformats.org/wordprocessingml/2006/main">
  <w:divs>
    <w:div w:id="15164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13436</Words>
  <Characters>76587</Characters>
  <Application>Microsoft Office Word</Application>
  <DocSecurity>0</DocSecurity>
  <Lines>638</Lines>
  <Paragraphs>179</Paragraphs>
  <ScaleCrop>false</ScaleCrop>
  <Company/>
  <LinksUpToDate>false</LinksUpToDate>
  <CharactersWithSpaces>89844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2013-04-15T11:32:00Z</dcterms:created>
  <dcterms:modified xsi:type="dcterms:W3CDTF">2013-04-15T11:32:00Z</dcterms:modified>
</cp:coreProperties>
</file>