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FD4" w:rsidRDefault="00176664" w:rsidP="00295FD4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Доклад</w:t>
      </w:r>
      <w:r w:rsidR="00295FD4">
        <w:rPr>
          <w:sz w:val="28"/>
          <w:szCs w:val="28"/>
        </w:rPr>
        <w:t xml:space="preserve"> о развитии и результатах процедуры оценки регулирующего воздействия проектов нормативных правовых актов и экспертизы нормативных правовых актов го</w:t>
      </w:r>
      <w:r w:rsidR="00B25C64">
        <w:rPr>
          <w:sz w:val="28"/>
          <w:szCs w:val="28"/>
        </w:rPr>
        <w:t>родского округа Тольятти за 2025</w:t>
      </w:r>
      <w:r w:rsidR="00295FD4">
        <w:rPr>
          <w:sz w:val="28"/>
          <w:szCs w:val="28"/>
        </w:rPr>
        <w:t xml:space="preserve"> год</w:t>
      </w:r>
    </w:p>
    <w:p w:rsidR="00405DFA" w:rsidRDefault="00405DFA" w:rsidP="00405DFA">
      <w:pPr>
        <w:spacing w:line="360" w:lineRule="auto"/>
        <w:ind w:firstLine="567"/>
        <w:jc w:val="both"/>
        <w:rPr>
          <w:sz w:val="28"/>
          <w:szCs w:val="28"/>
        </w:rPr>
      </w:pPr>
    </w:p>
    <w:p w:rsidR="008606EB" w:rsidRPr="00666070" w:rsidRDefault="00A62340" w:rsidP="00982FCD">
      <w:pPr>
        <w:spacing w:line="360" w:lineRule="auto"/>
        <w:ind w:firstLine="709"/>
        <w:jc w:val="both"/>
        <w:rPr>
          <w:sz w:val="28"/>
          <w:szCs w:val="28"/>
        </w:rPr>
      </w:pPr>
      <w:r w:rsidRPr="00666070">
        <w:rPr>
          <w:sz w:val="28"/>
          <w:szCs w:val="28"/>
        </w:rPr>
        <w:t xml:space="preserve">Оценка регулирующего воздействия </w:t>
      </w:r>
      <w:r w:rsidR="005111CA" w:rsidRPr="00666070">
        <w:rPr>
          <w:sz w:val="28"/>
          <w:szCs w:val="28"/>
        </w:rPr>
        <w:t>(</w:t>
      </w:r>
      <w:r w:rsidR="00982FCD" w:rsidRPr="00666070">
        <w:rPr>
          <w:sz w:val="28"/>
          <w:szCs w:val="28"/>
        </w:rPr>
        <w:t xml:space="preserve">далее – </w:t>
      </w:r>
      <w:r w:rsidR="005111CA" w:rsidRPr="00666070">
        <w:rPr>
          <w:sz w:val="28"/>
          <w:szCs w:val="28"/>
        </w:rPr>
        <w:t xml:space="preserve">ОРВ) </w:t>
      </w:r>
      <w:r w:rsidR="008606EB" w:rsidRPr="00666070">
        <w:rPr>
          <w:sz w:val="28"/>
          <w:szCs w:val="28"/>
        </w:rPr>
        <w:t xml:space="preserve">муниципальных нормативных правовых актов </w:t>
      </w:r>
      <w:r w:rsidRPr="00666070">
        <w:rPr>
          <w:sz w:val="28"/>
          <w:szCs w:val="28"/>
        </w:rPr>
        <w:t xml:space="preserve">на территории городского округа Тольятти проводится </w:t>
      </w:r>
      <w:r w:rsidR="005111CA" w:rsidRPr="00666070">
        <w:rPr>
          <w:sz w:val="28"/>
          <w:szCs w:val="28"/>
        </w:rPr>
        <w:t xml:space="preserve">в соответствии с </w:t>
      </w:r>
      <w:r w:rsidR="008606EB" w:rsidRPr="00666070">
        <w:rPr>
          <w:rFonts w:eastAsiaTheme="minorHAnsi"/>
          <w:sz w:val="28"/>
          <w:szCs w:val="28"/>
        </w:rPr>
        <w:t>Решение</w:t>
      </w:r>
      <w:r w:rsidR="005111CA" w:rsidRPr="00666070">
        <w:rPr>
          <w:rFonts w:eastAsiaTheme="minorHAnsi"/>
          <w:sz w:val="28"/>
          <w:szCs w:val="28"/>
        </w:rPr>
        <w:t>м</w:t>
      </w:r>
      <w:r w:rsidR="008606EB" w:rsidRPr="00666070">
        <w:rPr>
          <w:rFonts w:eastAsiaTheme="minorHAnsi"/>
          <w:sz w:val="28"/>
          <w:szCs w:val="28"/>
        </w:rPr>
        <w:t xml:space="preserve"> Думы городского </w:t>
      </w:r>
      <w:r w:rsidR="008606EB" w:rsidRPr="00666070">
        <w:rPr>
          <w:sz w:val="28"/>
          <w:szCs w:val="28"/>
        </w:rPr>
        <w:t>округа Тольятти Самарской области от 04.03.2020 № 514 «О Порядке проведения оценки регулирующего воздействия проектов муниципальных нормативных правовых актов городского округа Тольятти, затрагивающих вопросы осуществления предпринимательской и иной экономической деятельности, и экспертизы муниципальных нормативных правовых актов городского округа Тольятти, затрагивающих вопросы осуществления предпринимательской и инвестиционной деятельности, об определении уполномоченного органа на проведение оценки регулирующего воздействия и экспертизы, а также о внесении изменений в отдельные нормативные правовые акты Думы городского округа Тольятти»</w:t>
      </w:r>
      <w:r w:rsidR="006A556A" w:rsidRPr="00666070">
        <w:rPr>
          <w:sz w:val="28"/>
          <w:szCs w:val="28"/>
        </w:rPr>
        <w:t xml:space="preserve"> (далее – Порядок)</w:t>
      </w:r>
      <w:r w:rsidR="005111CA" w:rsidRPr="00666070">
        <w:rPr>
          <w:sz w:val="28"/>
          <w:szCs w:val="28"/>
        </w:rPr>
        <w:t>.</w:t>
      </w:r>
    </w:p>
    <w:p w:rsidR="00F31E4E" w:rsidRPr="00666070" w:rsidRDefault="00F01A44" w:rsidP="00F01A4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66070">
        <w:rPr>
          <w:sz w:val="28"/>
          <w:szCs w:val="28"/>
        </w:rPr>
        <w:t xml:space="preserve">С учетом изменений действующего законодательства положения Порядка актуализируются и дополняются. </w:t>
      </w:r>
    </w:p>
    <w:p w:rsidR="00F31E4E" w:rsidRPr="00666070" w:rsidRDefault="00F31E4E" w:rsidP="003A175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66070">
        <w:rPr>
          <w:bCs/>
          <w:sz w:val="28"/>
          <w:szCs w:val="28"/>
        </w:rPr>
        <w:t xml:space="preserve">Уполномоченным органом на проведение оценки регулирующего воздействия и экспертизы муниципальных нормативных правовых актов, </w:t>
      </w:r>
      <w:r w:rsidRPr="00666070">
        <w:rPr>
          <w:sz w:val="28"/>
          <w:szCs w:val="28"/>
        </w:rPr>
        <w:t>затрагивающих вопросы осуществления предпринимательской и инвестиционной деятельности</w:t>
      </w:r>
      <w:r w:rsidRPr="00666070">
        <w:rPr>
          <w:bCs/>
          <w:sz w:val="28"/>
          <w:szCs w:val="28"/>
        </w:rPr>
        <w:t xml:space="preserve"> определен департамент экономического развития администрации городского округа Тольятти.</w:t>
      </w:r>
    </w:p>
    <w:p w:rsidR="00640D6E" w:rsidRPr="00D66B6E" w:rsidRDefault="00F31E4E" w:rsidP="003A1755">
      <w:pPr>
        <w:spacing w:line="360" w:lineRule="auto"/>
        <w:ind w:firstLine="709"/>
        <w:jc w:val="both"/>
        <w:rPr>
          <w:sz w:val="28"/>
          <w:szCs w:val="28"/>
        </w:rPr>
      </w:pPr>
      <w:r w:rsidRPr="00666070">
        <w:rPr>
          <w:color w:val="000000"/>
          <w:sz w:val="28"/>
          <w:szCs w:val="28"/>
        </w:rPr>
        <w:t xml:space="preserve">Информация о проведении ОРВ и экспертизы, по проектам муниципальных НПА размещена в открытом доступе </w:t>
      </w:r>
      <w:r w:rsidRPr="00666070">
        <w:rPr>
          <w:sz w:val="28"/>
          <w:szCs w:val="28"/>
        </w:rPr>
        <w:t>на официальном портале администрации городского округа Тольятти в информационно-телекоммуникационной сети «Интернет»</w:t>
      </w:r>
      <w:r w:rsidR="00D66B6E">
        <w:rPr>
          <w:sz w:val="28"/>
          <w:szCs w:val="28"/>
        </w:rPr>
        <w:t xml:space="preserve"> и </w:t>
      </w:r>
      <w:r w:rsidR="00FD5A23">
        <w:rPr>
          <w:color w:val="000000"/>
          <w:sz w:val="28"/>
          <w:szCs w:val="28"/>
        </w:rPr>
        <w:t xml:space="preserve">на региональном </w:t>
      </w:r>
      <w:r w:rsidR="00640D6E">
        <w:rPr>
          <w:color w:val="000000"/>
          <w:sz w:val="28"/>
          <w:szCs w:val="28"/>
        </w:rPr>
        <w:t>интернет-</w:t>
      </w:r>
      <w:r w:rsidR="00FD5A23">
        <w:rPr>
          <w:color w:val="000000"/>
          <w:sz w:val="28"/>
          <w:szCs w:val="28"/>
        </w:rPr>
        <w:t>портале</w:t>
      </w:r>
      <w:r w:rsidR="00640D6E">
        <w:rPr>
          <w:color w:val="000000"/>
          <w:sz w:val="28"/>
          <w:szCs w:val="28"/>
        </w:rPr>
        <w:t xml:space="preserve"> для публичного обсуждения проектов и действующих НПА органов власти Самарской области </w:t>
      </w:r>
      <w:hyperlink r:id="rId5" w:history="1">
        <w:r w:rsidR="00640D6E" w:rsidRPr="003C737C">
          <w:rPr>
            <w:rStyle w:val="a6"/>
            <w:sz w:val="28"/>
            <w:szCs w:val="28"/>
          </w:rPr>
          <w:t>https://regulation.samregion.ru</w:t>
        </w:r>
      </w:hyperlink>
      <w:r w:rsidR="00640D6E">
        <w:rPr>
          <w:color w:val="000000"/>
          <w:sz w:val="28"/>
          <w:szCs w:val="28"/>
        </w:rPr>
        <w:t>.</w:t>
      </w:r>
    </w:p>
    <w:p w:rsidR="00DB5DA5" w:rsidRDefault="005111CA" w:rsidP="003A175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6070">
        <w:rPr>
          <w:sz w:val="28"/>
          <w:szCs w:val="28"/>
        </w:rPr>
        <w:lastRenderedPageBreak/>
        <w:t>За период с 01.</w:t>
      </w:r>
      <w:r w:rsidR="006A556A" w:rsidRPr="00666070">
        <w:rPr>
          <w:sz w:val="28"/>
          <w:szCs w:val="28"/>
        </w:rPr>
        <w:t>01</w:t>
      </w:r>
      <w:r w:rsidR="00DB1D92">
        <w:rPr>
          <w:sz w:val="28"/>
          <w:szCs w:val="28"/>
        </w:rPr>
        <w:t>.202</w:t>
      </w:r>
      <w:r w:rsidR="00E66483">
        <w:rPr>
          <w:sz w:val="28"/>
          <w:szCs w:val="28"/>
        </w:rPr>
        <w:t>5</w:t>
      </w:r>
      <w:r w:rsidR="00101DF0">
        <w:rPr>
          <w:sz w:val="28"/>
          <w:szCs w:val="28"/>
        </w:rPr>
        <w:t xml:space="preserve"> года по 31.12</w:t>
      </w:r>
      <w:r w:rsidRPr="00666070">
        <w:rPr>
          <w:sz w:val="28"/>
          <w:szCs w:val="28"/>
        </w:rPr>
        <w:t>.202</w:t>
      </w:r>
      <w:r w:rsidR="00E66483">
        <w:rPr>
          <w:sz w:val="28"/>
          <w:szCs w:val="28"/>
        </w:rPr>
        <w:t>5</w:t>
      </w:r>
      <w:r w:rsidRPr="00666070">
        <w:rPr>
          <w:sz w:val="28"/>
          <w:szCs w:val="28"/>
        </w:rPr>
        <w:t xml:space="preserve"> </w:t>
      </w:r>
      <w:r w:rsidR="00A62340" w:rsidRPr="00666070">
        <w:rPr>
          <w:sz w:val="28"/>
          <w:szCs w:val="28"/>
        </w:rPr>
        <w:t xml:space="preserve">в рамках проведения процедуры ОРВ рассмотрено </w:t>
      </w:r>
      <w:r w:rsidR="00D66B6E">
        <w:rPr>
          <w:sz w:val="28"/>
          <w:szCs w:val="28"/>
        </w:rPr>
        <w:t>8</w:t>
      </w:r>
      <w:r w:rsidR="00E66483">
        <w:rPr>
          <w:sz w:val="28"/>
          <w:szCs w:val="28"/>
        </w:rPr>
        <w:t>9</w:t>
      </w:r>
      <w:r w:rsidR="00D66B6E">
        <w:rPr>
          <w:sz w:val="28"/>
          <w:szCs w:val="28"/>
        </w:rPr>
        <w:t>0</w:t>
      </w:r>
      <w:r w:rsidRPr="00666070">
        <w:rPr>
          <w:sz w:val="28"/>
          <w:szCs w:val="28"/>
        </w:rPr>
        <w:t xml:space="preserve"> </w:t>
      </w:r>
      <w:r w:rsidR="00A62340" w:rsidRPr="00666070">
        <w:rPr>
          <w:sz w:val="28"/>
          <w:szCs w:val="28"/>
        </w:rPr>
        <w:t>муниципальных правовых акт</w:t>
      </w:r>
      <w:r w:rsidR="00982FCD" w:rsidRPr="00666070">
        <w:rPr>
          <w:sz w:val="28"/>
          <w:szCs w:val="28"/>
        </w:rPr>
        <w:t>ов</w:t>
      </w:r>
      <w:r w:rsidR="00A62340" w:rsidRPr="00666070">
        <w:rPr>
          <w:sz w:val="28"/>
          <w:szCs w:val="28"/>
        </w:rPr>
        <w:t xml:space="preserve"> (проект</w:t>
      </w:r>
      <w:r w:rsidR="00982FCD" w:rsidRPr="00666070">
        <w:rPr>
          <w:sz w:val="28"/>
          <w:szCs w:val="28"/>
        </w:rPr>
        <w:t>ов</w:t>
      </w:r>
      <w:r w:rsidR="00A62340" w:rsidRPr="00666070">
        <w:rPr>
          <w:sz w:val="28"/>
          <w:szCs w:val="28"/>
        </w:rPr>
        <w:t>)</w:t>
      </w:r>
      <w:r w:rsidR="006A556A" w:rsidRPr="00666070">
        <w:rPr>
          <w:sz w:val="28"/>
          <w:szCs w:val="28"/>
        </w:rPr>
        <w:t xml:space="preserve"> на предмет необходимости проведения ОРВ</w:t>
      </w:r>
      <w:r w:rsidR="00A62340" w:rsidRPr="00666070">
        <w:rPr>
          <w:sz w:val="28"/>
          <w:szCs w:val="28"/>
        </w:rPr>
        <w:t>,</w:t>
      </w:r>
      <w:r w:rsidR="00DB5DA5">
        <w:rPr>
          <w:sz w:val="28"/>
          <w:szCs w:val="28"/>
        </w:rPr>
        <w:t xml:space="preserve"> на публ</w:t>
      </w:r>
      <w:r w:rsidR="00E66483">
        <w:rPr>
          <w:sz w:val="28"/>
          <w:szCs w:val="28"/>
        </w:rPr>
        <w:t>ичные консультации размещен 101 проект</w:t>
      </w:r>
      <w:r w:rsidR="00DB5DA5">
        <w:rPr>
          <w:sz w:val="28"/>
          <w:szCs w:val="28"/>
        </w:rPr>
        <w:t xml:space="preserve">, </w:t>
      </w:r>
      <w:r w:rsidR="00A62340" w:rsidRPr="00666070">
        <w:rPr>
          <w:sz w:val="28"/>
          <w:szCs w:val="28"/>
        </w:rPr>
        <w:t xml:space="preserve">подготовлено </w:t>
      </w:r>
      <w:r w:rsidR="00E66483">
        <w:rPr>
          <w:sz w:val="28"/>
          <w:szCs w:val="28"/>
        </w:rPr>
        <w:t>90</w:t>
      </w:r>
      <w:r w:rsidR="00A62340" w:rsidRPr="00666070">
        <w:rPr>
          <w:sz w:val="28"/>
          <w:szCs w:val="28"/>
        </w:rPr>
        <w:t xml:space="preserve"> заключени</w:t>
      </w:r>
      <w:r w:rsidR="00B25C64">
        <w:rPr>
          <w:sz w:val="28"/>
          <w:szCs w:val="28"/>
        </w:rPr>
        <w:t>й</w:t>
      </w:r>
      <w:r w:rsidR="00A62340" w:rsidRPr="00666070">
        <w:rPr>
          <w:sz w:val="28"/>
          <w:szCs w:val="28"/>
        </w:rPr>
        <w:t xml:space="preserve"> об ОРВ по проектам муниципальных нормативных правовых актов городского </w:t>
      </w:r>
      <w:r w:rsidR="00A62340" w:rsidRPr="00666070">
        <w:rPr>
          <w:color w:val="000000"/>
          <w:sz w:val="28"/>
          <w:szCs w:val="28"/>
        </w:rPr>
        <w:t>округа Тольятти</w:t>
      </w:r>
      <w:r w:rsidR="00B25C64">
        <w:rPr>
          <w:color w:val="000000"/>
          <w:sz w:val="28"/>
          <w:szCs w:val="28"/>
        </w:rPr>
        <w:t>, в том числе 4 отрицательных заключения, 5 заключений с замечаниями. Разработчиками проектов НПА были рассмотрены предложения и замечания уполномоченного органа и по итогам доработаны проекты НПА</w:t>
      </w:r>
      <w:r w:rsidR="00101DF0">
        <w:rPr>
          <w:color w:val="000000"/>
          <w:sz w:val="28"/>
          <w:szCs w:val="28"/>
        </w:rPr>
        <w:t>.</w:t>
      </w:r>
    </w:p>
    <w:p w:rsidR="00E87AB7" w:rsidRDefault="00E87AB7" w:rsidP="00664E1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6070">
        <w:rPr>
          <w:color w:val="000000"/>
          <w:sz w:val="28"/>
          <w:szCs w:val="28"/>
        </w:rPr>
        <w:t xml:space="preserve">На систематической основе в установленной предметной области проводится экспертиза муниципальных НПА. </w:t>
      </w:r>
      <w:r w:rsidR="00BD7C29">
        <w:rPr>
          <w:color w:val="000000"/>
          <w:sz w:val="28"/>
          <w:szCs w:val="28"/>
        </w:rPr>
        <w:t>За отчетный период</w:t>
      </w:r>
      <w:r w:rsidR="001B4D8B">
        <w:rPr>
          <w:color w:val="000000"/>
          <w:sz w:val="28"/>
          <w:szCs w:val="28"/>
        </w:rPr>
        <w:t xml:space="preserve"> проведено 4</w:t>
      </w:r>
      <w:r w:rsidRPr="00666070">
        <w:rPr>
          <w:color w:val="000000"/>
          <w:sz w:val="28"/>
          <w:szCs w:val="28"/>
        </w:rPr>
        <w:t xml:space="preserve"> экспертизы по действующим НПА. По результатам </w:t>
      </w:r>
      <w:r w:rsidR="00664E1F" w:rsidRPr="00666070">
        <w:rPr>
          <w:color w:val="000000"/>
          <w:sz w:val="28"/>
          <w:szCs w:val="28"/>
        </w:rPr>
        <w:t xml:space="preserve">подготовлены отчеты </w:t>
      </w:r>
      <w:r w:rsidRPr="00666070">
        <w:rPr>
          <w:color w:val="000000"/>
          <w:sz w:val="28"/>
          <w:szCs w:val="28"/>
        </w:rPr>
        <w:t>о проведении экспертизы</w:t>
      </w:r>
      <w:r w:rsidR="001B4D8B">
        <w:rPr>
          <w:color w:val="000000"/>
          <w:sz w:val="28"/>
          <w:szCs w:val="28"/>
        </w:rPr>
        <w:t xml:space="preserve"> (4</w:t>
      </w:r>
      <w:r w:rsidR="00664E1F" w:rsidRPr="00666070">
        <w:rPr>
          <w:color w:val="000000"/>
          <w:sz w:val="28"/>
          <w:szCs w:val="28"/>
        </w:rPr>
        <w:t xml:space="preserve"> </w:t>
      </w:r>
      <w:proofErr w:type="spellStart"/>
      <w:r w:rsidR="00664E1F" w:rsidRPr="00666070">
        <w:rPr>
          <w:color w:val="000000"/>
          <w:sz w:val="28"/>
          <w:szCs w:val="28"/>
        </w:rPr>
        <w:t>шт</w:t>
      </w:r>
      <w:proofErr w:type="spellEnd"/>
      <w:r w:rsidR="00664E1F" w:rsidRPr="00666070">
        <w:rPr>
          <w:color w:val="000000"/>
          <w:sz w:val="28"/>
          <w:szCs w:val="28"/>
        </w:rPr>
        <w:t>)</w:t>
      </w:r>
      <w:r w:rsidR="00DB5DA5">
        <w:rPr>
          <w:color w:val="000000"/>
          <w:sz w:val="28"/>
          <w:szCs w:val="28"/>
        </w:rPr>
        <w:t>.</w:t>
      </w:r>
      <w:r w:rsidR="004E2D8F">
        <w:rPr>
          <w:color w:val="000000"/>
          <w:sz w:val="28"/>
          <w:szCs w:val="28"/>
        </w:rPr>
        <w:t xml:space="preserve"> По трем действующим НПА уполномоченным органом были даны рекомендации о </w:t>
      </w:r>
      <w:r w:rsidR="008602C6">
        <w:rPr>
          <w:color w:val="000000"/>
          <w:sz w:val="28"/>
          <w:szCs w:val="28"/>
        </w:rPr>
        <w:t>в</w:t>
      </w:r>
      <w:r w:rsidR="004E2D8F">
        <w:rPr>
          <w:color w:val="000000"/>
          <w:sz w:val="28"/>
          <w:szCs w:val="28"/>
        </w:rPr>
        <w:t>несении изменений</w:t>
      </w:r>
      <w:r w:rsidR="008602C6">
        <w:rPr>
          <w:color w:val="000000"/>
          <w:sz w:val="28"/>
          <w:szCs w:val="28"/>
        </w:rPr>
        <w:t xml:space="preserve"> в НПА</w:t>
      </w:r>
      <w:r w:rsidR="004E2D8F">
        <w:rPr>
          <w:color w:val="000000"/>
          <w:sz w:val="28"/>
          <w:szCs w:val="28"/>
        </w:rPr>
        <w:t>.</w:t>
      </w:r>
    </w:p>
    <w:p w:rsidR="004E2D8F" w:rsidRPr="00666070" w:rsidRDefault="004E2D8F" w:rsidP="00664E1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10% от всех отчетов об ОРВ и экспертизе, содержится расчет издержек предлагаемого правового регулирования.</w:t>
      </w:r>
    </w:p>
    <w:p w:rsidR="00666070" w:rsidRPr="00666070" w:rsidRDefault="00666070" w:rsidP="006660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6070">
        <w:rPr>
          <w:color w:val="000000"/>
          <w:sz w:val="28"/>
          <w:szCs w:val="28"/>
        </w:rPr>
        <w:t>Наибольшее количество проектов нормативных правовых актов, по которым проведена процедура оценки регулирующего воздействия, разработаны в следующих сферах</w:t>
      </w:r>
      <w:r w:rsidR="00024EC1">
        <w:rPr>
          <w:color w:val="000000"/>
          <w:sz w:val="28"/>
          <w:szCs w:val="28"/>
        </w:rPr>
        <w:t xml:space="preserve"> (процент </w:t>
      </w:r>
      <w:r w:rsidR="00024EC1" w:rsidRPr="00666070">
        <w:rPr>
          <w:color w:val="000000"/>
          <w:sz w:val="28"/>
          <w:szCs w:val="28"/>
        </w:rPr>
        <w:t>от общего числа подготовленных заключений</w:t>
      </w:r>
      <w:r w:rsidR="00024EC1">
        <w:rPr>
          <w:color w:val="000000"/>
          <w:sz w:val="28"/>
          <w:szCs w:val="28"/>
        </w:rPr>
        <w:t>):</w:t>
      </w:r>
    </w:p>
    <w:p w:rsidR="00666070" w:rsidRPr="00666070" w:rsidRDefault="00666070" w:rsidP="00666070">
      <w:pPr>
        <w:pStyle w:val="a5"/>
        <w:numPr>
          <w:ilvl w:val="0"/>
          <w:numId w:val="3"/>
        </w:numPr>
        <w:spacing w:line="360" w:lineRule="auto"/>
        <w:jc w:val="both"/>
        <w:rPr>
          <w:color w:val="000000"/>
          <w:sz w:val="28"/>
          <w:szCs w:val="28"/>
        </w:rPr>
      </w:pPr>
      <w:r w:rsidRPr="00666070">
        <w:rPr>
          <w:color w:val="000000"/>
          <w:sz w:val="28"/>
          <w:szCs w:val="28"/>
        </w:rPr>
        <w:t xml:space="preserve">градостроительной деятельности </w:t>
      </w:r>
      <w:r w:rsidR="00024EC1">
        <w:rPr>
          <w:color w:val="000000"/>
          <w:sz w:val="28"/>
          <w:szCs w:val="28"/>
        </w:rPr>
        <w:t>–</w:t>
      </w:r>
      <w:r w:rsidRPr="00666070">
        <w:rPr>
          <w:color w:val="000000"/>
          <w:sz w:val="28"/>
          <w:szCs w:val="28"/>
        </w:rPr>
        <w:t xml:space="preserve"> </w:t>
      </w:r>
      <w:r w:rsidR="00CD3E7C">
        <w:rPr>
          <w:color w:val="000000"/>
          <w:sz w:val="28"/>
          <w:szCs w:val="28"/>
        </w:rPr>
        <w:t>50</w:t>
      </w:r>
      <w:r w:rsidRPr="00666070">
        <w:rPr>
          <w:color w:val="000000"/>
          <w:sz w:val="28"/>
          <w:szCs w:val="28"/>
        </w:rPr>
        <w:t>%;</w:t>
      </w:r>
    </w:p>
    <w:p w:rsidR="00666070" w:rsidRPr="00666070" w:rsidRDefault="001E21F3" w:rsidP="00666070">
      <w:pPr>
        <w:pStyle w:val="a5"/>
        <w:numPr>
          <w:ilvl w:val="0"/>
          <w:numId w:val="3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потребительского рынка</w:t>
      </w:r>
      <w:r w:rsidR="00666070" w:rsidRPr="00666070">
        <w:rPr>
          <w:color w:val="000000"/>
          <w:sz w:val="28"/>
          <w:szCs w:val="28"/>
        </w:rPr>
        <w:t xml:space="preserve"> – </w:t>
      </w:r>
      <w:r w:rsidR="00CD3E7C">
        <w:rPr>
          <w:color w:val="000000"/>
          <w:sz w:val="28"/>
          <w:szCs w:val="28"/>
        </w:rPr>
        <w:t>13,3</w:t>
      </w:r>
      <w:r w:rsidR="00666070" w:rsidRPr="00666070">
        <w:rPr>
          <w:color w:val="000000"/>
          <w:sz w:val="28"/>
          <w:szCs w:val="28"/>
        </w:rPr>
        <w:t>%.</w:t>
      </w:r>
    </w:p>
    <w:p w:rsidR="00666070" w:rsidRPr="00666070" w:rsidRDefault="001E21F3" w:rsidP="00666070">
      <w:pPr>
        <w:pStyle w:val="a5"/>
        <w:numPr>
          <w:ilvl w:val="0"/>
          <w:numId w:val="3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городского хозяйства</w:t>
      </w:r>
      <w:r w:rsidR="00CD3E7C">
        <w:rPr>
          <w:color w:val="000000"/>
          <w:sz w:val="28"/>
          <w:szCs w:val="28"/>
        </w:rPr>
        <w:t>–12,2</w:t>
      </w:r>
      <w:r w:rsidR="00666070" w:rsidRPr="00666070">
        <w:rPr>
          <w:color w:val="000000"/>
          <w:sz w:val="28"/>
          <w:szCs w:val="28"/>
        </w:rPr>
        <w:t>%</w:t>
      </w:r>
      <w:r w:rsidR="00FA295F">
        <w:rPr>
          <w:color w:val="000000"/>
          <w:sz w:val="28"/>
          <w:szCs w:val="28"/>
        </w:rPr>
        <w:t>.</w:t>
      </w:r>
    </w:p>
    <w:p w:rsidR="00CD0585" w:rsidRDefault="00CE51C7" w:rsidP="00664E1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региональном интернет-портале для публичного обсуждения проектов и действующих НПА органов власти Самарской области </w:t>
      </w:r>
      <w:hyperlink r:id="rId6" w:history="1">
        <w:r w:rsidRPr="003C737C">
          <w:rPr>
            <w:rStyle w:val="a6"/>
            <w:sz w:val="28"/>
            <w:szCs w:val="28"/>
          </w:rPr>
          <w:t>https://regulation.samregion.ru</w:t>
        </w:r>
      </w:hyperlink>
      <w:r>
        <w:t xml:space="preserve"> </w:t>
      </w:r>
      <w:r w:rsidR="00F24BCF">
        <w:t xml:space="preserve">  </w:t>
      </w:r>
      <w:r w:rsidR="00F24BCF" w:rsidRPr="00F24BCF">
        <w:rPr>
          <w:sz w:val="28"/>
          <w:szCs w:val="28"/>
        </w:rPr>
        <w:t>в разделе «ОРВ в ОМС»</w:t>
      </w:r>
      <w:r w:rsidR="00F24BCF">
        <w:t xml:space="preserve"> </w:t>
      </w:r>
      <w:r w:rsidR="00F24BCF" w:rsidRPr="00F24BCF">
        <w:rPr>
          <w:sz w:val="28"/>
          <w:szCs w:val="28"/>
        </w:rPr>
        <w:t>администрацией городского округа Тольятти</w:t>
      </w:r>
      <w:r w:rsidR="001E21F3">
        <w:rPr>
          <w:sz w:val="28"/>
          <w:szCs w:val="28"/>
        </w:rPr>
        <w:t xml:space="preserve"> размещаю</w:t>
      </w:r>
      <w:r w:rsidR="00F24BCF">
        <w:rPr>
          <w:sz w:val="28"/>
          <w:szCs w:val="28"/>
        </w:rPr>
        <w:t xml:space="preserve">тся </w:t>
      </w:r>
      <w:r w:rsidR="001E21F3">
        <w:rPr>
          <w:sz w:val="28"/>
          <w:szCs w:val="28"/>
        </w:rPr>
        <w:t xml:space="preserve">новости, </w:t>
      </w:r>
      <w:r w:rsidR="00F24BCF">
        <w:rPr>
          <w:sz w:val="28"/>
          <w:szCs w:val="28"/>
        </w:rPr>
        <w:t>информация о лучших муниципальных практиках</w:t>
      </w:r>
      <w:r w:rsidR="001F1F12">
        <w:rPr>
          <w:sz w:val="28"/>
          <w:szCs w:val="28"/>
        </w:rPr>
        <w:t xml:space="preserve"> в сфере ОРВ, о проводимых мероприятиях по вопросам ОРВ, экспертизы и обязательных требований, о заключенных соглашениях  по взаимодействию и т.д..</w:t>
      </w:r>
      <w:r w:rsidR="00F24BCF" w:rsidRPr="00F24BCF">
        <w:rPr>
          <w:sz w:val="28"/>
          <w:szCs w:val="28"/>
        </w:rPr>
        <w:t xml:space="preserve"> </w:t>
      </w:r>
    </w:p>
    <w:p w:rsidR="00666070" w:rsidRPr="00666070" w:rsidRDefault="00666070" w:rsidP="00664E1F">
      <w:pPr>
        <w:spacing w:line="360" w:lineRule="auto"/>
        <w:ind w:firstLine="709"/>
        <w:jc w:val="both"/>
        <w:rPr>
          <w:sz w:val="28"/>
          <w:szCs w:val="28"/>
        </w:rPr>
      </w:pPr>
      <w:r w:rsidRPr="00666070">
        <w:rPr>
          <w:color w:val="000000"/>
          <w:sz w:val="28"/>
          <w:szCs w:val="28"/>
        </w:rPr>
        <w:lastRenderedPageBreak/>
        <w:t>От заинтересованных лиц предпринимательского сообщества в рамках</w:t>
      </w:r>
      <w:r w:rsidRPr="00666070">
        <w:rPr>
          <w:sz w:val="28"/>
          <w:szCs w:val="28"/>
        </w:rPr>
        <w:t xml:space="preserve"> проведения публичных консультаций по ОРВ проектов муниципаль</w:t>
      </w:r>
      <w:r w:rsidR="00DD31F0">
        <w:rPr>
          <w:sz w:val="28"/>
          <w:szCs w:val="28"/>
        </w:rPr>
        <w:t>ных НПА за 202</w:t>
      </w:r>
      <w:r w:rsidR="00B25C64">
        <w:rPr>
          <w:sz w:val="28"/>
          <w:szCs w:val="28"/>
        </w:rPr>
        <w:t>5</w:t>
      </w:r>
      <w:r w:rsidR="00CD3E7C">
        <w:rPr>
          <w:sz w:val="28"/>
          <w:szCs w:val="28"/>
        </w:rPr>
        <w:t xml:space="preserve"> год поступило 90</w:t>
      </w:r>
      <w:r w:rsidR="00DB5DA5">
        <w:rPr>
          <w:sz w:val="28"/>
          <w:szCs w:val="28"/>
        </w:rPr>
        <w:t xml:space="preserve"> предложен</w:t>
      </w:r>
      <w:r w:rsidR="00CD3E7C">
        <w:rPr>
          <w:sz w:val="28"/>
          <w:szCs w:val="28"/>
        </w:rPr>
        <w:t>и</w:t>
      </w:r>
      <w:r w:rsidR="008602C6">
        <w:rPr>
          <w:sz w:val="28"/>
          <w:szCs w:val="28"/>
        </w:rPr>
        <w:t>й</w:t>
      </w:r>
      <w:r w:rsidR="00CD3E7C">
        <w:rPr>
          <w:sz w:val="28"/>
          <w:szCs w:val="28"/>
        </w:rPr>
        <w:t xml:space="preserve"> (замечани</w:t>
      </w:r>
      <w:r w:rsidR="008602C6">
        <w:rPr>
          <w:sz w:val="28"/>
          <w:szCs w:val="28"/>
        </w:rPr>
        <w:t>й</w:t>
      </w:r>
      <w:r w:rsidR="00CD3E7C">
        <w:rPr>
          <w:sz w:val="28"/>
          <w:szCs w:val="28"/>
        </w:rPr>
        <w:t>), из них учтено 82</w:t>
      </w:r>
      <w:r w:rsidR="00635037">
        <w:rPr>
          <w:sz w:val="28"/>
          <w:szCs w:val="28"/>
        </w:rPr>
        <w:t xml:space="preserve"> и отклонено</w:t>
      </w:r>
      <w:r w:rsidR="00CD3E7C">
        <w:rPr>
          <w:sz w:val="28"/>
          <w:szCs w:val="28"/>
        </w:rPr>
        <w:t xml:space="preserve"> </w:t>
      </w:r>
      <w:r w:rsidR="00DB5DA5">
        <w:rPr>
          <w:sz w:val="28"/>
          <w:szCs w:val="28"/>
        </w:rPr>
        <w:t>7</w:t>
      </w:r>
      <w:r w:rsidR="00635037">
        <w:rPr>
          <w:sz w:val="28"/>
          <w:szCs w:val="28"/>
        </w:rPr>
        <w:t>, с предоставл</w:t>
      </w:r>
      <w:r w:rsidR="00295FD4">
        <w:rPr>
          <w:sz w:val="28"/>
          <w:szCs w:val="28"/>
        </w:rPr>
        <w:t>ением разъяснений</w:t>
      </w:r>
      <w:r w:rsidR="00DB5DA5">
        <w:rPr>
          <w:sz w:val="28"/>
          <w:szCs w:val="28"/>
        </w:rPr>
        <w:t>, одно замечание учтено частично</w:t>
      </w:r>
      <w:r w:rsidRPr="00666070">
        <w:rPr>
          <w:sz w:val="28"/>
          <w:szCs w:val="28"/>
        </w:rPr>
        <w:t>.</w:t>
      </w:r>
    </w:p>
    <w:p w:rsidR="00A32030" w:rsidRPr="00666070" w:rsidRDefault="002B722D" w:rsidP="00CD3E7C">
      <w:pPr>
        <w:pStyle w:val="a4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городском округе</w:t>
      </w:r>
      <w:r w:rsidRPr="00666070">
        <w:rPr>
          <w:rFonts w:ascii="Times New Roman" w:eastAsia="Times New Roman" w:hAnsi="Times New Roman"/>
          <w:sz w:val="28"/>
          <w:szCs w:val="28"/>
          <w:lang w:eastAsia="ru-RU"/>
        </w:rPr>
        <w:t xml:space="preserve"> Тольятти </w:t>
      </w:r>
      <w:r w:rsidR="00D66B6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2F6D1D" w:rsidRPr="00666070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целях увеличения количества откликов во время проведения публичных консультаций по проектам НПА</w:t>
      </w:r>
      <w:r w:rsidR="00CD3E7C">
        <w:rPr>
          <w:rFonts w:ascii="Times New Roman" w:eastAsia="Times New Roman" w:hAnsi="Times New Roman"/>
          <w:sz w:val="28"/>
          <w:szCs w:val="28"/>
          <w:lang w:eastAsia="ru-RU"/>
        </w:rPr>
        <w:t xml:space="preserve"> и экспертизе действующих НПА действуют 3 соглашения</w:t>
      </w:r>
      <w:r w:rsidR="00D66B6E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взаимодействии в сфере о</w:t>
      </w:r>
      <w:r w:rsidR="00CD3E7C">
        <w:rPr>
          <w:rFonts w:ascii="Times New Roman" w:eastAsia="Times New Roman" w:hAnsi="Times New Roman"/>
          <w:sz w:val="28"/>
          <w:szCs w:val="28"/>
          <w:lang w:eastAsia="ru-RU"/>
        </w:rPr>
        <w:t>ценки регулирующего воздействия.</w:t>
      </w:r>
    </w:p>
    <w:p w:rsidR="001E21F3" w:rsidRDefault="00A32030" w:rsidP="00D264B8">
      <w:pPr>
        <w:spacing w:line="360" w:lineRule="auto"/>
        <w:ind w:firstLine="709"/>
        <w:jc w:val="both"/>
        <w:rPr>
          <w:sz w:val="28"/>
          <w:szCs w:val="28"/>
        </w:rPr>
      </w:pPr>
      <w:r w:rsidRPr="00666070">
        <w:rPr>
          <w:sz w:val="28"/>
          <w:szCs w:val="28"/>
        </w:rPr>
        <w:t xml:space="preserve">Активное взаимодействие </w:t>
      </w:r>
      <w:r w:rsidR="00B1786A">
        <w:rPr>
          <w:sz w:val="28"/>
          <w:szCs w:val="28"/>
        </w:rPr>
        <w:t>органов</w:t>
      </w:r>
      <w:r w:rsidR="00B74FFE">
        <w:rPr>
          <w:sz w:val="28"/>
          <w:szCs w:val="28"/>
        </w:rPr>
        <w:t xml:space="preserve"> местного самоуправления в</w:t>
      </w:r>
      <w:r w:rsidRPr="00666070">
        <w:rPr>
          <w:sz w:val="28"/>
          <w:szCs w:val="28"/>
        </w:rPr>
        <w:t xml:space="preserve"> гор</w:t>
      </w:r>
      <w:r w:rsidR="003A1755" w:rsidRPr="00666070">
        <w:rPr>
          <w:sz w:val="28"/>
          <w:szCs w:val="28"/>
        </w:rPr>
        <w:t>одско</w:t>
      </w:r>
      <w:r w:rsidR="00B74FFE">
        <w:rPr>
          <w:sz w:val="28"/>
          <w:szCs w:val="28"/>
        </w:rPr>
        <w:t>м</w:t>
      </w:r>
      <w:r w:rsidR="003A1755" w:rsidRPr="00666070">
        <w:rPr>
          <w:sz w:val="28"/>
          <w:szCs w:val="28"/>
        </w:rPr>
        <w:t xml:space="preserve"> округ</w:t>
      </w:r>
      <w:r w:rsidR="00B74FFE">
        <w:rPr>
          <w:sz w:val="28"/>
          <w:szCs w:val="28"/>
        </w:rPr>
        <w:t>е</w:t>
      </w:r>
      <w:r w:rsidR="003A1755" w:rsidRPr="00666070">
        <w:rPr>
          <w:sz w:val="28"/>
          <w:szCs w:val="28"/>
        </w:rPr>
        <w:t xml:space="preserve"> Тольятти </w:t>
      </w:r>
      <w:r w:rsidRPr="00666070">
        <w:rPr>
          <w:sz w:val="28"/>
          <w:szCs w:val="28"/>
        </w:rPr>
        <w:t xml:space="preserve">с бизнес-ассоциациями, а также с Уполномоченным по защите прав </w:t>
      </w:r>
      <w:r w:rsidR="003A1755" w:rsidRPr="00666070">
        <w:rPr>
          <w:sz w:val="28"/>
          <w:szCs w:val="28"/>
        </w:rPr>
        <w:t xml:space="preserve">предпринимателей </w:t>
      </w:r>
      <w:r w:rsidR="00D264B8" w:rsidRPr="00666070">
        <w:rPr>
          <w:sz w:val="28"/>
          <w:szCs w:val="28"/>
        </w:rPr>
        <w:t>позволяет избежать введения (пу</w:t>
      </w:r>
      <w:r w:rsidR="00B74FFE">
        <w:rPr>
          <w:sz w:val="28"/>
          <w:szCs w:val="28"/>
        </w:rPr>
        <w:t xml:space="preserve">сть даже не преднамеренного) </w:t>
      </w:r>
      <w:r w:rsidR="003D1E6F">
        <w:rPr>
          <w:sz w:val="28"/>
          <w:szCs w:val="28"/>
        </w:rPr>
        <w:t>избыточных обязанностей и запретов</w:t>
      </w:r>
      <w:r w:rsidR="00D264B8" w:rsidRPr="00666070">
        <w:rPr>
          <w:sz w:val="28"/>
          <w:szCs w:val="28"/>
        </w:rPr>
        <w:t>, отягчающих ведение бизнеса.</w:t>
      </w:r>
    </w:p>
    <w:p w:rsidR="00CD3E7C" w:rsidRPr="00CD3E7C" w:rsidRDefault="00CD3E7C" w:rsidP="00CD3E7C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D3E7C">
        <w:rPr>
          <w:rFonts w:eastAsiaTheme="minorHAnsi"/>
          <w:sz w:val="28"/>
          <w:szCs w:val="28"/>
          <w:lang w:eastAsia="en-US"/>
        </w:rPr>
        <w:t>13 августа на территории бизнес–инкубатора состоялась встреча главы Тольятти Ильи Сухих с предпринимателями города и представителями инфраструктуры поддержки предпринимательства.</w:t>
      </w:r>
    </w:p>
    <w:p w:rsidR="00D264B8" w:rsidRDefault="00CD3E7C" w:rsidP="00CD3E7C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D3E7C">
        <w:rPr>
          <w:rFonts w:eastAsiaTheme="minorHAnsi"/>
          <w:sz w:val="28"/>
          <w:szCs w:val="28"/>
          <w:lang w:eastAsia="en-US"/>
        </w:rPr>
        <w:t xml:space="preserve">В ходе рабочей встречи обсуждались проекты предпринимателей, перспективы развития, условия для ведения бизнеса </w:t>
      </w:r>
      <w:r>
        <w:rPr>
          <w:rFonts w:eastAsiaTheme="minorHAnsi"/>
          <w:sz w:val="28"/>
          <w:szCs w:val="28"/>
          <w:lang w:eastAsia="en-US"/>
        </w:rPr>
        <w:t xml:space="preserve">и проведение процедуры оценки регулирующего воздействия на территории </w:t>
      </w:r>
      <w:r w:rsidR="004B3934">
        <w:rPr>
          <w:rFonts w:eastAsiaTheme="minorHAnsi"/>
          <w:sz w:val="28"/>
          <w:szCs w:val="28"/>
          <w:lang w:eastAsia="en-US"/>
        </w:rPr>
        <w:t>города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CD3E7C" w:rsidRPr="00CD3E7C" w:rsidRDefault="008602C6" w:rsidP="00CD3E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применения обязательных требований на территории городского округа Тольятти проводится в соответствие с Порядком</w:t>
      </w:r>
      <w:r w:rsidR="00CD3E7C">
        <w:rPr>
          <w:sz w:val="28"/>
          <w:szCs w:val="28"/>
        </w:rPr>
        <w:t xml:space="preserve"> установления и оценки применения обязательных </w:t>
      </w:r>
      <w:r>
        <w:rPr>
          <w:sz w:val="28"/>
          <w:szCs w:val="28"/>
        </w:rPr>
        <w:t>требований, устанавливаемых</w:t>
      </w:r>
      <w:r w:rsidR="00D06A7E">
        <w:rPr>
          <w:sz w:val="28"/>
          <w:szCs w:val="28"/>
        </w:rPr>
        <w:t xml:space="preserve"> муниципальными нормативными правовыми актами городского округа Тольятти, утвержденный постановлением администрации городского округа Тольятти от 21.10.2021 № 3393-п/1. </w:t>
      </w:r>
      <w:r>
        <w:rPr>
          <w:sz w:val="28"/>
          <w:szCs w:val="28"/>
        </w:rPr>
        <w:t>05 декабря 2025 года утвержден ежегодный доклад о</w:t>
      </w:r>
      <w:r w:rsidR="00BE4020">
        <w:rPr>
          <w:sz w:val="28"/>
          <w:szCs w:val="28"/>
        </w:rPr>
        <w:t xml:space="preserve"> достижении целей в</w:t>
      </w:r>
      <w:r>
        <w:rPr>
          <w:sz w:val="28"/>
          <w:szCs w:val="28"/>
        </w:rPr>
        <w:t xml:space="preserve">ведения обязательных требований. Доклад размещен на </w:t>
      </w:r>
      <w:r w:rsidR="00983F19">
        <w:rPr>
          <w:sz w:val="28"/>
          <w:szCs w:val="28"/>
        </w:rPr>
        <w:t>официальном сайте администрации городского округа Тольятти (</w:t>
      </w:r>
      <w:hyperlink r:id="rId7" w:history="1">
        <w:r w:rsidR="005E0121" w:rsidRPr="00DF2585">
          <w:rPr>
            <w:rStyle w:val="a6"/>
            <w:sz w:val="28"/>
            <w:szCs w:val="28"/>
          </w:rPr>
          <w:t>https://tgl.ru/files/files/ezhegodnyy-doklad-za-2025-god-o-dostizhenii-</w:t>
        </w:r>
        <w:r w:rsidR="005E0121" w:rsidRPr="00DF2585">
          <w:rPr>
            <w:rStyle w:val="a6"/>
            <w:sz w:val="28"/>
            <w:szCs w:val="28"/>
          </w:rPr>
          <w:lastRenderedPageBreak/>
          <w:t>celey-vvedeniya-obyazatelnyh-trebovaniy_file_1765342564.pdf</w:t>
        </w:r>
      </w:hyperlink>
      <w:r w:rsidR="005E0121">
        <w:rPr>
          <w:sz w:val="28"/>
          <w:szCs w:val="28"/>
        </w:rPr>
        <w:t xml:space="preserve"> </w:t>
      </w:r>
      <w:r w:rsidR="005E0121" w:rsidRPr="005E0121">
        <w:rPr>
          <w:sz w:val="28"/>
          <w:szCs w:val="28"/>
        </w:rPr>
        <w:t>)</w:t>
      </w:r>
      <w:r w:rsidR="00983F19">
        <w:rPr>
          <w:sz w:val="28"/>
          <w:szCs w:val="28"/>
        </w:rPr>
        <w:t xml:space="preserve"> </w:t>
      </w:r>
      <w:r w:rsidR="005E0121">
        <w:rPr>
          <w:sz w:val="28"/>
          <w:szCs w:val="28"/>
        </w:rPr>
        <w:t>и региональном портале ОРВ (</w:t>
      </w:r>
      <w:hyperlink r:id="rId8" w:history="1">
        <w:r w:rsidR="005E0121" w:rsidRPr="00DF2585">
          <w:rPr>
            <w:rStyle w:val="a6"/>
            <w:sz w:val="28"/>
            <w:szCs w:val="28"/>
          </w:rPr>
          <w:t>https://regulation.samregion.ru/Regulation/ORV-OMS/139</w:t>
        </w:r>
      </w:hyperlink>
      <w:r w:rsidR="005E0121">
        <w:rPr>
          <w:sz w:val="28"/>
          <w:szCs w:val="28"/>
        </w:rPr>
        <w:t xml:space="preserve"> ).</w:t>
      </w:r>
      <w:bookmarkStart w:id="0" w:name="_GoBack"/>
      <w:bookmarkEnd w:id="0"/>
    </w:p>
    <w:p w:rsidR="005670A7" w:rsidRPr="00164F57" w:rsidRDefault="005670A7" w:rsidP="00AF64F7">
      <w:pPr>
        <w:jc w:val="both"/>
        <w:rPr>
          <w:sz w:val="28"/>
          <w:szCs w:val="28"/>
        </w:rPr>
      </w:pPr>
    </w:p>
    <w:p w:rsidR="005670A7" w:rsidRPr="00164F57" w:rsidRDefault="005670A7" w:rsidP="00AF64F7">
      <w:pPr>
        <w:spacing w:line="360" w:lineRule="auto"/>
        <w:jc w:val="both"/>
        <w:rPr>
          <w:sz w:val="28"/>
          <w:szCs w:val="28"/>
        </w:rPr>
      </w:pPr>
    </w:p>
    <w:sectPr w:rsidR="005670A7" w:rsidRPr="00164F57" w:rsidSect="001F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90481"/>
    <w:multiLevelType w:val="hybridMultilevel"/>
    <w:tmpl w:val="17545F00"/>
    <w:lvl w:ilvl="0" w:tplc="EB2E00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02614E"/>
    <w:multiLevelType w:val="hybridMultilevel"/>
    <w:tmpl w:val="BDF05856"/>
    <w:lvl w:ilvl="0" w:tplc="F5F443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C9520F8"/>
    <w:multiLevelType w:val="hybridMultilevel"/>
    <w:tmpl w:val="E7067B96"/>
    <w:lvl w:ilvl="0" w:tplc="FCE0E1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340"/>
    <w:rsid w:val="0000638C"/>
    <w:rsid w:val="00024EC1"/>
    <w:rsid w:val="000515D1"/>
    <w:rsid w:val="0006708E"/>
    <w:rsid w:val="00096CC9"/>
    <w:rsid w:val="000C1384"/>
    <w:rsid w:val="00101DF0"/>
    <w:rsid w:val="00104141"/>
    <w:rsid w:val="00164F57"/>
    <w:rsid w:val="00176664"/>
    <w:rsid w:val="00183577"/>
    <w:rsid w:val="0019743B"/>
    <w:rsid w:val="001B4D8B"/>
    <w:rsid w:val="001E21F3"/>
    <w:rsid w:val="001F0CD4"/>
    <w:rsid w:val="001F1734"/>
    <w:rsid w:val="001F1F12"/>
    <w:rsid w:val="00295FD4"/>
    <w:rsid w:val="002B722D"/>
    <w:rsid w:val="002F6D1D"/>
    <w:rsid w:val="00327C6A"/>
    <w:rsid w:val="003A1755"/>
    <w:rsid w:val="003D1E6F"/>
    <w:rsid w:val="00405DFA"/>
    <w:rsid w:val="0041724D"/>
    <w:rsid w:val="004B3934"/>
    <w:rsid w:val="004E27F7"/>
    <w:rsid w:val="004E2D8F"/>
    <w:rsid w:val="005111CA"/>
    <w:rsid w:val="005314DE"/>
    <w:rsid w:val="005670A7"/>
    <w:rsid w:val="005C14EE"/>
    <w:rsid w:val="005E0121"/>
    <w:rsid w:val="00635037"/>
    <w:rsid w:val="00640D6E"/>
    <w:rsid w:val="00660F36"/>
    <w:rsid w:val="00664E1F"/>
    <w:rsid w:val="00666070"/>
    <w:rsid w:val="006A556A"/>
    <w:rsid w:val="006A7C67"/>
    <w:rsid w:val="006F6B3B"/>
    <w:rsid w:val="00763E5F"/>
    <w:rsid w:val="00771C7B"/>
    <w:rsid w:val="00792B5D"/>
    <w:rsid w:val="008602C6"/>
    <w:rsid w:val="008606EB"/>
    <w:rsid w:val="008642D1"/>
    <w:rsid w:val="00982FCD"/>
    <w:rsid w:val="00983F19"/>
    <w:rsid w:val="009925E2"/>
    <w:rsid w:val="009F746D"/>
    <w:rsid w:val="00A22301"/>
    <w:rsid w:val="00A32030"/>
    <w:rsid w:val="00A51816"/>
    <w:rsid w:val="00A62340"/>
    <w:rsid w:val="00AB07A2"/>
    <w:rsid w:val="00AB0FC1"/>
    <w:rsid w:val="00AF64F7"/>
    <w:rsid w:val="00B00924"/>
    <w:rsid w:val="00B1786A"/>
    <w:rsid w:val="00B25C64"/>
    <w:rsid w:val="00B74FFE"/>
    <w:rsid w:val="00B90C5E"/>
    <w:rsid w:val="00B922B9"/>
    <w:rsid w:val="00BA5CD4"/>
    <w:rsid w:val="00BD7C29"/>
    <w:rsid w:val="00BE4020"/>
    <w:rsid w:val="00C24B50"/>
    <w:rsid w:val="00C24C5C"/>
    <w:rsid w:val="00C74E76"/>
    <w:rsid w:val="00C93246"/>
    <w:rsid w:val="00CD0585"/>
    <w:rsid w:val="00CD0A08"/>
    <w:rsid w:val="00CD3E7C"/>
    <w:rsid w:val="00CE51C7"/>
    <w:rsid w:val="00D06A7E"/>
    <w:rsid w:val="00D264B8"/>
    <w:rsid w:val="00D66B6E"/>
    <w:rsid w:val="00DB1D92"/>
    <w:rsid w:val="00DB5DA5"/>
    <w:rsid w:val="00DD31F0"/>
    <w:rsid w:val="00DF3CBE"/>
    <w:rsid w:val="00E25B2E"/>
    <w:rsid w:val="00E66483"/>
    <w:rsid w:val="00E67028"/>
    <w:rsid w:val="00E87AB7"/>
    <w:rsid w:val="00E94D1E"/>
    <w:rsid w:val="00F01A44"/>
    <w:rsid w:val="00F24BCF"/>
    <w:rsid w:val="00F31E4E"/>
    <w:rsid w:val="00F66C7B"/>
    <w:rsid w:val="00F96F22"/>
    <w:rsid w:val="00FA295F"/>
    <w:rsid w:val="00FC339E"/>
    <w:rsid w:val="00FD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A9DEB"/>
  <w15:docId w15:val="{B27A5D49-E3FB-4419-96E8-5CE12CF0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340"/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следний абзац Знак"/>
    <w:basedOn w:val="a0"/>
    <w:link w:val="a4"/>
    <w:locked/>
    <w:rsid w:val="00A62340"/>
    <w:rPr>
      <w:rFonts w:ascii="Calibri" w:hAnsi="Calibri"/>
    </w:rPr>
  </w:style>
  <w:style w:type="paragraph" w:customStyle="1" w:styleId="a4">
    <w:name w:val="Последний абзац"/>
    <w:basedOn w:val="a"/>
    <w:link w:val="a3"/>
    <w:rsid w:val="00A62340"/>
    <w:pPr>
      <w:spacing w:line="360" w:lineRule="auto"/>
      <w:ind w:firstLine="709"/>
      <w:jc w:val="both"/>
    </w:pPr>
    <w:rPr>
      <w:rFonts w:ascii="Calibri" w:eastAsiaTheme="minorHAnsi" w:hAnsi="Calibri"/>
      <w:lang w:eastAsia="en-US"/>
    </w:rPr>
  </w:style>
  <w:style w:type="paragraph" w:styleId="a5">
    <w:name w:val="List Paragraph"/>
    <w:basedOn w:val="a"/>
    <w:uiPriority w:val="34"/>
    <w:qFormat/>
    <w:rsid w:val="002F6D1D"/>
    <w:pPr>
      <w:ind w:left="720"/>
      <w:contextualSpacing/>
    </w:pPr>
    <w:rPr>
      <w:sz w:val="20"/>
      <w:szCs w:val="20"/>
    </w:rPr>
  </w:style>
  <w:style w:type="character" w:styleId="a6">
    <w:name w:val="Hyperlink"/>
    <w:basedOn w:val="a0"/>
    <w:uiPriority w:val="99"/>
    <w:unhideWhenUsed/>
    <w:rsid w:val="00640D6E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1E21F3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1E21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7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ulation.samregion.ru/Regulation/ORV-OMS/1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gl.ru/files/files/ezhegodnyy-doklad-za-2025-god-o-dostizhenii-celey-vvedeniya-obyazatelnyh-trebovaniy_file_176534256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gulation.samregion.ru" TargetMode="External"/><Relationship Id="rId5" Type="http://schemas.openxmlformats.org/officeDocument/2006/relationships/hyperlink" Target="https://regulation.samregion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fedjanova.jab</dc:creator>
  <cp:lastModifiedBy>Анастасия Владимировна Евплова</cp:lastModifiedBy>
  <cp:revision>2</cp:revision>
  <cp:lastPrinted>2025-01-29T10:52:00Z</cp:lastPrinted>
  <dcterms:created xsi:type="dcterms:W3CDTF">2026-01-26T11:46:00Z</dcterms:created>
  <dcterms:modified xsi:type="dcterms:W3CDTF">2026-01-26T11:46:00Z</dcterms:modified>
</cp:coreProperties>
</file>