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3AEE" w14:textId="0E2C154B" w:rsidR="008B4399" w:rsidRPr="009667E4" w:rsidRDefault="00D96C9D" w:rsidP="009667E4">
      <w:pPr>
        <w:ind w:left="5103"/>
        <w:jc w:val="center"/>
        <w:rPr>
          <w:rFonts w:cs="Times New Roman"/>
          <w:szCs w:val="24"/>
        </w:rPr>
      </w:pPr>
      <w:r w:rsidRPr="009667E4">
        <w:rPr>
          <w:rFonts w:cs="Times New Roman"/>
          <w:szCs w:val="24"/>
        </w:rPr>
        <w:t xml:space="preserve">Документ утвержден </w:t>
      </w:r>
      <w:r w:rsidR="008B4399" w:rsidRPr="009667E4">
        <w:rPr>
          <w:rFonts w:cs="Times New Roman"/>
          <w:szCs w:val="24"/>
        </w:rPr>
        <w:t xml:space="preserve">Решением </w:t>
      </w:r>
      <w:r w:rsidR="00B56CC5" w:rsidRPr="009667E4">
        <w:rPr>
          <w:rFonts w:cs="Times New Roman"/>
          <w:szCs w:val="24"/>
        </w:rPr>
        <w:t>Штаба</w:t>
      </w:r>
      <w:r w:rsidR="008B4399" w:rsidRPr="009667E4">
        <w:rPr>
          <w:rFonts w:cs="Times New Roman"/>
          <w:szCs w:val="24"/>
        </w:rPr>
        <w:t xml:space="preserve"> </w:t>
      </w:r>
      <w:r w:rsidR="00BA27B5" w:rsidRPr="009667E4">
        <w:rPr>
          <w:rFonts w:cs="Times New Roman"/>
          <w:szCs w:val="24"/>
        </w:rPr>
        <w:t>по координации хода подготовки к работе в отопительный период 202</w:t>
      </w:r>
      <w:r w:rsidR="00310F00" w:rsidRPr="00310F00">
        <w:rPr>
          <w:rFonts w:cs="Times New Roman"/>
          <w:szCs w:val="24"/>
        </w:rPr>
        <w:t>5</w:t>
      </w:r>
      <w:r w:rsidR="00BA27B5" w:rsidRPr="009667E4">
        <w:rPr>
          <w:rFonts w:cs="Times New Roman"/>
          <w:szCs w:val="24"/>
        </w:rPr>
        <w:t>/</w:t>
      </w:r>
      <w:r w:rsidR="00DB1032">
        <w:rPr>
          <w:rFonts w:cs="Times New Roman"/>
          <w:szCs w:val="24"/>
        </w:rPr>
        <w:t>2</w:t>
      </w:r>
      <w:r w:rsidR="00310F00" w:rsidRPr="00310F00">
        <w:rPr>
          <w:rFonts w:cs="Times New Roman"/>
          <w:szCs w:val="24"/>
        </w:rPr>
        <w:t>6</w:t>
      </w:r>
      <w:r w:rsidR="00BA27B5" w:rsidRPr="009667E4">
        <w:rPr>
          <w:rFonts w:cs="Times New Roman"/>
          <w:szCs w:val="24"/>
        </w:rPr>
        <w:t xml:space="preserve"> годов</w:t>
      </w:r>
    </w:p>
    <w:p w14:paraId="3D712CF8" w14:textId="1784A846" w:rsidR="008B4399" w:rsidRPr="008E5B29" w:rsidRDefault="008B4399" w:rsidP="009667E4">
      <w:pPr>
        <w:ind w:left="5103"/>
        <w:jc w:val="center"/>
        <w:rPr>
          <w:rFonts w:cs="Times New Roman"/>
          <w:szCs w:val="24"/>
        </w:rPr>
      </w:pPr>
      <w:r w:rsidRPr="008E5B29">
        <w:rPr>
          <w:rFonts w:cs="Times New Roman"/>
          <w:szCs w:val="24"/>
        </w:rPr>
        <w:t>Протокол №___от</w:t>
      </w:r>
      <w:r w:rsidR="00BA27B5" w:rsidRPr="008E5B29">
        <w:rPr>
          <w:rFonts w:cs="Times New Roman"/>
          <w:szCs w:val="24"/>
        </w:rPr>
        <w:t xml:space="preserve"> «___</w:t>
      </w:r>
      <w:proofErr w:type="gramStart"/>
      <w:r w:rsidR="00BA27B5" w:rsidRPr="008E5B29">
        <w:rPr>
          <w:rFonts w:cs="Times New Roman"/>
          <w:szCs w:val="24"/>
        </w:rPr>
        <w:t>_»</w:t>
      </w:r>
      <w:r w:rsidRPr="008E5B29">
        <w:rPr>
          <w:rFonts w:cs="Times New Roman"/>
          <w:szCs w:val="24"/>
        </w:rPr>
        <w:t>_</w:t>
      </w:r>
      <w:proofErr w:type="gramEnd"/>
      <w:r w:rsidRPr="008E5B29">
        <w:rPr>
          <w:rFonts w:cs="Times New Roman"/>
          <w:szCs w:val="24"/>
        </w:rPr>
        <w:t>______</w:t>
      </w:r>
      <w:r w:rsidR="00B56CC5" w:rsidRPr="008E5B29">
        <w:rPr>
          <w:rFonts w:cs="Times New Roman"/>
          <w:szCs w:val="24"/>
        </w:rPr>
        <w:t xml:space="preserve"> </w:t>
      </w:r>
      <w:r w:rsidRPr="008E5B29">
        <w:rPr>
          <w:rFonts w:cs="Times New Roman"/>
          <w:szCs w:val="24"/>
        </w:rPr>
        <w:t>20</w:t>
      </w:r>
      <w:r w:rsidR="00BA27B5" w:rsidRPr="008E5B29">
        <w:rPr>
          <w:rFonts w:cs="Times New Roman"/>
          <w:szCs w:val="24"/>
        </w:rPr>
        <w:t>2</w:t>
      </w:r>
      <w:r w:rsidR="00310F00" w:rsidRPr="008E5B29">
        <w:rPr>
          <w:rFonts w:cs="Times New Roman"/>
          <w:szCs w:val="24"/>
        </w:rPr>
        <w:t>5</w:t>
      </w:r>
      <w:r w:rsidR="00BA27B5" w:rsidRPr="008E5B29">
        <w:rPr>
          <w:rFonts w:cs="Times New Roman"/>
          <w:szCs w:val="24"/>
        </w:rPr>
        <w:t xml:space="preserve"> </w:t>
      </w:r>
      <w:r w:rsidRPr="008E5B29">
        <w:rPr>
          <w:rFonts w:cs="Times New Roman"/>
          <w:szCs w:val="24"/>
        </w:rPr>
        <w:t>г.</w:t>
      </w:r>
    </w:p>
    <w:p w14:paraId="54F4627A" w14:textId="77777777" w:rsidR="00BD10B9" w:rsidRDefault="00BD10B9" w:rsidP="00BD10B9">
      <w:pPr>
        <w:spacing w:before="120"/>
        <w:ind w:left="1134" w:right="1134"/>
        <w:jc w:val="center"/>
        <w:rPr>
          <w:rFonts w:eastAsia="Times New Roman" w:cs="Times New Roman"/>
          <w:b/>
          <w:bCs/>
          <w:kern w:val="0"/>
          <w:sz w:val="36"/>
          <w:szCs w:val="24"/>
          <w:lang w:eastAsia="ru-RU"/>
          <w14:ligatures w14:val="none"/>
        </w:rPr>
      </w:pPr>
    </w:p>
    <w:p w14:paraId="21D05370" w14:textId="159EEE2B" w:rsidR="00BD10B9" w:rsidRDefault="00BD10B9" w:rsidP="00BD10B9">
      <w:pPr>
        <w:spacing w:before="120"/>
        <w:ind w:right="-2"/>
        <w:jc w:val="center"/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</w:pPr>
      <w:r w:rsidRPr="00BD10B9">
        <w:rPr>
          <w:rFonts w:eastAsia="Times New Roman" w:cs="Times New Roman"/>
          <w:b/>
          <w:bCs/>
          <w:kern w:val="0"/>
          <w:sz w:val="36"/>
          <w:szCs w:val="24"/>
          <w:lang w:eastAsia="ru-RU"/>
          <w14:ligatures w14:val="none"/>
        </w:rPr>
        <w:t>ПРОЕКТ</w:t>
      </w:r>
    </w:p>
    <w:p w14:paraId="39D6EFD3" w14:textId="1BD6FDB9" w:rsidR="008B4399" w:rsidRPr="009667E4" w:rsidRDefault="008B4399" w:rsidP="00BD10B9">
      <w:pPr>
        <w:spacing w:before="600"/>
        <w:ind w:right="-2"/>
        <w:jc w:val="center"/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</w:pPr>
      <w:r w:rsidRPr="009667E4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ПРОГРАММА</w:t>
      </w:r>
    </w:p>
    <w:p w14:paraId="09C284B8" w14:textId="77777777" w:rsidR="00B56BC5" w:rsidRPr="00BD10B9" w:rsidRDefault="00745297" w:rsidP="00BD10B9">
      <w:pPr>
        <w:ind w:right="-2"/>
        <w:jc w:val="center"/>
        <w:rPr>
          <w:sz w:val="28"/>
          <w:szCs w:val="24"/>
        </w:rPr>
      </w:pPr>
      <w:r w:rsidRPr="00BD10B9">
        <w:rPr>
          <w:sz w:val="28"/>
          <w:szCs w:val="24"/>
        </w:rPr>
        <w:t xml:space="preserve">проведения проверок готовности </w:t>
      </w:r>
      <w:r w:rsidR="00B56BC5" w:rsidRPr="00BD10B9">
        <w:rPr>
          <w:sz w:val="28"/>
          <w:szCs w:val="24"/>
        </w:rPr>
        <w:t xml:space="preserve">теплоснабжающих, </w:t>
      </w:r>
      <w:proofErr w:type="spellStart"/>
      <w:r w:rsidR="00B56BC5" w:rsidRPr="00BD10B9">
        <w:rPr>
          <w:sz w:val="28"/>
          <w:szCs w:val="24"/>
        </w:rPr>
        <w:t>теплосетевых</w:t>
      </w:r>
      <w:proofErr w:type="spellEnd"/>
      <w:r w:rsidR="00B56BC5" w:rsidRPr="00BD10B9">
        <w:rPr>
          <w:sz w:val="28"/>
          <w:szCs w:val="24"/>
        </w:rPr>
        <w:t xml:space="preserve"> организаций, потребителей тепловой энергии, организаций по производству тепловой и электрической энергии в режиме комбинированной выработки и владельцев тепловых сетей, которые не являются </w:t>
      </w:r>
      <w:proofErr w:type="spellStart"/>
      <w:r w:rsidR="00B56BC5" w:rsidRPr="00BD10B9">
        <w:rPr>
          <w:sz w:val="28"/>
          <w:szCs w:val="24"/>
        </w:rPr>
        <w:t>теплосетевыми</w:t>
      </w:r>
      <w:proofErr w:type="spellEnd"/>
      <w:r w:rsidR="00B56BC5" w:rsidRPr="00BD10B9">
        <w:rPr>
          <w:sz w:val="28"/>
          <w:szCs w:val="24"/>
        </w:rPr>
        <w:t xml:space="preserve"> организациями к отопительному периоду 2025/26 годов</w:t>
      </w:r>
    </w:p>
    <w:p w14:paraId="3AE47228" w14:textId="066A49E9" w:rsidR="00745297" w:rsidRPr="008D4256" w:rsidRDefault="00745297" w:rsidP="008D4256">
      <w:pPr>
        <w:pStyle w:val="a3"/>
        <w:spacing w:before="120"/>
        <w:ind w:left="284"/>
        <w:contextualSpacing w:val="0"/>
        <w:jc w:val="center"/>
        <w:rPr>
          <w:szCs w:val="24"/>
        </w:rPr>
      </w:pPr>
    </w:p>
    <w:p w14:paraId="7652C044" w14:textId="7DC738C5" w:rsidR="00B11479" w:rsidRPr="00BD10B9" w:rsidRDefault="008B20D8" w:rsidP="00BD10B9">
      <w:pPr>
        <w:spacing w:line="276" w:lineRule="auto"/>
        <w:ind w:firstLine="851"/>
        <w:jc w:val="both"/>
        <w:rPr>
          <w:sz w:val="28"/>
          <w:szCs w:val="28"/>
        </w:rPr>
      </w:pPr>
      <w:r w:rsidRPr="00BD10B9">
        <w:rPr>
          <w:sz w:val="28"/>
          <w:szCs w:val="28"/>
        </w:rPr>
        <w:t xml:space="preserve">Проверка проводится комиссией, утвержденной </w:t>
      </w:r>
      <w:r w:rsidR="00B04B98" w:rsidRPr="00BD10B9">
        <w:rPr>
          <w:sz w:val="28"/>
          <w:szCs w:val="28"/>
        </w:rPr>
        <w:t xml:space="preserve">постановлением администрации городского округа Тольятти от </w:t>
      </w:r>
      <w:r w:rsidR="00BD10B9" w:rsidRPr="00BD10B9">
        <w:rPr>
          <w:sz w:val="28"/>
          <w:szCs w:val="28"/>
        </w:rPr>
        <w:t>25.07.</w:t>
      </w:r>
      <w:r w:rsidR="00B04B98" w:rsidRPr="00BD10B9">
        <w:rPr>
          <w:sz w:val="28"/>
          <w:szCs w:val="28"/>
        </w:rPr>
        <w:t>202</w:t>
      </w:r>
      <w:r w:rsidR="00741A78" w:rsidRPr="00BD10B9">
        <w:rPr>
          <w:sz w:val="28"/>
          <w:szCs w:val="28"/>
        </w:rPr>
        <w:t>5</w:t>
      </w:r>
      <w:r w:rsidR="00B04B98" w:rsidRPr="00BD10B9">
        <w:rPr>
          <w:sz w:val="28"/>
          <w:szCs w:val="28"/>
        </w:rPr>
        <w:t xml:space="preserve"> № </w:t>
      </w:r>
      <w:r w:rsidR="00BD10B9" w:rsidRPr="00BD10B9">
        <w:rPr>
          <w:sz w:val="28"/>
          <w:szCs w:val="28"/>
        </w:rPr>
        <w:t>1325</w:t>
      </w:r>
      <w:r w:rsidR="00B04B98" w:rsidRPr="00BD10B9">
        <w:rPr>
          <w:sz w:val="28"/>
          <w:szCs w:val="28"/>
        </w:rPr>
        <w:t xml:space="preserve">-п/1 «О </w:t>
      </w:r>
      <w:r w:rsidR="009B6703" w:rsidRPr="00BD10B9">
        <w:rPr>
          <w:sz w:val="28"/>
          <w:szCs w:val="28"/>
        </w:rPr>
        <w:t xml:space="preserve">комиссии по оценке готовности теплоснабжающих, </w:t>
      </w:r>
      <w:proofErr w:type="spellStart"/>
      <w:r w:rsidR="009B6703" w:rsidRPr="00BD10B9">
        <w:rPr>
          <w:sz w:val="28"/>
          <w:szCs w:val="28"/>
        </w:rPr>
        <w:t>теплосетевых</w:t>
      </w:r>
      <w:proofErr w:type="spellEnd"/>
      <w:r w:rsidR="009B6703" w:rsidRPr="00BD10B9">
        <w:rPr>
          <w:sz w:val="28"/>
          <w:szCs w:val="28"/>
        </w:rPr>
        <w:t xml:space="preserve"> организаций, потребителей тепловой энергии, организаций по производству тепловой и электрической энергии в режиме комбинированной выработки и владельцев тепловых сетей, которые не являются </w:t>
      </w:r>
      <w:proofErr w:type="spellStart"/>
      <w:r w:rsidR="009B6703" w:rsidRPr="00BD10B9">
        <w:rPr>
          <w:sz w:val="28"/>
          <w:szCs w:val="28"/>
        </w:rPr>
        <w:t>теплосетевыми</w:t>
      </w:r>
      <w:proofErr w:type="spellEnd"/>
      <w:r w:rsidR="009B6703" w:rsidRPr="00BD10B9">
        <w:rPr>
          <w:sz w:val="28"/>
          <w:szCs w:val="28"/>
        </w:rPr>
        <w:t xml:space="preserve"> организациями к отопительному периоду 2025/26 годов</w:t>
      </w:r>
      <w:r w:rsidR="000B49EE" w:rsidRPr="00BD10B9">
        <w:rPr>
          <w:sz w:val="28"/>
          <w:szCs w:val="28"/>
        </w:rPr>
        <w:t xml:space="preserve">» </w:t>
      </w:r>
      <w:r w:rsidRPr="00BD10B9">
        <w:rPr>
          <w:sz w:val="28"/>
          <w:szCs w:val="28"/>
        </w:rPr>
        <w:t xml:space="preserve">(далее </w:t>
      </w:r>
      <w:r w:rsidR="00B04B98" w:rsidRPr="00BD10B9">
        <w:rPr>
          <w:sz w:val="28"/>
          <w:szCs w:val="28"/>
        </w:rPr>
        <w:t>–</w:t>
      </w:r>
      <w:r w:rsidRPr="00BD10B9">
        <w:rPr>
          <w:sz w:val="28"/>
          <w:szCs w:val="28"/>
        </w:rPr>
        <w:t xml:space="preserve"> </w:t>
      </w:r>
      <w:r w:rsidR="00B04B98" w:rsidRPr="00BD10B9">
        <w:rPr>
          <w:sz w:val="28"/>
          <w:szCs w:val="28"/>
        </w:rPr>
        <w:t>Комиссия по оценке</w:t>
      </w:r>
      <w:r w:rsidRPr="00BD10B9">
        <w:rPr>
          <w:sz w:val="28"/>
          <w:szCs w:val="28"/>
        </w:rPr>
        <w:t xml:space="preserve">), в соответствии с </w:t>
      </w:r>
      <w:r w:rsidR="00B11479" w:rsidRPr="00BD10B9">
        <w:rPr>
          <w:sz w:val="28"/>
          <w:szCs w:val="28"/>
        </w:rPr>
        <w:t xml:space="preserve">приказом Минэнерго РФ от 29.11.2024 №2234 «Об утверждении Правил обеспечения готовности к </w:t>
      </w:r>
      <w:r w:rsidR="00700D5A" w:rsidRPr="00BD10B9">
        <w:rPr>
          <w:sz w:val="28"/>
          <w:szCs w:val="28"/>
        </w:rPr>
        <w:t>отопительному</w:t>
      </w:r>
      <w:r w:rsidR="00B11479" w:rsidRPr="00BD10B9">
        <w:rPr>
          <w:sz w:val="28"/>
          <w:szCs w:val="28"/>
        </w:rPr>
        <w:t xml:space="preserve"> периоду и Порядка </w:t>
      </w:r>
      <w:r w:rsidR="008D4256" w:rsidRPr="00BD10B9">
        <w:rPr>
          <w:sz w:val="28"/>
          <w:szCs w:val="28"/>
        </w:rPr>
        <w:t>проведения оценки</w:t>
      </w:r>
      <w:r w:rsidR="00B11479" w:rsidRPr="00BD10B9">
        <w:rPr>
          <w:sz w:val="28"/>
          <w:szCs w:val="28"/>
        </w:rPr>
        <w:t xml:space="preserve"> готовности к </w:t>
      </w:r>
      <w:r w:rsidR="00700D5A" w:rsidRPr="00BD10B9">
        <w:rPr>
          <w:sz w:val="28"/>
          <w:szCs w:val="28"/>
        </w:rPr>
        <w:t>отопительному</w:t>
      </w:r>
      <w:r w:rsidR="00B11479" w:rsidRPr="00BD10B9">
        <w:rPr>
          <w:sz w:val="28"/>
          <w:szCs w:val="28"/>
        </w:rPr>
        <w:t xml:space="preserve"> периоду»</w:t>
      </w:r>
      <w:r w:rsidR="008D4256" w:rsidRPr="00BD10B9">
        <w:rPr>
          <w:sz w:val="28"/>
          <w:szCs w:val="28"/>
        </w:rPr>
        <w:t xml:space="preserve"> (далее – Правила).</w:t>
      </w:r>
    </w:p>
    <w:p w14:paraId="76E787EA" w14:textId="20FBB9A8" w:rsidR="00B04B98" w:rsidRPr="00BD10B9" w:rsidRDefault="00B04B98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При проведении проверки Комиссия </w:t>
      </w:r>
      <w:r w:rsidRPr="00BD10B9">
        <w:rPr>
          <w:sz w:val="28"/>
          <w:szCs w:val="28"/>
        </w:rPr>
        <w:t>по оценке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рассматривает документы, подтверждающие выполнение требований </w:t>
      </w:r>
      <w:r w:rsidR="00E5203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по готовности,</w:t>
      </w:r>
      <w:r w:rsidR="00BE7091" w:rsidRPr="00BD10B9">
        <w:rPr>
          <w:sz w:val="28"/>
          <w:szCs w:val="28"/>
        </w:rPr>
        <w:t xml:space="preserve"> </w:t>
      </w:r>
      <w:r w:rsidR="00BE7091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установленных Правил</w:t>
      </w:r>
      <w:r w:rsidR="008D4256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ами,</w:t>
      </w:r>
      <w:r w:rsidR="00D537A9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при необходимости - </w:t>
      </w:r>
      <w:r w:rsidR="00BE7091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осуществляет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осмотр объектов проверки.</w:t>
      </w:r>
    </w:p>
    <w:p w14:paraId="365B5D6A" w14:textId="449571DB" w:rsidR="00EF2C54" w:rsidRPr="00BD10B9" w:rsidRDefault="00EF2C54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Теплоснабжающие и </w:t>
      </w:r>
      <w:proofErr w:type="spellStart"/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теплосетевые</w:t>
      </w:r>
      <w:proofErr w:type="spellEnd"/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организации, </w:t>
      </w:r>
      <w:r w:rsidR="00E5203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E52038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ладельцы тепловых сетей, которые не являются </w:t>
      </w:r>
      <w:proofErr w:type="spellStart"/>
      <w:r w:rsidR="00E52038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теплосетевыми</w:t>
      </w:r>
      <w:proofErr w:type="spellEnd"/>
      <w:r w:rsidR="00E52038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организациями,</w:t>
      </w:r>
      <w:r w:rsidR="00E5203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а также организации по производству тепловой и электрической энергии в режиме комбинированной выработки</w:t>
      </w:r>
      <w:r w:rsidR="00D537A9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D4489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потребители тепловой энергии,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формируют пакет документов, в соответствии с перечнем </w:t>
      </w:r>
      <w:r w:rsidR="003C3DF0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документов,</w:t>
      </w:r>
      <w:r w:rsidR="009500EF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прописанных в оценочных листах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необходимо представить в </w:t>
      </w:r>
      <w:r w:rsidR="000B49EE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Комиссию по оценке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8CEACB" w14:textId="2B6BC6B0" w:rsidR="00C545AF" w:rsidRPr="00BD10B9" w:rsidRDefault="00C545AF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Результаты </w:t>
      </w:r>
      <w:r w:rsidR="00FF6283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оценки обеспечения готовности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оформляются </w:t>
      </w:r>
      <w:r w:rsidR="00FF6283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в акте,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который составляется </w:t>
      </w:r>
      <w:r w:rsidR="003C3DF0" w:rsidRPr="00BD10B9">
        <w:rPr>
          <w:rStyle w:val="FontStyle88"/>
          <w:sz w:val="28"/>
          <w:szCs w:val="28"/>
        </w:rPr>
        <w:t>не позднее одного рабочего дня с даты завершения оценки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B2A2D7" w14:textId="77777777" w:rsidR="00621897" w:rsidRPr="00BD10B9" w:rsidRDefault="00FF6283" w:rsidP="00BD10B9">
      <w:pPr>
        <w:pStyle w:val="a3"/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К акту прилагается заполненный оценочный лист на каждый объект оценки.</w:t>
      </w:r>
    </w:p>
    <w:p w14:paraId="2DFD4B58" w14:textId="1D34B93A" w:rsidR="00FF6283" w:rsidRPr="00BD10B9" w:rsidRDefault="00FF6283" w:rsidP="00BD10B9">
      <w:pPr>
        <w:pStyle w:val="a3"/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84E1B" w14:textId="395418DA" w:rsidR="00C545AF" w:rsidRPr="00BD10B9" w:rsidRDefault="00C545AF" w:rsidP="003171B2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Акте содержатся следующие выводы комиссии по итогам проверки:</w:t>
      </w:r>
    </w:p>
    <w:p w14:paraId="77E9971A" w14:textId="790A95E8" w:rsidR="00A4274B" w:rsidRPr="00BD10B9" w:rsidRDefault="00482FD3" w:rsidP="00945761">
      <w:pPr>
        <w:pStyle w:val="a3"/>
        <w:numPr>
          <w:ilvl w:val="0"/>
          <w:numId w:val="34"/>
        </w:numPr>
        <w:spacing w:line="276" w:lineRule="auto"/>
        <w:ind w:left="0" w:firstLine="851"/>
        <w:contextualSpacing w:val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уровень готовности </w:t>
      </w:r>
      <w:r w:rsidR="00A4274B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объект</w:t>
      </w:r>
      <w:r w:rsidR="00AD7F16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а</w:t>
      </w:r>
      <w:r w:rsidR="00A4274B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проверки </w:t>
      </w:r>
      <w:r w:rsidR="00005BC9" w:rsidRPr="00BD10B9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«Не готов»</w:t>
      </w:r>
      <w:r w:rsidR="00D97027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="00E47282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5761">
        <w:rPr>
          <w:rFonts w:eastAsia="Times New Roman"/>
          <w:kern w:val="0"/>
          <w:sz w:val="28"/>
          <w:szCs w:val="28"/>
          <w:lang w:eastAsia="ru-RU"/>
          <w14:ligatures w14:val="none"/>
        </w:rPr>
        <w:br/>
      </w:r>
      <w:r w:rsidR="00D97027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если индекс готовности меньше </w:t>
      </w:r>
      <w:r w:rsidR="00D97027" w:rsidRPr="0094576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0,8</w:t>
      </w:r>
      <w:r w:rsidR="00005BC9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274B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;</w:t>
      </w:r>
    </w:p>
    <w:p w14:paraId="6F8C1D34" w14:textId="3E78241E" w:rsidR="00E47282" w:rsidRPr="00BD10B9" w:rsidRDefault="00E47282" w:rsidP="00945761">
      <w:pPr>
        <w:pStyle w:val="a3"/>
        <w:numPr>
          <w:ilvl w:val="0"/>
          <w:numId w:val="34"/>
        </w:numPr>
        <w:spacing w:line="276" w:lineRule="auto"/>
        <w:ind w:left="0" w:firstLine="851"/>
        <w:contextualSpacing w:val="0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уровень готовности объекта проверки </w:t>
      </w:r>
      <w:r w:rsidRPr="0094576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«Готов с условиями»</w:t>
      </w: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="00945761">
        <w:rPr>
          <w:rFonts w:eastAsia="Times New Roman"/>
          <w:kern w:val="0"/>
          <w:sz w:val="28"/>
          <w:szCs w:val="28"/>
          <w:lang w:eastAsia="ru-RU"/>
          <w14:ligatures w14:val="none"/>
        </w:rPr>
        <w:br/>
      </w: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если индекс готовности меньше </w:t>
      </w:r>
      <w:r w:rsidRPr="0094576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0,9</w:t>
      </w: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;</w:t>
      </w:r>
    </w:p>
    <w:p w14:paraId="08C625D4" w14:textId="29CFBF09" w:rsidR="00945761" w:rsidRPr="00945761" w:rsidRDefault="00E47282" w:rsidP="00945761">
      <w:pPr>
        <w:pStyle w:val="a3"/>
        <w:numPr>
          <w:ilvl w:val="0"/>
          <w:numId w:val="34"/>
        </w:numPr>
        <w:spacing w:line="276" w:lineRule="auto"/>
        <w:ind w:left="0" w:firstLine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945761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уровень готовности объекта проверки </w:t>
      </w:r>
      <w:r w:rsidRPr="0094576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«Готов»</w:t>
      </w:r>
      <w:r w:rsidRPr="00945761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- </w:t>
      </w:r>
    </w:p>
    <w:p w14:paraId="1FD0D893" w14:textId="11586FCF" w:rsidR="00E47282" w:rsidRPr="00BD10B9" w:rsidRDefault="00E47282" w:rsidP="00BD10B9">
      <w:pPr>
        <w:spacing w:line="276" w:lineRule="auto"/>
        <w:ind w:firstLine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если индекс готовн</w:t>
      </w:r>
      <w:bookmarkStart w:id="0" w:name="_GoBack"/>
      <w:bookmarkEnd w:id="0"/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ости </w:t>
      </w:r>
      <w:r w:rsidR="00DE4D84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больше </w:t>
      </w:r>
      <w:r w:rsidR="00767AC3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либо</w:t>
      </w:r>
      <w:r w:rsidR="00DE4D84"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равен </w:t>
      </w:r>
      <w:r w:rsidRPr="0094576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0,</w:t>
      </w:r>
      <w:r w:rsidR="00DE4D84" w:rsidRPr="0094576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9</w:t>
      </w:r>
      <w:r w:rsidRPr="00BD10B9">
        <w:rPr>
          <w:rFonts w:eastAsia="Times New Roman"/>
          <w:kern w:val="0"/>
          <w:sz w:val="28"/>
          <w:szCs w:val="28"/>
          <w:lang w:eastAsia="ru-RU"/>
          <w14:ligatures w14:val="none"/>
        </w:rPr>
        <w:t>;</w:t>
      </w:r>
    </w:p>
    <w:p w14:paraId="261F8990" w14:textId="782D4B30" w:rsidR="008B4399" w:rsidRPr="00BD10B9" w:rsidRDefault="00C545AF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При наличии у </w:t>
      </w:r>
      <w:r w:rsidR="000D6CFE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оценке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замечаний к выполнению требований по готовности или при невыполнении требований по готовности </w:t>
      </w:r>
      <w:r w:rsidR="00E930A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в оценочном листе указывается срок устранения выявленных замечаний.</w:t>
      </w:r>
    </w:p>
    <w:p w14:paraId="695938AD" w14:textId="2AA0EC69" w:rsidR="00C545AF" w:rsidRPr="00BD10B9" w:rsidRDefault="00B767AB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Паспорт готовности к отопительному периоду (далее - Паспорт) составляется на организацию в целом </w:t>
      </w:r>
      <w:r w:rsidR="00F841B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и выдается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в течение </w:t>
      </w:r>
      <w:r w:rsidR="00F841B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дней с даты подписания </w:t>
      </w:r>
      <w:r w:rsidR="00F841B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Акта (последнего Акта, если несколько объектов)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случае, если </w:t>
      </w:r>
      <w:r w:rsidR="00F841B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организация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готов</w:t>
      </w:r>
      <w:r w:rsidR="00F841B8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к отопительному периоду, а также в случае, если замечания, выданные </w:t>
      </w:r>
      <w:r w:rsidR="000D6CFE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Комиссией по оценке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, устранены.</w:t>
      </w:r>
    </w:p>
    <w:p w14:paraId="45F93838" w14:textId="147AFE50" w:rsidR="00F841B8" w:rsidRPr="00BD10B9" w:rsidRDefault="00F841B8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Предельные сроки выдачи Паспортов:</w:t>
      </w:r>
    </w:p>
    <w:p w14:paraId="6A606853" w14:textId="10ED658C" w:rsidR="00F841B8" w:rsidRPr="00BD10B9" w:rsidRDefault="00033A35" w:rsidP="00BD10B9">
      <w:pPr>
        <w:spacing w:line="276" w:lineRule="auto"/>
        <w:ind w:firstLine="851"/>
        <w:jc w:val="both"/>
        <w:rPr>
          <w:sz w:val="28"/>
          <w:szCs w:val="28"/>
        </w:rPr>
      </w:pPr>
      <w:r w:rsidRPr="00BD10B9">
        <w:rPr>
          <w:sz w:val="28"/>
          <w:szCs w:val="28"/>
        </w:rPr>
        <w:t xml:space="preserve">- </w:t>
      </w:r>
      <w:r w:rsidR="00F841B8" w:rsidRPr="00BD10B9">
        <w:rPr>
          <w:sz w:val="28"/>
          <w:szCs w:val="28"/>
        </w:rPr>
        <w:t>до 15 сентября – для потребителей тепловой энергии.</w:t>
      </w:r>
    </w:p>
    <w:p w14:paraId="0A19924A" w14:textId="42C3E89E" w:rsidR="00F841B8" w:rsidRPr="00BD10B9" w:rsidRDefault="00033A35" w:rsidP="00BD10B9">
      <w:pPr>
        <w:spacing w:line="276" w:lineRule="auto"/>
        <w:ind w:firstLine="851"/>
        <w:jc w:val="both"/>
        <w:rPr>
          <w:sz w:val="28"/>
          <w:szCs w:val="28"/>
        </w:rPr>
      </w:pPr>
      <w:r w:rsidRPr="00BD10B9">
        <w:rPr>
          <w:sz w:val="28"/>
          <w:szCs w:val="28"/>
        </w:rPr>
        <w:t xml:space="preserve">- </w:t>
      </w:r>
      <w:r w:rsidR="00F841B8" w:rsidRPr="00BD10B9">
        <w:rPr>
          <w:sz w:val="28"/>
          <w:szCs w:val="28"/>
        </w:rPr>
        <w:t xml:space="preserve">до 1 ноября – для теплоснабжающих, </w:t>
      </w:r>
      <w:proofErr w:type="spellStart"/>
      <w:r w:rsidR="00F841B8" w:rsidRPr="00BD10B9">
        <w:rPr>
          <w:sz w:val="28"/>
          <w:szCs w:val="28"/>
        </w:rPr>
        <w:t>теплосетевых</w:t>
      </w:r>
      <w:proofErr w:type="spellEnd"/>
      <w:r w:rsidR="00F841B8" w:rsidRPr="00BD10B9">
        <w:rPr>
          <w:sz w:val="28"/>
          <w:szCs w:val="28"/>
        </w:rPr>
        <w:t xml:space="preserve"> организаций;</w:t>
      </w:r>
    </w:p>
    <w:p w14:paraId="0615C98D" w14:textId="59A512FF" w:rsidR="00F841B8" w:rsidRPr="00BD10B9" w:rsidRDefault="00F841B8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Организация, не получившая по объектам проверки Паспорт готовности до даты, установленной пунктом </w:t>
      </w:r>
      <w:r w:rsidR="007B2297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настоящей Программы, обязана продолжить подготовку к отопительному периоду и устранение замечаний. После уведомления </w:t>
      </w:r>
      <w:r w:rsidR="00BE7091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оценке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об устранении замечаний</w:t>
      </w:r>
      <w:r w:rsidR="0070463C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, не позднее 14 календарных дней со дня получения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</w:t>
      </w:r>
      <w:proofErr w:type="gramStart"/>
      <w:r w:rsidR="0070463C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="0070463C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но без выдачи </w:t>
      </w:r>
      <w:r w:rsidR="00BE7091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Паспорта </w:t>
      </w: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в текущий отопительный период</w:t>
      </w:r>
      <w:r w:rsidR="0070463C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в случае превышения сроков указанных в п. 7</w:t>
      </w:r>
      <w:r w:rsidR="00BD10B9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463C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Программы</w:t>
      </w:r>
      <w:r w:rsidR="00EE2D62"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42208E" w14:textId="7F28BDC1" w:rsidR="00F841B8" w:rsidRDefault="00BE7091" w:rsidP="00BD10B9">
      <w:pPr>
        <w:pStyle w:val="a3"/>
        <w:numPr>
          <w:ilvl w:val="0"/>
          <w:numId w:val="27"/>
        </w:numPr>
        <w:spacing w:line="276" w:lineRule="auto"/>
        <w:ind w:left="0" w:firstLine="851"/>
        <w:contextualSpacing w:val="0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D10B9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График проведения проверок:</w:t>
      </w:r>
    </w:p>
    <w:tbl>
      <w:tblPr>
        <w:tblStyle w:val="a5"/>
        <w:tblW w:w="4985" w:type="pct"/>
        <w:tblInd w:w="0" w:type="dxa"/>
        <w:tblLook w:val="04A0" w:firstRow="1" w:lastRow="0" w:firstColumn="1" w:lastColumn="0" w:noHBand="0" w:noVBand="1"/>
      </w:tblPr>
      <w:tblGrid>
        <w:gridCol w:w="1218"/>
        <w:gridCol w:w="4839"/>
        <w:gridCol w:w="3541"/>
      </w:tblGrid>
      <w:tr w:rsidR="007B2297" w:rsidRPr="00370D0B" w14:paraId="652BF47A" w14:textId="77777777" w:rsidTr="007B2297">
        <w:trPr>
          <w:trHeight w:val="1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841" w14:textId="77777777" w:rsidR="007B2297" w:rsidRPr="00621897" w:rsidRDefault="007B2297" w:rsidP="00380FA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1897">
              <w:rPr>
                <w:rFonts w:eastAsia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3F44" w14:textId="4EFD067D" w:rsidR="007B2297" w:rsidRPr="00621897" w:rsidRDefault="007B2297" w:rsidP="00380FA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1897">
              <w:rPr>
                <w:rFonts w:eastAsia="Times New Roman" w:cs="Times New Roman"/>
                <w:b/>
                <w:bCs/>
                <w:szCs w:val="24"/>
              </w:rPr>
              <w:t>Наименование объектов проверки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02C0" w14:textId="14EFFCED" w:rsidR="007B2297" w:rsidRPr="00621897" w:rsidRDefault="007B2297" w:rsidP="00380FA4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1897">
              <w:rPr>
                <w:rFonts w:eastAsia="Times New Roman" w:cs="Times New Roman"/>
                <w:b/>
                <w:bCs/>
                <w:szCs w:val="24"/>
              </w:rPr>
              <w:t>Сроки проведения проверки</w:t>
            </w:r>
          </w:p>
        </w:tc>
      </w:tr>
      <w:tr w:rsidR="007B2297" w:rsidRPr="00370D0B" w14:paraId="613F880E" w14:textId="77777777" w:rsidTr="007B2297">
        <w:trPr>
          <w:trHeight w:val="1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CAEF" w14:textId="7D50269D" w:rsidR="007B2297" w:rsidRPr="00621897" w:rsidRDefault="007B2297" w:rsidP="00DF181F">
            <w:pPr>
              <w:pStyle w:val="a3"/>
              <w:numPr>
                <w:ilvl w:val="0"/>
                <w:numId w:val="13"/>
              </w:numPr>
              <w:ind w:left="113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E2DB" w14:textId="5EA677F9" w:rsidR="007B2297" w:rsidRPr="00621897" w:rsidRDefault="007B2297" w:rsidP="006A7018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>Объекты жилищного фонда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B18" w14:textId="72848ADE" w:rsidR="007B2297" w:rsidRPr="00621897" w:rsidRDefault="007B2297" w:rsidP="006A7018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 xml:space="preserve">с </w:t>
            </w:r>
            <w:r w:rsidR="005770B1" w:rsidRPr="00621897">
              <w:rPr>
                <w:rFonts w:eastAsia="Times New Roman" w:cs="Times New Roman"/>
                <w:szCs w:val="24"/>
              </w:rPr>
              <w:t>01.</w:t>
            </w:r>
            <w:r w:rsidRPr="00621897">
              <w:rPr>
                <w:rFonts w:eastAsia="Times New Roman" w:cs="Times New Roman"/>
                <w:szCs w:val="24"/>
              </w:rPr>
              <w:t>0</w:t>
            </w:r>
            <w:r w:rsidR="0007222B" w:rsidRPr="00621897">
              <w:rPr>
                <w:rFonts w:eastAsia="Times New Roman" w:cs="Times New Roman"/>
                <w:szCs w:val="24"/>
              </w:rPr>
              <w:t>8</w:t>
            </w:r>
            <w:r w:rsidRPr="00621897">
              <w:rPr>
                <w:rFonts w:eastAsia="Times New Roman" w:cs="Times New Roman"/>
                <w:szCs w:val="24"/>
              </w:rPr>
              <w:t>.2025 по 1</w:t>
            </w:r>
            <w:r w:rsidR="0007222B" w:rsidRPr="00621897">
              <w:rPr>
                <w:rFonts w:eastAsia="Times New Roman" w:cs="Times New Roman"/>
                <w:szCs w:val="24"/>
              </w:rPr>
              <w:t>2</w:t>
            </w:r>
            <w:r w:rsidRPr="00621897">
              <w:rPr>
                <w:rFonts w:eastAsia="Times New Roman" w:cs="Times New Roman"/>
                <w:szCs w:val="24"/>
              </w:rPr>
              <w:t>.09.2025</w:t>
            </w:r>
          </w:p>
        </w:tc>
      </w:tr>
      <w:tr w:rsidR="007B2297" w:rsidRPr="00370D0B" w14:paraId="56B91FEE" w14:textId="77777777" w:rsidTr="007B2297">
        <w:trPr>
          <w:trHeight w:val="1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E3D" w14:textId="77777777" w:rsidR="007B2297" w:rsidRPr="00621897" w:rsidRDefault="007B2297" w:rsidP="00DF181F">
            <w:pPr>
              <w:pStyle w:val="a3"/>
              <w:numPr>
                <w:ilvl w:val="0"/>
                <w:numId w:val="13"/>
              </w:numPr>
              <w:ind w:left="113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5C79" w14:textId="74E05D5F" w:rsidR="007B2297" w:rsidRPr="00621897" w:rsidRDefault="007B2297" w:rsidP="006A701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>Объекты социальной сферы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E49" w14:textId="1CCA6C76" w:rsidR="007B2297" w:rsidRPr="00621897" w:rsidRDefault="0007222B" w:rsidP="006A7018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 xml:space="preserve">с </w:t>
            </w:r>
            <w:r w:rsidR="0046055E" w:rsidRPr="00621897">
              <w:rPr>
                <w:rFonts w:eastAsia="Times New Roman" w:cs="Times New Roman"/>
                <w:szCs w:val="24"/>
              </w:rPr>
              <w:t>01</w:t>
            </w:r>
            <w:r w:rsidRPr="00621897">
              <w:rPr>
                <w:rFonts w:eastAsia="Times New Roman" w:cs="Times New Roman"/>
                <w:szCs w:val="24"/>
              </w:rPr>
              <w:t>.08.2025 по 12.09.2025</w:t>
            </w:r>
          </w:p>
        </w:tc>
      </w:tr>
      <w:tr w:rsidR="007B2297" w:rsidRPr="00370D0B" w14:paraId="2C5F35F6" w14:textId="77777777" w:rsidTr="007B2297">
        <w:trPr>
          <w:trHeight w:val="1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17C7" w14:textId="77777777" w:rsidR="007B2297" w:rsidRPr="00621897" w:rsidRDefault="007B2297" w:rsidP="00DF181F">
            <w:pPr>
              <w:pStyle w:val="a3"/>
              <w:numPr>
                <w:ilvl w:val="0"/>
                <w:numId w:val="13"/>
              </w:numPr>
              <w:ind w:left="113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B4A" w14:textId="26E9CA3E" w:rsidR="007B2297" w:rsidRPr="00621897" w:rsidRDefault="007B2297" w:rsidP="00DF181F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621897">
              <w:rPr>
                <w:rFonts w:eastAsia="Times New Roman" w:cs="Times New Roman"/>
                <w:szCs w:val="24"/>
              </w:rPr>
              <w:t>Теплосетевые</w:t>
            </w:r>
            <w:proofErr w:type="spellEnd"/>
            <w:r w:rsidRPr="00621897">
              <w:rPr>
                <w:rFonts w:eastAsia="Times New Roman" w:cs="Times New Roman"/>
                <w:szCs w:val="24"/>
              </w:rPr>
              <w:t xml:space="preserve"> организации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B23B" w14:textId="0C4A54E7" w:rsidR="007B2297" w:rsidRPr="00621897" w:rsidRDefault="007B2297" w:rsidP="00DF181F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>с 01.09.202</w:t>
            </w:r>
            <w:r w:rsidR="005D2220" w:rsidRPr="00621897">
              <w:rPr>
                <w:rFonts w:eastAsia="Times New Roman" w:cs="Times New Roman"/>
                <w:szCs w:val="24"/>
              </w:rPr>
              <w:t>5</w:t>
            </w:r>
            <w:r w:rsidRPr="00621897">
              <w:rPr>
                <w:rFonts w:eastAsia="Times New Roman" w:cs="Times New Roman"/>
                <w:szCs w:val="24"/>
              </w:rPr>
              <w:t xml:space="preserve"> по 15.10.202</w:t>
            </w:r>
            <w:r w:rsidR="005D2220" w:rsidRPr="00621897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7B2297" w:rsidRPr="00370D0B" w14:paraId="5B3C28EC" w14:textId="77777777" w:rsidTr="007B2297">
        <w:trPr>
          <w:trHeight w:val="1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282" w14:textId="77777777" w:rsidR="007B2297" w:rsidRPr="00621897" w:rsidRDefault="007B2297" w:rsidP="00DF181F">
            <w:pPr>
              <w:pStyle w:val="a3"/>
              <w:numPr>
                <w:ilvl w:val="0"/>
                <w:numId w:val="13"/>
              </w:numPr>
              <w:ind w:left="113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D374" w14:textId="70E0FE45" w:rsidR="007B2297" w:rsidRPr="00621897" w:rsidRDefault="007B2297" w:rsidP="00DF181F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>Теплоснабжающие организации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0C1D" w14:textId="09E5DC8B" w:rsidR="007B2297" w:rsidRPr="00621897" w:rsidRDefault="007B2297" w:rsidP="00DF181F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>с 01.09.202</w:t>
            </w:r>
            <w:r w:rsidR="005D2220" w:rsidRPr="00621897">
              <w:rPr>
                <w:rFonts w:eastAsia="Times New Roman" w:cs="Times New Roman"/>
                <w:szCs w:val="24"/>
              </w:rPr>
              <w:t>5</w:t>
            </w:r>
            <w:r w:rsidRPr="00621897">
              <w:rPr>
                <w:rFonts w:eastAsia="Times New Roman" w:cs="Times New Roman"/>
                <w:szCs w:val="24"/>
              </w:rPr>
              <w:t xml:space="preserve"> по 15.10.202</w:t>
            </w:r>
            <w:r w:rsidR="005D2220" w:rsidRPr="00621897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07222B" w:rsidRPr="00370D0B" w14:paraId="4976F0A2" w14:textId="77777777" w:rsidTr="007B2297">
        <w:trPr>
          <w:trHeight w:val="1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6170" w14:textId="77777777" w:rsidR="0007222B" w:rsidRPr="00621897" w:rsidRDefault="0007222B" w:rsidP="00DF181F">
            <w:pPr>
              <w:pStyle w:val="a3"/>
              <w:numPr>
                <w:ilvl w:val="0"/>
                <w:numId w:val="13"/>
              </w:numPr>
              <w:ind w:left="113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FB1A" w14:textId="22C8A03F" w:rsidR="0007222B" w:rsidRPr="00621897" w:rsidRDefault="0007222B" w:rsidP="00DF181F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/>
                <w:szCs w:val="24"/>
                <w:lang w:eastAsia="ru-RU"/>
              </w:rPr>
              <w:t>Организации, которые не являю</w:t>
            </w:r>
            <w:r w:rsidR="00A71441" w:rsidRPr="00621897">
              <w:rPr>
                <w:rFonts w:eastAsia="Times New Roman"/>
                <w:szCs w:val="24"/>
                <w:lang w:eastAsia="ru-RU"/>
              </w:rPr>
              <w:t xml:space="preserve">щиеся </w:t>
            </w:r>
            <w:proofErr w:type="spellStart"/>
            <w:r w:rsidR="005770B1" w:rsidRPr="00621897">
              <w:rPr>
                <w:rFonts w:eastAsia="Times New Roman"/>
                <w:szCs w:val="24"/>
                <w:lang w:eastAsia="ru-RU"/>
              </w:rPr>
              <w:t>теплосетевыми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E01F" w14:textId="67C6BCE8" w:rsidR="0007222B" w:rsidRPr="00621897" w:rsidRDefault="0007222B" w:rsidP="00DF181F">
            <w:pPr>
              <w:rPr>
                <w:rFonts w:eastAsia="Times New Roman" w:cs="Times New Roman"/>
                <w:szCs w:val="24"/>
              </w:rPr>
            </w:pPr>
            <w:r w:rsidRPr="00621897">
              <w:rPr>
                <w:rFonts w:eastAsia="Times New Roman" w:cs="Times New Roman"/>
                <w:szCs w:val="24"/>
              </w:rPr>
              <w:t>с 01.09.202</w:t>
            </w:r>
            <w:r w:rsidR="005D2220" w:rsidRPr="00621897">
              <w:rPr>
                <w:rFonts w:eastAsia="Times New Roman" w:cs="Times New Roman"/>
                <w:szCs w:val="24"/>
              </w:rPr>
              <w:t>5</w:t>
            </w:r>
            <w:r w:rsidRPr="00621897">
              <w:rPr>
                <w:rFonts w:eastAsia="Times New Roman" w:cs="Times New Roman"/>
                <w:szCs w:val="24"/>
              </w:rPr>
              <w:t xml:space="preserve"> по 15.10.202</w:t>
            </w:r>
            <w:r w:rsidR="005D2220" w:rsidRPr="00621897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1508DCF1" w14:textId="70BB3ACB" w:rsidR="00621897" w:rsidRDefault="00621897" w:rsidP="00621897">
      <w:pPr>
        <w:spacing w:line="276" w:lineRule="auto"/>
        <w:ind w:left="851"/>
        <w:jc w:val="both"/>
        <w:rPr>
          <w:rFonts w:cs="Times New Roman"/>
          <w:sz w:val="28"/>
          <w:szCs w:val="24"/>
        </w:rPr>
      </w:pPr>
    </w:p>
    <w:p w14:paraId="59CB6FC9" w14:textId="77777777" w:rsidR="00621897" w:rsidRPr="00621897" w:rsidRDefault="00621897" w:rsidP="00621897">
      <w:pPr>
        <w:spacing w:line="276" w:lineRule="auto"/>
        <w:ind w:left="851"/>
        <w:jc w:val="both"/>
        <w:rPr>
          <w:rFonts w:cs="Times New Roman"/>
          <w:sz w:val="28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21897" w14:paraId="57B4FEED" w14:textId="77777777" w:rsidTr="00DA02AB">
        <w:tc>
          <w:tcPr>
            <w:tcW w:w="4813" w:type="dxa"/>
          </w:tcPr>
          <w:p w14:paraId="036F2655" w14:textId="30F59EA4" w:rsidR="00621897" w:rsidRDefault="00621897" w:rsidP="00DA02AB">
            <w:pPr>
              <w:pStyle w:val="a3"/>
              <w:spacing w:line="276" w:lineRule="auto"/>
              <w:ind w:left="0"/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21897">
              <w:rPr>
                <w:rFonts w:cs="Times New Roman"/>
                <w:sz w:val="28"/>
                <w:szCs w:val="24"/>
              </w:rPr>
              <w:t>Председатель штаба</w:t>
            </w:r>
          </w:p>
        </w:tc>
        <w:tc>
          <w:tcPr>
            <w:tcW w:w="4814" w:type="dxa"/>
          </w:tcPr>
          <w:p w14:paraId="5A1E4E77" w14:textId="2022B10E" w:rsidR="00621897" w:rsidRDefault="00621897" w:rsidP="00621897">
            <w:pPr>
              <w:pStyle w:val="a3"/>
              <w:spacing w:line="276" w:lineRule="auto"/>
              <w:ind w:left="0"/>
              <w:contextualSpacing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21897">
              <w:rPr>
                <w:rFonts w:cs="Times New Roman"/>
                <w:sz w:val="28"/>
                <w:szCs w:val="24"/>
              </w:rPr>
              <w:t>М.В. Абросимов</w:t>
            </w:r>
          </w:p>
        </w:tc>
      </w:tr>
    </w:tbl>
    <w:p w14:paraId="29973E97" w14:textId="77777777" w:rsidR="00621897" w:rsidRDefault="00621897" w:rsidP="00621897">
      <w:pPr>
        <w:spacing w:before="480" w:line="360" w:lineRule="auto"/>
        <w:rPr>
          <w:rFonts w:cs="Times New Roman"/>
          <w:sz w:val="28"/>
          <w:szCs w:val="24"/>
        </w:rPr>
      </w:pPr>
    </w:p>
    <w:sectPr w:rsidR="00621897" w:rsidSect="00C35AEE">
      <w:footerReference w:type="default" r:id="rId8"/>
      <w:pgSz w:w="11906" w:h="16838"/>
      <w:pgMar w:top="1134" w:right="851" w:bottom="1134" w:left="851" w:header="567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47165" w14:textId="77777777" w:rsidR="00851367" w:rsidRDefault="00851367" w:rsidP="00B25E0D">
      <w:r>
        <w:separator/>
      </w:r>
    </w:p>
  </w:endnote>
  <w:endnote w:type="continuationSeparator" w:id="0">
    <w:p w14:paraId="537EF984" w14:textId="77777777" w:rsidR="00851367" w:rsidRDefault="00851367" w:rsidP="00B2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652971"/>
      <w:docPartObj>
        <w:docPartGallery w:val="Page Numbers (Bottom of Page)"/>
        <w:docPartUnique/>
      </w:docPartObj>
    </w:sdtPr>
    <w:sdtEndPr/>
    <w:sdtContent>
      <w:p w14:paraId="1C403278" w14:textId="323F42FB" w:rsidR="00C20328" w:rsidRDefault="00C20328" w:rsidP="00582E9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B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61AB" w14:textId="77777777" w:rsidR="00851367" w:rsidRDefault="00851367" w:rsidP="00B25E0D">
      <w:r>
        <w:separator/>
      </w:r>
    </w:p>
  </w:footnote>
  <w:footnote w:type="continuationSeparator" w:id="0">
    <w:p w14:paraId="1DE0A9C0" w14:textId="77777777" w:rsidR="00851367" w:rsidRDefault="00851367" w:rsidP="00B2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F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85F76"/>
    <w:multiLevelType w:val="multilevel"/>
    <w:tmpl w:val="0419001F"/>
    <w:styleLink w:val="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5D07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80"/>
        </w:tabs>
        <w:ind w:left="90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851" w:hanging="39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8F0377"/>
    <w:multiLevelType w:val="hybridMultilevel"/>
    <w:tmpl w:val="45B2402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1993FA8"/>
    <w:multiLevelType w:val="multilevel"/>
    <w:tmpl w:val="F76C9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11F00"/>
    <w:multiLevelType w:val="hybridMultilevel"/>
    <w:tmpl w:val="E2AC807A"/>
    <w:lvl w:ilvl="0" w:tplc="742C3C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BB27A7"/>
    <w:multiLevelType w:val="hybridMultilevel"/>
    <w:tmpl w:val="DA2EAD12"/>
    <w:lvl w:ilvl="0" w:tplc="EDA46E7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3984051"/>
    <w:multiLevelType w:val="hybridMultilevel"/>
    <w:tmpl w:val="58C4BD1E"/>
    <w:lvl w:ilvl="0" w:tplc="E426073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895A14"/>
    <w:multiLevelType w:val="multilevel"/>
    <w:tmpl w:val="469C375E"/>
    <w:lvl w:ilvl="0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C22A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D71C4E"/>
    <w:multiLevelType w:val="multilevel"/>
    <w:tmpl w:val="9F44A61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EF1302"/>
    <w:multiLevelType w:val="hybridMultilevel"/>
    <w:tmpl w:val="B15E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A356C"/>
    <w:multiLevelType w:val="hybridMultilevel"/>
    <w:tmpl w:val="25F81E8C"/>
    <w:lvl w:ilvl="0" w:tplc="49247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9A58B3"/>
    <w:multiLevelType w:val="hybridMultilevel"/>
    <w:tmpl w:val="FCB8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73F50"/>
    <w:multiLevelType w:val="multilevel"/>
    <w:tmpl w:val="03124582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B83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880E4E"/>
    <w:multiLevelType w:val="hybridMultilevel"/>
    <w:tmpl w:val="0FCEB3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5C46C03"/>
    <w:multiLevelType w:val="multilevel"/>
    <w:tmpl w:val="A7CE27BA"/>
    <w:lvl w:ilvl="0">
      <w:start w:val="1"/>
      <w:numFmt w:val="decimal"/>
      <w:lvlText w:val="%1."/>
      <w:lvlJc w:val="left"/>
      <w:pPr>
        <w:ind w:left="737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2425F4"/>
    <w:multiLevelType w:val="multilevel"/>
    <w:tmpl w:val="03124582"/>
    <w:numStyleLink w:val="10"/>
  </w:abstractNum>
  <w:abstractNum w:abstractNumId="19" w15:restartNumberingAfterBreak="0">
    <w:nsid w:val="6A272D19"/>
    <w:multiLevelType w:val="hybridMultilevel"/>
    <w:tmpl w:val="86C6F0CA"/>
    <w:lvl w:ilvl="0" w:tplc="1A463B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175C2"/>
    <w:multiLevelType w:val="multilevel"/>
    <w:tmpl w:val="0419001F"/>
    <w:numStyleLink w:val="01"/>
  </w:abstractNum>
  <w:abstractNum w:abstractNumId="21" w15:restartNumberingAfterBreak="0">
    <w:nsid w:val="72976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5133C0"/>
    <w:multiLevelType w:val="hybridMultilevel"/>
    <w:tmpl w:val="28E2DC8E"/>
    <w:lvl w:ilvl="0" w:tplc="EDA46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936C0"/>
    <w:multiLevelType w:val="hybridMultilevel"/>
    <w:tmpl w:val="6A246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A018D"/>
    <w:multiLevelType w:val="singleLevel"/>
    <w:tmpl w:val="70E44D78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12"/>
  </w:num>
  <w:num w:numId="5">
    <w:abstractNumId w:val="1"/>
  </w:num>
  <w:num w:numId="6">
    <w:abstractNumId w:val="20"/>
  </w:num>
  <w:num w:numId="7">
    <w:abstractNumId w:val="7"/>
  </w:num>
  <w:num w:numId="8">
    <w:abstractNumId w:val="14"/>
  </w:num>
  <w:num w:numId="9">
    <w:abstractNumId w:val="10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907" w:hanging="22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62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851" w:hanging="397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5"/>
  </w:num>
  <w:num w:numId="13">
    <w:abstractNumId w:val="2"/>
  </w:num>
  <w:num w:numId="14">
    <w:abstractNumId w:val="0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97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97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8"/>
    <w:lvlOverride w:ilvl="0">
      <w:lvl w:ilvl="0">
        <w:start w:val="1"/>
        <w:numFmt w:val="decimal"/>
        <w:lvlText w:val="%1."/>
        <w:lvlJc w:val="left"/>
        <w:pPr>
          <w:ind w:left="907" w:hanging="22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680" w:firstLine="0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</w:num>
  <w:num w:numId="27">
    <w:abstractNumId w:val="3"/>
  </w:num>
  <w:num w:numId="28">
    <w:abstractNumId w:val="23"/>
  </w:num>
  <w:num w:numId="29">
    <w:abstractNumId w:val="11"/>
  </w:num>
  <w:num w:numId="30">
    <w:abstractNumId w:val="19"/>
  </w:num>
  <w:num w:numId="31">
    <w:abstractNumId w:val="24"/>
  </w:num>
  <w:num w:numId="32">
    <w:abstractNumId w:val="24"/>
    <w:lvlOverride w:ilvl="0">
      <w:lvl w:ilvl="0">
        <w:start w:val="1"/>
        <w:numFmt w:val="decimal"/>
        <w:lvlText w:val="%1)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65"/>
    <w:rsid w:val="00005BC9"/>
    <w:rsid w:val="0001134E"/>
    <w:rsid w:val="00012C7A"/>
    <w:rsid w:val="00016A15"/>
    <w:rsid w:val="00023019"/>
    <w:rsid w:val="0002757F"/>
    <w:rsid w:val="00031E19"/>
    <w:rsid w:val="00033A35"/>
    <w:rsid w:val="0005705B"/>
    <w:rsid w:val="00071FD5"/>
    <w:rsid w:val="0007222B"/>
    <w:rsid w:val="00084DA7"/>
    <w:rsid w:val="00096415"/>
    <w:rsid w:val="000A12F3"/>
    <w:rsid w:val="000A2567"/>
    <w:rsid w:val="000A7A9D"/>
    <w:rsid w:val="000B49EE"/>
    <w:rsid w:val="000C369E"/>
    <w:rsid w:val="000D192E"/>
    <w:rsid w:val="000D6CFE"/>
    <w:rsid w:val="00104203"/>
    <w:rsid w:val="00107F9E"/>
    <w:rsid w:val="0011030B"/>
    <w:rsid w:val="00110AF8"/>
    <w:rsid w:val="001323EC"/>
    <w:rsid w:val="001643E5"/>
    <w:rsid w:val="00173DDA"/>
    <w:rsid w:val="001764A8"/>
    <w:rsid w:val="001776A0"/>
    <w:rsid w:val="00177C7C"/>
    <w:rsid w:val="00181A32"/>
    <w:rsid w:val="00183D52"/>
    <w:rsid w:val="0019003A"/>
    <w:rsid w:val="001A3588"/>
    <w:rsid w:val="001B151D"/>
    <w:rsid w:val="001B621F"/>
    <w:rsid w:val="001C0091"/>
    <w:rsid w:val="001C03F4"/>
    <w:rsid w:val="001C640B"/>
    <w:rsid w:val="001D2C9A"/>
    <w:rsid w:val="001E3588"/>
    <w:rsid w:val="001F7060"/>
    <w:rsid w:val="00202A80"/>
    <w:rsid w:val="00210B75"/>
    <w:rsid w:val="00210D68"/>
    <w:rsid w:val="002110D4"/>
    <w:rsid w:val="002150BE"/>
    <w:rsid w:val="00232644"/>
    <w:rsid w:val="00233CAB"/>
    <w:rsid w:val="002511F6"/>
    <w:rsid w:val="00260A7D"/>
    <w:rsid w:val="00263EC2"/>
    <w:rsid w:val="00270CCA"/>
    <w:rsid w:val="00281D0E"/>
    <w:rsid w:val="00283800"/>
    <w:rsid w:val="00295EE4"/>
    <w:rsid w:val="00297809"/>
    <w:rsid w:val="002A0DF6"/>
    <w:rsid w:val="002A5563"/>
    <w:rsid w:val="002B1D1E"/>
    <w:rsid w:val="002C1598"/>
    <w:rsid w:val="002C1D51"/>
    <w:rsid w:val="002C3CAE"/>
    <w:rsid w:val="002C5F55"/>
    <w:rsid w:val="002D4D43"/>
    <w:rsid w:val="002F41E7"/>
    <w:rsid w:val="002F4F56"/>
    <w:rsid w:val="00306BA5"/>
    <w:rsid w:val="00307E44"/>
    <w:rsid w:val="00310F00"/>
    <w:rsid w:val="003163B0"/>
    <w:rsid w:val="003171B2"/>
    <w:rsid w:val="00323785"/>
    <w:rsid w:val="003264F3"/>
    <w:rsid w:val="0033367B"/>
    <w:rsid w:val="0034516C"/>
    <w:rsid w:val="00364A9E"/>
    <w:rsid w:val="00367358"/>
    <w:rsid w:val="00370D0B"/>
    <w:rsid w:val="00371980"/>
    <w:rsid w:val="00371A3A"/>
    <w:rsid w:val="00376574"/>
    <w:rsid w:val="00380FA4"/>
    <w:rsid w:val="0038781E"/>
    <w:rsid w:val="003919A6"/>
    <w:rsid w:val="003A26BA"/>
    <w:rsid w:val="003B1A68"/>
    <w:rsid w:val="003C1E21"/>
    <w:rsid w:val="003C3DF0"/>
    <w:rsid w:val="003C5964"/>
    <w:rsid w:val="003D31A0"/>
    <w:rsid w:val="003D5DFD"/>
    <w:rsid w:val="003E1D16"/>
    <w:rsid w:val="003F4EF6"/>
    <w:rsid w:val="003F71E0"/>
    <w:rsid w:val="00407756"/>
    <w:rsid w:val="00416762"/>
    <w:rsid w:val="00431321"/>
    <w:rsid w:val="004416E7"/>
    <w:rsid w:val="00443DF2"/>
    <w:rsid w:val="00447CD3"/>
    <w:rsid w:val="0045284A"/>
    <w:rsid w:val="0046027C"/>
    <w:rsid w:val="0046055E"/>
    <w:rsid w:val="004677EB"/>
    <w:rsid w:val="00471415"/>
    <w:rsid w:val="00472EBD"/>
    <w:rsid w:val="00480B48"/>
    <w:rsid w:val="00482FD3"/>
    <w:rsid w:val="00495E18"/>
    <w:rsid w:val="0049663D"/>
    <w:rsid w:val="004A13A3"/>
    <w:rsid w:val="004A5C1D"/>
    <w:rsid w:val="004A76AA"/>
    <w:rsid w:val="004A7F5D"/>
    <w:rsid w:val="004B3B9C"/>
    <w:rsid w:val="004B7036"/>
    <w:rsid w:val="004B7E27"/>
    <w:rsid w:val="004C45DB"/>
    <w:rsid w:val="004D1C2C"/>
    <w:rsid w:val="004D58B8"/>
    <w:rsid w:val="004E46F9"/>
    <w:rsid w:val="004F6B2A"/>
    <w:rsid w:val="00505D80"/>
    <w:rsid w:val="00505FD8"/>
    <w:rsid w:val="00510E4B"/>
    <w:rsid w:val="005166EF"/>
    <w:rsid w:val="005177B4"/>
    <w:rsid w:val="005233FC"/>
    <w:rsid w:val="00526082"/>
    <w:rsid w:val="00526D8A"/>
    <w:rsid w:val="00534624"/>
    <w:rsid w:val="00551EE0"/>
    <w:rsid w:val="00555425"/>
    <w:rsid w:val="00561B0B"/>
    <w:rsid w:val="005730C8"/>
    <w:rsid w:val="005770B1"/>
    <w:rsid w:val="00582E97"/>
    <w:rsid w:val="00593D2F"/>
    <w:rsid w:val="005945D6"/>
    <w:rsid w:val="005947CE"/>
    <w:rsid w:val="00596709"/>
    <w:rsid w:val="005A22ED"/>
    <w:rsid w:val="005A3DA3"/>
    <w:rsid w:val="005C1662"/>
    <w:rsid w:val="005C2949"/>
    <w:rsid w:val="005D2220"/>
    <w:rsid w:val="005D7241"/>
    <w:rsid w:val="005F6126"/>
    <w:rsid w:val="005F6FBF"/>
    <w:rsid w:val="00605791"/>
    <w:rsid w:val="00616739"/>
    <w:rsid w:val="006179BB"/>
    <w:rsid w:val="00621897"/>
    <w:rsid w:val="00625540"/>
    <w:rsid w:val="00636CA7"/>
    <w:rsid w:val="00642610"/>
    <w:rsid w:val="006438B6"/>
    <w:rsid w:val="00645289"/>
    <w:rsid w:val="0065178B"/>
    <w:rsid w:val="0065442E"/>
    <w:rsid w:val="006652E0"/>
    <w:rsid w:val="00665B54"/>
    <w:rsid w:val="0068292F"/>
    <w:rsid w:val="006868C9"/>
    <w:rsid w:val="00694C4B"/>
    <w:rsid w:val="00695BA7"/>
    <w:rsid w:val="00695CAB"/>
    <w:rsid w:val="006A7018"/>
    <w:rsid w:val="006C5E52"/>
    <w:rsid w:val="006D3CBF"/>
    <w:rsid w:val="006D67C7"/>
    <w:rsid w:val="006E47D0"/>
    <w:rsid w:val="006E59C4"/>
    <w:rsid w:val="00700D5A"/>
    <w:rsid w:val="00701A99"/>
    <w:rsid w:val="0070463C"/>
    <w:rsid w:val="00707CF5"/>
    <w:rsid w:val="007205B1"/>
    <w:rsid w:val="0072176A"/>
    <w:rsid w:val="00723BE9"/>
    <w:rsid w:val="007242CC"/>
    <w:rsid w:val="00725231"/>
    <w:rsid w:val="00741A78"/>
    <w:rsid w:val="00745297"/>
    <w:rsid w:val="0074548F"/>
    <w:rsid w:val="00746088"/>
    <w:rsid w:val="00746E27"/>
    <w:rsid w:val="00750F7F"/>
    <w:rsid w:val="00751E62"/>
    <w:rsid w:val="007566B0"/>
    <w:rsid w:val="00765AF5"/>
    <w:rsid w:val="00765EDE"/>
    <w:rsid w:val="0076747C"/>
    <w:rsid w:val="00767AC3"/>
    <w:rsid w:val="0077555B"/>
    <w:rsid w:val="00781683"/>
    <w:rsid w:val="007865C7"/>
    <w:rsid w:val="0078781B"/>
    <w:rsid w:val="00790A25"/>
    <w:rsid w:val="00793098"/>
    <w:rsid w:val="007B2297"/>
    <w:rsid w:val="007D0F25"/>
    <w:rsid w:val="007D5AEA"/>
    <w:rsid w:val="007D5C96"/>
    <w:rsid w:val="007D752C"/>
    <w:rsid w:val="007F7951"/>
    <w:rsid w:val="00811B92"/>
    <w:rsid w:val="00820E82"/>
    <w:rsid w:val="00824910"/>
    <w:rsid w:val="00834C19"/>
    <w:rsid w:val="008379C5"/>
    <w:rsid w:val="00851367"/>
    <w:rsid w:val="00861585"/>
    <w:rsid w:val="00861808"/>
    <w:rsid w:val="0086188B"/>
    <w:rsid w:val="008704AA"/>
    <w:rsid w:val="00885209"/>
    <w:rsid w:val="0089340F"/>
    <w:rsid w:val="00895C39"/>
    <w:rsid w:val="008A7FF9"/>
    <w:rsid w:val="008B20D8"/>
    <w:rsid w:val="008B4399"/>
    <w:rsid w:val="008B77D5"/>
    <w:rsid w:val="008C2DF6"/>
    <w:rsid w:val="008C6266"/>
    <w:rsid w:val="008D327B"/>
    <w:rsid w:val="008D4256"/>
    <w:rsid w:val="008E5B29"/>
    <w:rsid w:val="00903565"/>
    <w:rsid w:val="009102E6"/>
    <w:rsid w:val="00913E3A"/>
    <w:rsid w:val="00940101"/>
    <w:rsid w:val="00945761"/>
    <w:rsid w:val="009500EF"/>
    <w:rsid w:val="0095187B"/>
    <w:rsid w:val="00962148"/>
    <w:rsid w:val="009667E4"/>
    <w:rsid w:val="00972E51"/>
    <w:rsid w:val="00982B9B"/>
    <w:rsid w:val="00985D44"/>
    <w:rsid w:val="009903BD"/>
    <w:rsid w:val="00993F20"/>
    <w:rsid w:val="00995DC3"/>
    <w:rsid w:val="00996295"/>
    <w:rsid w:val="009B5D61"/>
    <w:rsid w:val="009B650B"/>
    <w:rsid w:val="009B6703"/>
    <w:rsid w:val="009C60A5"/>
    <w:rsid w:val="009E0DCC"/>
    <w:rsid w:val="009E4DBA"/>
    <w:rsid w:val="009E72E4"/>
    <w:rsid w:val="00A12325"/>
    <w:rsid w:val="00A22973"/>
    <w:rsid w:val="00A24427"/>
    <w:rsid w:val="00A26F83"/>
    <w:rsid w:val="00A306ED"/>
    <w:rsid w:val="00A32670"/>
    <w:rsid w:val="00A338B3"/>
    <w:rsid w:val="00A33930"/>
    <w:rsid w:val="00A340DC"/>
    <w:rsid w:val="00A36FA4"/>
    <w:rsid w:val="00A406FA"/>
    <w:rsid w:val="00A4274B"/>
    <w:rsid w:val="00A4638F"/>
    <w:rsid w:val="00A51199"/>
    <w:rsid w:val="00A5736B"/>
    <w:rsid w:val="00A6045E"/>
    <w:rsid w:val="00A61FA4"/>
    <w:rsid w:val="00A6498C"/>
    <w:rsid w:val="00A65305"/>
    <w:rsid w:val="00A67DA5"/>
    <w:rsid w:val="00A71441"/>
    <w:rsid w:val="00A9722C"/>
    <w:rsid w:val="00A97F49"/>
    <w:rsid w:val="00A97F93"/>
    <w:rsid w:val="00AA0863"/>
    <w:rsid w:val="00AC4390"/>
    <w:rsid w:val="00AC574C"/>
    <w:rsid w:val="00AD7F16"/>
    <w:rsid w:val="00AE0710"/>
    <w:rsid w:val="00AE2D42"/>
    <w:rsid w:val="00AE4FC9"/>
    <w:rsid w:val="00AF0E56"/>
    <w:rsid w:val="00AF126F"/>
    <w:rsid w:val="00B01C85"/>
    <w:rsid w:val="00B04B98"/>
    <w:rsid w:val="00B11479"/>
    <w:rsid w:val="00B176F4"/>
    <w:rsid w:val="00B25E0D"/>
    <w:rsid w:val="00B31619"/>
    <w:rsid w:val="00B37010"/>
    <w:rsid w:val="00B46E00"/>
    <w:rsid w:val="00B47F12"/>
    <w:rsid w:val="00B50543"/>
    <w:rsid w:val="00B56BC5"/>
    <w:rsid w:val="00B56CC5"/>
    <w:rsid w:val="00B6073D"/>
    <w:rsid w:val="00B66522"/>
    <w:rsid w:val="00B66DA2"/>
    <w:rsid w:val="00B767AB"/>
    <w:rsid w:val="00B769E0"/>
    <w:rsid w:val="00B83264"/>
    <w:rsid w:val="00B91D1C"/>
    <w:rsid w:val="00B91E3E"/>
    <w:rsid w:val="00BA27B5"/>
    <w:rsid w:val="00BB237F"/>
    <w:rsid w:val="00BC7AA3"/>
    <w:rsid w:val="00BD10B9"/>
    <w:rsid w:val="00BE7091"/>
    <w:rsid w:val="00BF1ED7"/>
    <w:rsid w:val="00BF47F4"/>
    <w:rsid w:val="00BF5FC2"/>
    <w:rsid w:val="00C000AC"/>
    <w:rsid w:val="00C061D1"/>
    <w:rsid w:val="00C067C4"/>
    <w:rsid w:val="00C10817"/>
    <w:rsid w:val="00C10B74"/>
    <w:rsid w:val="00C1616A"/>
    <w:rsid w:val="00C20328"/>
    <w:rsid w:val="00C20B52"/>
    <w:rsid w:val="00C26C5A"/>
    <w:rsid w:val="00C3325A"/>
    <w:rsid w:val="00C359FF"/>
    <w:rsid w:val="00C35AEE"/>
    <w:rsid w:val="00C42E25"/>
    <w:rsid w:val="00C44A07"/>
    <w:rsid w:val="00C545AF"/>
    <w:rsid w:val="00C5719B"/>
    <w:rsid w:val="00C76109"/>
    <w:rsid w:val="00C77D18"/>
    <w:rsid w:val="00C8212B"/>
    <w:rsid w:val="00C84358"/>
    <w:rsid w:val="00C91E1A"/>
    <w:rsid w:val="00C92DC7"/>
    <w:rsid w:val="00C97ED0"/>
    <w:rsid w:val="00CA597D"/>
    <w:rsid w:val="00CA5B1D"/>
    <w:rsid w:val="00CA64D1"/>
    <w:rsid w:val="00CB18CA"/>
    <w:rsid w:val="00CE0D0D"/>
    <w:rsid w:val="00CE7FA2"/>
    <w:rsid w:val="00CF1308"/>
    <w:rsid w:val="00CF3A66"/>
    <w:rsid w:val="00D02DDB"/>
    <w:rsid w:val="00D06231"/>
    <w:rsid w:val="00D20616"/>
    <w:rsid w:val="00D30C8D"/>
    <w:rsid w:val="00D343C5"/>
    <w:rsid w:val="00D35C45"/>
    <w:rsid w:val="00D371A9"/>
    <w:rsid w:val="00D40A1F"/>
    <w:rsid w:val="00D431F0"/>
    <w:rsid w:val="00D46742"/>
    <w:rsid w:val="00D52C96"/>
    <w:rsid w:val="00D534FA"/>
    <w:rsid w:val="00D537A9"/>
    <w:rsid w:val="00D56620"/>
    <w:rsid w:val="00D60538"/>
    <w:rsid w:val="00D70BB2"/>
    <w:rsid w:val="00D7123D"/>
    <w:rsid w:val="00D872D5"/>
    <w:rsid w:val="00D90052"/>
    <w:rsid w:val="00D95BC9"/>
    <w:rsid w:val="00D96C9D"/>
    <w:rsid w:val="00D97027"/>
    <w:rsid w:val="00D97145"/>
    <w:rsid w:val="00DA672C"/>
    <w:rsid w:val="00DB1032"/>
    <w:rsid w:val="00DB609D"/>
    <w:rsid w:val="00DB6F67"/>
    <w:rsid w:val="00DB779C"/>
    <w:rsid w:val="00DC2AE1"/>
    <w:rsid w:val="00DC589D"/>
    <w:rsid w:val="00DD4094"/>
    <w:rsid w:val="00DD4489"/>
    <w:rsid w:val="00DD48E5"/>
    <w:rsid w:val="00DE1EAE"/>
    <w:rsid w:val="00DE4D84"/>
    <w:rsid w:val="00DF181F"/>
    <w:rsid w:val="00DF235C"/>
    <w:rsid w:val="00E14AEE"/>
    <w:rsid w:val="00E44266"/>
    <w:rsid w:val="00E47220"/>
    <w:rsid w:val="00E47282"/>
    <w:rsid w:val="00E47ACC"/>
    <w:rsid w:val="00E52038"/>
    <w:rsid w:val="00E62408"/>
    <w:rsid w:val="00E8084D"/>
    <w:rsid w:val="00E835D9"/>
    <w:rsid w:val="00E930A8"/>
    <w:rsid w:val="00EA113F"/>
    <w:rsid w:val="00EA64C7"/>
    <w:rsid w:val="00EB6C4E"/>
    <w:rsid w:val="00ED10A2"/>
    <w:rsid w:val="00ED10D8"/>
    <w:rsid w:val="00EE2A05"/>
    <w:rsid w:val="00EE2D62"/>
    <w:rsid w:val="00EE578B"/>
    <w:rsid w:val="00EE5D41"/>
    <w:rsid w:val="00EE677D"/>
    <w:rsid w:val="00EE796E"/>
    <w:rsid w:val="00EF2C54"/>
    <w:rsid w:val="00F0365E"/>
    <w:rsid w:val="00F30EC8"/>
    <w:rsid w:val="00F31F3C"/>
    <w:rsid w:val="00F329D5"/>
    <w:rsid w:val="00F4583C"/>
    <w:rsid w:val="00F45A9E"/>
    <w:rsid w:val="00F55035"/>
    <w:rsid w:val="00F550FA"/>
    <w:rsid w:val="00F641FE"/>
    <w:rsid w:val="00F6643A"/>
    <w:rsid w:val="00F66B46"/>
    <w:rsid w:val="00F70A2A"/>
    <w:rsid w:val="00F80AD1"/>
    <w:rsid w:val="00F82185"/>
    <w:rsid w:val="00F841B8"/>
    <w:rsid w:val="00F85BD6"/>
    <w:rsid w:val="00F97F93"/>
    <w:rsid w:val="00FA3A4B"/>
    <w:rsid w:val="00FA739B"/>
    <w:rsid w:val="00FB1EB5"/>
    <w:rsid w:val="00FC3C1C"/>
    <w:rsid w:val="00FC556F"/>
    <w:rsid w:val="00FD070D"/>
    <w:rsid w:val="00FD4C57"/>
    <w:rsid w:val="00FD668F"/>
    <w:rsid w:val="00FD6D26"/>
    <w:rsid w:val="00FF329F"/>
    <w:rsid w:val="00FF339A"/>
    <w:rsid w:val="00FF33E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1EC95D"/>
  <w15:docId w15:val="{91331760-7470-4678-9A0B-89C60108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A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autoRedefine/>
    <w:uiPriority w:val="9"/>
    <w:qFormat/>
    <w:rsid w:val="0033367B"/>
    <w:pPr>
      <w:keepNext/>
      <w:keepLines/>
      <w:numPr>
        <w:numId w:val="9"/>
      </w:numPr>
      <w:spacing w:before="240" w:after="120"/>
      <w:outlineLvl w:val="0"/>
    </w:pPr>
    <w:rPr>
      <w:rFonts w:eastAsiaTheme="majorEastAsia" w:cstheme="majorBidi"/>
      <w:kern w:val="0"/>
      <w:szCs w:val="32"/>
      <w14:ligatures w14:val="none"/>
    </w:rPr>
  </w:style>
  <w:style w:type="paragraph" w:styleId="2">
    <w:name w:val="heading 2"/>
    <w:aliases w:val="Приложения"/>
    <w:basedOn w:val="a"/>
    <w:next w:val="a"/>
    <w:link w:val="20"/>
    <w:uiPriority w:val="9"/>
    <w:unhideWhenUsed/>
    <w:qFormat/>
    <w:rsid w:val="00F4583C"/>
    <w:pPr>
      <w:keepNext/>
      <w:keepLines/>
      <w:spacing w:before="40"/>
      <w:jc w:val="right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2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2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F20"/>
    <w:pPr>
      <w:ind w:left="720"/>
      <w:contextualSpacing/>
    </w:pPr>
  </w:style>
  <w:style w:type="character" w:customStyle="1" w:styleId="11">
    <w:name w:val="Заголовок 1 Знак"/>
    <w:basedOn w:val="a0"/>
    <w:link w:val="1"/>
    <w:uiPriority w:val="9"/>
    <w:rsid w:val="0033367B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paragraph" w:styleId="a4">
    <w:name w:val="No Spacing"/>
    <w:uiPriority w:val="1"/>
    <w:qFormat/>
    <w:rsid w:val="00D52C9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177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0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203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6">
    <w:name w:val="annotation reference"/>
    <w:basedOn w:val="a0"/>
    <w:uiPriority w:val="99"/>
    <w:semiHidden/>
    <w:unhideWhenUsed/>
    <w:rsid w:val="007460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4608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60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60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46088"/>
    <w:rPr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A406FA"/>
    <w:pPr>
      <w:spacing w:after="100"/>
    </w:pPr>
  </w:style>
  <w:style w:type="character" w:styleId="ab">
    <w:name w:val="Hyperlink"/>
    <w:basedOn w:val="a0"/>
    <w:uiPriority w:val="99"/>
    <w:unhideWhenUsed/>
    <w:rsid w:val="00A406FA"/>
    <w:rPr>
      <w:color w:val="0563C1" w:themeColor="hyperlink"/>
      <w:u w:val="single"/>
    </w:rPr>
  </w:style>
  <w:style w:type="character" w:customStyle="1" w:styleId="20">
    <w:name w:val="Заголовок 2 Знак"/>
    <w:aliases w:val="Приложения Знак"/>
    <w:basedOn w:val="a0"/>
    <w:link w:val="2"/>
    <w:uiPriority w:val="9"/>
    <w:rsid w:val="00F4583C"/>
    <w:rPr>
      <w:rFonts w:ascii="Times New Roman" w:eastAsiaTheme="majorEastAsia" w:hAnsi="Times New Roman" w:cstheme="majorBidi"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42E25"/>
  </w:style>
  <w:style w:type="paragraph" w:styleId="ac">
    <w:name w:val="Balloon Text"/>
    <w:basedOn w:val="a"/>
    <w:link w:val="ad"/>
    <w:uiPriority w:val="99"/>
    <w:semiHidden/>
    <w:unhideWhenUsed/>
    <w:rsid w:val="001C64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40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25E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25E0D"/>
  </w:style>
  <w:style w:type="paragraph" w:styleId="af0">
    <w:name w:val="footer"/>
    <w:basedOn w:val="a"/>
    <w:link w:val="af1"/>
    <w:uiPriority w:val="99"/>
    <w:unhideWhenUsed/>
    <w:rsid w:val="00B25E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25E0D"/>
  </w:style>
  <w:style w:type="numbering" w:customStyle="1" w:styleId="01">
    <w:name w:val="МнСп01"/>
    <w:uiPriority w:val="99"/>
    <w:rsid w:val="00D90052"/>
    <w:pPr>
      <w:numPr>
        <w:numId w:val="5"/>
      </w:numPr>
    </w:pPr>
  </w:style>
  <w:style w:type="numbering" w:customStyle="1" w:styleId="10">
    <w:name w:val="Стиль1"/>
    <w:uiPriority w:val="99"/>
    <w:rsid w:val="0034516C"/>
    <w:pPr>
      <w:numPr>
        <w:numId w:val="8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3919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3919A6"/>
    <w:pPr>
      <w:ind w:left="240" w:hanging="240"/>
    </w:pPr>
  </w:style>
  <w:style w:type="paragraph" w:styleId="af2">
    <w:name w:val="index heading"/>
    <w:basedOn w:val="a"/>
    <w:next w:val="13"/>
    <w:uiPriority w:val="99"/>
    <w:semiHidden/>
    <w:unhideWhenUsed/>
    <w:rsid w:val="003919A6"/>
    <w:rPr>
      <w:rFonts w:asciiTheme="majorHAnsi" w:eastAsiaTheme="majorEastAsia" w:hAnsiTheme="majorHAnsi" w:cstheme="majorBidi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44A07"/>
    <w:rPr>
      <w:color w:val="605E5C"/>
      <w:shd w:val="clear" w:color="auto" w:fill="E1DFDD"/>
    </w:rPr>
  </w:style>
  <w:style w:type="paragraph" w:customStyle="1" w:styleId="Default">
    <w:name w:val="Default"/>
    <w:rsid w:val="008B2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sPlusNonformat">
    <w:name w:val="ConsPlusNonformat"/>
    <w:uiPriority w:val="99"/>
    <w:rsid w:val="00A57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f3">
    <w:name w:val="endnote text"/>
    <w:basedOn w:val="a"/>
    <w:link w:val="af4"/>
    <w:uiPriority w:val="99"/>
    <w:semiHidden/>
    <w:unhideWhenUsed/>
    <w:rsid w:val="00C42E25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42E25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42E25"/>
    <w:rPr>
      <w:vertAlign w:val="superscript"/>
    </w:rPr>
  </w:style>
  <w:style w:type="character" w:customStyle="1" w:styleId="FontStyle88">
    <w:name w:val="Font Style88"/>
    <w:basedOn w:val="a0"/>
    <w:uiPriority w:val="99"/>
    <w:rsid w:val="00E52038"/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A4274B"/>
    <w:pPr>
      <w:widowControl w:val="0"/>
      <w:autoSpaceDE w:val="0"/>
      <w:autoSpaceDN w:val="0"/>
      <w:adjustRightInd w:val="0"/>
      <w:spacing w:line="259" w:lineRule="exact"/>
      <w:ind w:hanging="341"/>
    </w:pPr>
    <w:rPr>
      <w:rFonts w:eastAsiaTheme="minorEastAsia" w:cs="Times New Roman"/>
      <w:kern w:val="0"/>
      <w:szCs w:val="24"/>
      <w:lang w:eastAsia="ru-RU"/>
      <w14:ligatures w14:val="none"/>
    </w:rPr>
  </w:style>
  <w:style w:type="character" w:customStyle="1" w:styleId="FontStyle89">
    <w:name w:val="Font Style89"/>
    <w:basedOn w:val="a0"/>
    <w:uiPriority w:val="99"/>
    <w:rsid w:val="00A427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204C-75F5-470C-BA47-F0102C19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Чиковани Екатерина Тенгизовна</dc:creator>
  <cp:keywords/>
  <dc:description/>
  <cp:lastModifiedBy>Шишкин Алексей Андреевич</cp:lastModifiedBy>
  <cp:revision>3</cp:revision>
  <cp:lastPrinted>2023-05-17T12:11:00Z</cp:lastPrinted>
  <dcterms:created xsi:type="dcterms:W3CDTF">2025-07-25T08:13:00Z</dcterms:created>
  <dcterms:modified xsi:type="dcterms:W3CDTF">2025-07-25T08:16:00Z</dcterms:modified>
</cp:coreProperties>
</file>