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728" w:rsidRDefault="00540728">
      <w:pPr>
        <w:pStyle w:val="ConsPlusNormal"/>
        <w:jc w:val="both"/>
        <w:outlineLvl w:val="0"/>
      </w:pPr>
    </w:p>
    <w:p w:rsidR="00540728" w:rsidRDefault="00540728">
      <w:pPr>
        <w:pStyle w:val="ConsPlusTitle"/>
        <w:jc w:val="center"/>
      </w:pPr>
      <w:r>
        <w:t>АДМИНИСТРАЦИЯ ГОРОДСКОГО ОКРУГА ТОЛЬЯТТИ</w:t>
      </w:r>
    </w:p>
    <w:p w:rsidR="00540728" w:rsidRDefault="00540728">
      <w:pPr>
        <w:pStyle w:val="ConsPlusTitle"/>
        <w:jc w:val="center"/>
      </w:pPr>
      <w:r>
        <w:t>САМАРСКОЙ ОБЛАСТИ</w:t>
      </w:r>
    </w:p>
    <w:p w:rsidR="00540728" w:rsidRDefault="00540728">
      <w:pPr>
        <w:pStyle w:val="ConsPlusTitle"/>
        <w:jc w:val="both"/>
      </w:pPr>
    </w:p>
    <w:p w:rsidR="00540728" w:rsidRDefault="00540728">
      <w:pPr>
        <w:pStyle w:val="ConsPlusTitle"/>
        <w:jc w:val="center"/>
      </w:pPr>
      <w:r>
        <w:t>ПОСТАНОВЛЕНИЕ</w:t>
      </w:r>
    </w:p>
    <w:p w:rsidR="00540728" w:rsidRDefault="00540728">
      <w:pPr>
        <w:pStyle w:val="ConsPlusTitle"/>
        <w:jc w:val="center"/>
      </w:pPr>
      <w:r>
        <w:t>от 30 марта 2020 г. N 909-п/1</w:t>
      </w:r>
    </w:p>
    <w:p w:rsidR="00540728" w:rsidRDefault="00540728">
      <w:pPr>
        <w:pStyle w:val="ConsPlusTitle"/>
        <w:jc w:val="both"/>
      </w:pPr>
    </w:p>
    <w:p w:rsidR="00540728" w:rsidRDefault="00540728">
      <w:pPr>
        <w:pStyle w:val="ConsPlusTitle"/>
        <w:jc w:val="center"/>
      </w:pPr>
      <w:r>
        <w:t>О ДОПОЛНИТЕЛЬНЫХ МЕРАХ СОЦИАЛЬНОЙ ПОДДЕРЖКИ В ВИДЕ</w:t>
      </w:r>
    </w:p>
    <w:p w:rsidR="00540728" w:rsidRDefault="00540728">
      <w:pPr>
        <w:pStyle w:val="ConsPlusTitle"/>
        <w:jc w:val="center"/>
      </w:pPr>
      <w:r>
        <w:t>ЕЖЕМЕСЯЧНЫХ ДЕНЕЖНЫХ ВЫПЛАТ НА ОПЛАТУ ЖИЛОГО ПОМЕЩЕНИЯ,</w:t>
      </w:r>
    </w:p>
    <w:p w:rsidR="00540728" w:rsidRDefault="00540728">
      <w:pPr>
        <w:pStyle w:val="ConsPlusTitle"/>
        <w:jc w:val="center"/>
      </w:pPr>
      <w:r>
        <w:t>ЗАНИМАЕМОГО ПО ДОГОВОРУ НАЙМА ЖИЛОГО ПОМЕЩЕНИЯ ЧАСТНОГО</w:t>
      </w:r>
    </w:p>
    <w:p w:rsidR="00540728" w:rsidRDefault="00540728">
      <w:pPr>
        <w:pStyle w:val="ConsPlusTitle"/>
        <w:jc w:val="center"/>
      </w:pPr>
      <w:r>
        <w:t>ЖИЛИЩНОГО ФОНДА, ПОДНАЙМА ЖИЛОГО ПОМЕЩЕНИЯ ЧАСТНОГО,</w:t>
      </w:r>
    </w:p>
    <w:p w:rsidR="00540728" w:rsidRDefault="00540728">
      <w:pPr>
        <w:pStyle w:val="ConsPlusTitle"/>
        <w:jc w:val="center"/>
      </w:pPr>
      <w:r>
        <w:t>ГОСУДАРСТВЕННОГО И МУНИЦИПАЛЬНОГО ЖИЛИЩНОГО ФОНДА,</w:t>
      </w:r>
    </w:p>
    <w:p w:rsidR="00540728" w:rsidRDefault="00540728">
      <w:pPr>
        <w:pStyle w:val="ConsPlusTitle"/>
        <w:jc w:val="center"/>
      </w:pPr>
      <w:r>
        <w:t xml:space="preserve">ГРАЖДАНАМ, ЗАНИМАЮЩИМ ОТДЕЛЬНЫЕ ДОЛЖНОСТИ </w:t>
      </w:r>
      <w:proofErr w:type="gramStart"/>
      <w:r>
        <w:t>МЕДИЦИНСКИХ</w:t>
      </w:r>
      <w:proofErr w:type="gramEnd"/>
    </w:p>
    <w:p w:rsidR="00540728" w:rsidRDefault="00540728">
      <w:pPr>
        <w:pStyle w:val="ConsPlusTitle"/>
        <w:jc w:val="center"/>
      </w:pPr>
      <w:r>
        <w:t xml:space="preserve">РАБОТНИКОВ В ГОСУДАРСТВЕННЫХ </w:t>
      </w:r>
      <w:proofErr w:type="gramStart"/>
      <w:r>
        <w:t>УЧРЕЖДЕНИЯХ</w:t>
      </w:r>
      <w:proofErr w:type="gramEnd"/>
      <w:r>
        <w:t xml:space="preserve"> ЗДРАВООХРАНЕНИЯ</w:t>
      </w:r>
    </w:p>
    <w:p w:rsidR="00540728" w:rsidRDefault="00540728">
      <w:pPr>
        <w:pStyle w:val="ConsPlusTitle"/>
        <w:jc w:val="center"/>
      </w:pPr>
      <w:r>
        <w:t xml:space="preserve">САМАРСКОЙ ОБЛАСТИ, </w:t>
      </w:r>
      <w:proofErr w:type="gramStart"/>
      <w:r>
        <w:t>РАСПОЛОЖЕННЫХ</w:t>
      </w:r>
      <w:proofErr w:type="gramEnd"/>
      <w:r>
        <w:t xml:space="preserve"> НА ТЕРРИТОРИИ</w:t>
      </w:r>
    </w:p>
    <w:p w:rsidR="00540728" w:rsidRDefault="00540728">
      <w:pPr>
        <w:pStyle w:val="ConsPlusTitle"/>
        <w:jc w:val="center"/>
      </w:pPr>
      <w:r>
        <w:t>ГОРОДСКОГО ОКРУГА ТОЛЬЯТТИ</w:t>
      </w:r>
    </w:p>
    <w:p w:rsidR="00540728" w:rsidRDefault="005407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777"/>
        <w:gridCol w:w="113"/>
      </w:tblGrid>
      <w:tr w:rsidR="005407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0728" w:rsidRDefault="005407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0728" w:rsidRDefault="005407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0728" w:rsidRDefault="00540728">
            <w:pPr>
              <w:pStyle w:val="ConsPlusNormal"/>
              <w:jc w:val="center"/>
            </w:pPr>
            <w:r>
              <w:rPr>
                <w:color w:val="392C69"/>
              </w:rPr>
              <w:t>Список изменяющих документов</w:t>
            </w:r>
          </w:p>
          <w:p w:rsidR="00540728" w:rsidRDefault="00540728">
            <w:pPr>
              <w:pStyle w:val="ConsPlusNormal"/>
              <w:jc w:val="center"/>
            </w:pPr>
            <w:proofErr w:type="gramStart"/>
            <w:r>
              <w:rPr>
                <w:color w:val="392C69"/>
              </w:rPr>
              <w:t>(в ред. Постановлений Администрации городского округа Тольятти Самарской</w:t>
            </w:r>
            <w:proofErr w:type="gramEnd"/>
          </w:p>
          <w:p w:rsidR="00540728" w:rsidRDefault="00540728">
            <w:pPr>
              <w:pStyle w:val="ConsPlusNormal"/>
              <w:jc w:val="center"/>
            </w:pPr>
            <w:r>
              <w:rPr>
                <w:color w:val="392C69"/>
              </w:rPr>
              <w:t xml:space="preserve">области от 13.04.2022 </w:t>
            </w:r>
            <w:hyperlink r:id="rId4">
              <w:r>
                <w:rPr>
                  <w:color w:val="0000FF"/>
                </w:rPr>
                <w:t>N 834-п/1</w:t>
              </w:r>
            </w:hyperlink>
            <w:r>
              <w:rPr>
                <w:color w:val="392C69"/>
              </w:rPr>
              <w:t xml:space="preserve">, от 24.10.2024 </w:t>
            </w:r>
            <w:hyperlink r:id="rId5">
              <w:r>
                <w:rPr>
                  <w:color w:val="0000FF"/>
                </w:rPr>
                <w:t>N 1994-п/1</w:t>
              </w:r>
            </w:hyperlink>
            <w:r>
              <w:rPr>
                <w:color w:val="392C69"/>
              </w:rPr>
              <w:t>,</w:t>
            </w:r>
          </w:p>
          <w:p w:rsidR="00540728" w:rsidRDefault="00540728">
            <w:pPr>
              <w:pStyle w:val="ConsPlusNormal"/>
              <w:jc w:val="center"/>
            </w:pPr>
            <w:r>
              <w:rPr>
                <w:color w:val="392C69"/>
              </w:rPr>
              <w:t xml:space="preserve">от 04.09.2025 </w:t>
            </w:r>
            <w:hyperlink r:id="rId6">
              <w:r>
                <w:rPr>
                  <w:color w:val="0000FF"/>
                </w:rPr>
                <w:t>N 1601-п/1</w:t>
              </w:r>
            </w:hyperlink>
            <w:r>
              <w:rPr>
                <w:color w:val="392C69"/>
              </w:rPr>
              <w:t xml:space="preserve"> (ред. 01.12.2025), от 01.12.2025 </w:t>
            </w:r>
            <w:hyperlink r:id="rId7">
              <w:r>
                <w:rPr>
                  <w:color w:val="0000FF"/>
                </w:rPr>
                <w:t>N 2443-п/1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0728" w:rsidRDefault="00540728">
            <w:pPr>
              <w:pStyle w:val="ConsPlusNormal"/>
            </w:pPr>
          </w:p>
        </w:tc>
      </w:tr>
    </w:tbl>
    <w:p w:rsidR="00540728" w:rsidRDefault="00540728">
      <w:pPr>
        <w:pStyle w:val="ConsPlusNormal"/>
        <w:jc w:val="both"/>
      </w:pPr>
    </w:p>
    <w:p w:rsidR="00540728" w:rsidRDefault="00540728">
      <w:pPr>
        <w:pStyle w:val="ConsPlusNormal"/>
        <w:ind w:firstLine="540"/>
        <w:jc w:val="both"/>
      </w:pPr>
      <w:proofErr w:type="gramStart"/>
      <w:r>
        <w:t xml:space="preserve">В соответствии с </w:t>
      </w:r>
      <w:hyperlink r:id="rId8">
        <w:r>
          <w:rPr>
            <w:color w:val="0000FF"/>
          </w:rPr>
          <w:t>частью 5 статьи 36</w:t>
        </w:r>
      </w:hyperlink>
      <w:r>
        <w:t xml:space="preserve"> Федерального закона от 20.03.2025 N 33-ФЗ "Об общих принципах организации местного самоуправления в единой системе публичной власти", </w:t>
      </w:r>
      <w:hyperlink r:id="rId9">
        <w:r>
          <w:rPr>
            <w:color w:val="0000FF"/>
          </w:rPr>
          <w:t>статьями 69</w:t>
        </w:r>
      </w:hyperlink>
      <w:r>
        <w:t xml:space="preserve">, </w:t>
      </w:r>
      <w:hyperlink r:id="rId10">
        <w:r>
          <w:rPr>
            <w:color w:val="0000FF"/>
          </w:rPr>
          <w:t>74.1</w:t>
        </w:r>
      </w:hyperlink>
      <w:r>
        <w:t xml:space="preserve">, </w:t>
      </w:r>
      <w:hyperlink r:id="rId11">
        <w:r>
          <w:rPr>
            <w:color w:val="0000FF"/>
          </w:rPr>
          <w:t>86</w:t>
        </w:r>
      </w:hyperlink>
      <w:r>
        <w:t xml:space="preserve"> Бюджетного кодекса Российской Федерации, </w:t>
      </w:r>
      <w:hyperlink r:id="rId12">
        <w:r>
          <w:rPr>
            <w:color w:val="0000FF"/>
          </w:rPr>
          <w:t>статьей 17</w:t>
        </w:r>
      </w:hyperlink>
      <w:r>
        <w:t xml:space="preserve"> Федерального закона от 21.11.2011 N 323-ФЗ "Об основах охраны здоровья граждан в Российской Федерации", </w:t>
      </w:r>
      <w:hyperlink r:id="rId13">
        <w:r>
          <w:rPr>
            <w:color w:val="0000FF"/>
          </w:rPr>
          <w:t>статьей 7</w:t>
        </w:r>
      </w:hyperlink>
      <w:r>
        <w:t xml:space="preserve"> Закона Самарской области от 03.10.2014 N 82-ГД "Об отдельных вопросах</w:t>
      </w:r>
      <w:proofErr w:type="gramEnd"/>
      <w:r>
        <w:t xml:space="preserve"> </w:t>
      </w:r>
      <w:proofErr w:type="gramStart"/>
      <w:r>
        <w:t xml:space="preserve">в сфере охраны здоровья граждан в Самарской области", </w:t>
      </w:r>
      <w:hyperlink r:id="rId14">
        <w:r>
          <w:rPr>
            <w:color w:val="0000FF"/>
          </w:rPr>
          <w:t>пунктом 1</w:t>
        </w:r>
      </w:hyperlink>
      <w:r>
        <w:t xml:space="preserve"> постановления Правительства Самарской области от 17.02.2025 N 51 "Об отдельных вопросах реализации на территории Самарской области постановления Правительства Российской Федерации от 03.05.2024 N 564 "Об утверждении основных требований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w:t>
      </w:r>
      <w:proofErr w:type="gramEnd"/>
      <w:r>
        <w:t xml:space="preserve"> социальных гарантий и выплат", </w:t>
      </w:r>
      <w:hyperlink r:id="rId15">
        <w:r>
          <w:rPr>
            <w:color w:val="0000FF"/>
          </w:rPr>
          <w:t>пунктом 14</w:t>
        </w:r>
      </w:hyperlink>
      <w:r>
        <w:t xml:space="preserve"> Положения об отдельных вопросах в сфере охраны здоровья граждан в городском округе Тольятти, утвержденного решением Думы городского округа Тольятти от 08.07.2015 N 778, руководствуясь </w:t>
      </w:r>
      <w:hyperlink r:id="rId16">
        <w:r>
          <w:rPr>
            <w:color w:val="0000FF"/>
          </w:rPr>
          <w:t>Уставом</w:t>
        </w:r>
      </w:hyperlink>
      <w:r>
        <w:t xml:space="preserve"> городского округа Тольятти, администрация городского округа Тольятти постановляет:</w:t>
      </w:r>
    </w:p>
    <w:p w:rsidR="00540728" w:rsidRDefault="00540728">
      <w:pPr>
        <w:pStyle w:val="ConsPlusNormal"/>
        <w:spacing w:before="220"/>
        <w:ind w:firstLine="540"/>
        <w:jc w:val="both"/>
      </w:pPr>
      <w:bookmarkStart w:id="0" w:name="P23"/>
      <w:bookmarkEnd w:id="0"/>
      <w:r>
        <w:t xml:space="preserve">1. </w:t>
      </w:r>
      <w:proofErr w:type="gramStart"/>
      <w:r>
        <w:t>Установить, что к расходным обязательствам городского округа Тольятти относится предоставление дополнительных мер социальной поддержки в виде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гражданам, занимающим отдельные должности медицинских работников в государственных учреждениях здравоохранения Самарской области, расположенных на территории городского округа Тольятти (далее</w:t>
      </w:r>
      <w:proofErr w:type="gramEnd"/>
      <w:r>
        <w:t xml:space="preserve"> - денежная выплата).</w:t>
      </w:r>
    </w:p>
    <w:p w:rsidR="00540728" w:rsidRDefault="00540728">
      <w:pPr>
        <w:pStyle w:val="ConsPlusNormal"/>
        <w:spacing w:before="220"/>
        <w:ind w:firstLine="540"/>
        <w:jc w:val="both"/>
      </w:pPr>
      <w:r>
        <w:t>2. Установить, что:</w:t>
      </w:r>
    </w:p>
    <w:p w:rsidR="00540728" w:rsidRDefault="00540728">
      <w:pPr>
        <w:pStyle w:val="ConsPlusNormal"/>
        <w:spacing w:before="220"/>
        <w:ind w:firstLine="540"/>
        <w:jc w:val="both"/>
      </w:pPr>
      <w:r>
        <w:t xml:space="preserve">2.1. </w:t>
      </w:r>
      <w:proofErr w:type="gramStart"/>
      <w:r>
        <w:t>Размер денежной выплаты равен размеру вносимой платы за жилое помещение, установленной соответствующим договором найма жилого помещения частного жилищного фонда, поднайма жилого помещения частного, государственного или муниципального жилищного фондов, но не более 7000 рублей ежемесячно.</w:t>
      </w:r>
      <w:proofErr w:type="gramEnd"/>
    </w:p>
    <w:p w:rsidR="00540728" w:rsidRDefault="00540728">
      <w:pPr>
        <w:pStyle w:val="ConsPlusNormal"/>
        <w:spacing w:before="220"/>
        <w:ind w:firstLine="540"/>
        <w:jc w:val="both"/>
      </w:pPr>
      <w:bookmarkStart w:id="1" w:name="P27"/>
      <w:bookmarkEnd w:id="1"/>
      <w:r>
        <w:t>2.2. Под получателем денежной выплаты понимается гражданин Российской Федерации, одновременно отвечающий следующим условиям:</w:t>
      </w:r>
    </w:p>
    <w:p w:rsidR="00540728" w:rsidRDefault="00540728">
      <w:pPr>
        <w:pStyle w:val="ConsPlusNormal"/>
        <w:spacing w:before="220"/>
        <w:ind w:firstLine="540"/>
        <w:jc w:val="both"/>
      </w:pPr>
      <w:r>
        <w:lastRenderedPageBreak/>
        <w:t>2.2.1. данный гражданин является нанимателем жилого помещения, расположенного в городском округе Тольятти, по договору найма жилого помещения частного жилищного фонда и (или) по договору поднайма жилого помещения частного, государственного или муниципального жилищных фондов (далее - договор найма (поднайма));</w:t>
      </w:r>
    </w:p>
    <w:p w:rsidR="00540728" w:rsidRDefault="00540728">
      <w:pPr>
        <w:pStyle w:val="ConsPlusNormal"/>
        <w:spacing w:before="220"/>
        <w:ind w:firstLine="540"/>
        <w:jc w:val="both"/>
      </w:pPr>
      <w:bookmarkStart w:id="2" w:name="P29"/>
      <w:bookmarkEnd w:id="2"/>
      <w:r>
        <w:t xml:space="preserve">2.2.2. данный гражданин замещает в соответствии со штатным расписанием в государственном учреждении здравоохранения Самарской области, расположенном на территории городского округа Тольятти (далее - учреждение здравоохранения), на условиях трудового договора должность медицинского работника, предусмотренную утвержденной приказом Министерства здравоохранения Российской Федерации </w:t>
      </w:r>
      <w:hyperlink r:id="rId17">
        <w:r>
          <w:rPr>
            <w:color w:val="0000FF"/>
          </w:rPr>
          <w:t>Номенклатурой</w:t>
        </w:r>
      </w:hyperlink>
      <w:r>
        <w:t xml:space="preserve"> должностей медицинских работников и фармацевтических работников;</w:t>
      </w:r>
    </w:p>
    <w:p w:rsidR="00540728" w:rsidRDefault="00540728">
      <w:pPr>
        <w:pStyle w:val="ConsPlusNormal"/>
        <w:spacing w:before="220"/>
        <w:ind w:firstLine="540"/>
        <w:jc w:val="both"/>
      </w:pPr>
      <w:r>
        <w:t>2.2.3. работа в учреждении здравоохранения является для данного гражданина основной работой;</w:t>
      </w:r>
    </w:p>
    <w:p w:rsidR="00540728" w:rsidRDefault="00540728">
      <w:pPr>
        <w:pStyle w:val="ConsPlusNormal"/>
        <w:spacing w:before="220"/>
        <w:ind w:firstLine="540"/>
        <w:jc w:val="both"/>
      </w:pPr>
      <w:r>
        <w:t>2.2.4. данный гражданин (член его семьи):</w:t>
      </w:r>
    </w:p>
    <w:p w:rsidR="00540728" w:rsidRDefault="00540728">
      <w:pPr>
        <w:pStyle w:val="ConsPlusNormal"/>
        <w:spacing w:before="220"/>
        <w:ind w:firstLine="540"/>
        <w:jc w:val="both"/>
      </w:pPr>
      <w:r>
        <w:t>- не занимает в городском округе Тольятти по договору социального найма жилое помещение муниципального или государственного жилищных фондов;</w:t>
      </w:r>
    </w:p>
    <w:p w:rsidR="00540728" w:rsidRDefault="00540728">
      <w:pPr>
        <w:pStyle w:val="ConsPlusNormal"/>
        <w:spacing w:before="220"/>
        <w:ind w:firstLine="540"/>
        <w:jc w:val="both"/>
      </w:pPr>
      <w:r>
        <w:t>- не является собственником жилого помещения, расположенного в городском округе Тольятти.</w:t>
      </w:r>
    </w:p>
    <w:p w:rsidR="00540728" w:rsidRDefault="00540728">
      <w:pPr>
        <w:pStyle w:val="ConsPlusNormal"/>
        <w:spacing w:before="220"/>
        <w:ind w:firstLine="540"/>
        <w:jc w:val="both"/>
      </w:pPr>
      <w:r>
        <w:t xml:space="preserve">2.3. В </w:t>
      </w:r>
      <w:proofErr w:type="gramStart"/>
      <w:r>
        <w:t>случае</w:t>
      </w:r>
      <w:proofErr w:type="gramEnd"/>
      <w:r>
        <w:t xml:space="preserve"> если два и более совместно проживающих в жилом помещении, занимаемом на основании договора найма (поднайма), члена семьи относятся к гражданам, указанным в </w:t>
      </w:r>
      <w:hyperlink w:anchor="P27">
        <w:r>
          <w:rPr>
            <w:color w:val="0000FF"/>
          </w:rPr>
          <w:t>подпункте 2.2 пункта 2</w:t>
        </w:r>
      </w:hyperlink>
      <w:r>
        <w:t xml:space="preserve"> настоящего Постановления, данные выплаты назначаются и предоставляются одному из членов семьи.</w:t>
      </w:r>
    </w:p>
    <w:p w:rsidR="00540728" w:rsidRDefault="00540728">
      <w:pPr>
        <w:pStyle w:val="ConsPlusNormal"/>
        <w:spacing w:before="220"/>
        <w:ind w:firstLine="540"/>
        <w:jc w:val="both"/>
      </w:pPr>
      <w:r>
        <w:t xml:space="preserve">В </w:t>
      </w:r>
      <w:proofErr w:type="gramStart"/>
      <w:r>
        <w:t>целях</w:t>
      </w:r>
      <w:proofErr w:type="gramEnd"/>
      <w:r>
        <w:t xml:space="preserve"> настоящего Постановления под членами семьи понимаются совместно проживающие в жилом помещении, занимаемом на основании договора найма (поднайма), супруги, родители и дети.</w:t>
      </w:r>
    </w:p>
    <w:p w:rsidR="00540728" w:rsidRDefault="00540728">
      <w:pPr>
        <w:pStyle w:val="ConsPlusNormal"/>
        <w:spacing w:before="220"/>
        <w:ind w:firstLine="540"/>
        <w:jc w:val="both"/>
      </w:pPr>
      <w:r>
        <w:t xml:space="preserve">2.4. В </w:t>
      </w:r>
      <w:proofErr w:type="gramStart"/>
      <w:r>
        <w:t>случае</w:t>
      </w:r>
      <w:proofErr w:type="gramEnd"/>
      <w:r>
        <w:t xml:space="preserve"> если гражданин, указанный в </w:t>
      </w:r>
      <w:hyperlink w:anchor="P27">
        <w:r>
          <w:rPr>
            <w:color w:val="0000FF"/>
          </w:rPr>
          <w:t>подпункте 2.2 пункта 2</w:t>
        </w:r>
      </w:hyperlink>
      <w:r>
        <w:t xml:space="preserve"> настоящего Постановления, заключил два и более договора найма (поднайма), денежные выплаты назначаются и предоставляются в отношении одного из соответствующих жилых помещений по выбору гражданина.</w:t>
      </w:r>
    </w:p>
    <w:p w:rsidR="00540728" w:rsidRDefault="00540728">
      <w:pPr>
        <w:pStyle w:val="ConsPlusNormal"/>
        <w:spacing w:before="220"/>
        <w:ind w:firstLine="540"/>
        <w:jc w:val="both"/>
      </w:pPr>
      <w:r>
        <w:t xml:space="preserve">2.5. В </w:t>
      </w:r>
      <w:proofErr w:type="gramStart"/>
      <w:r>
        <w:t>случае</w:t>
      </w:r>
      <w:proofErr w:type="gramEnd"/>
      <w:r>
        <w:t xml:space="preserve"> если гражданин, указанный в </w:t>
      </w:r>
      <w:hyperlink w:anchor="P27">
        <w:r>
          <w:rPr>
            <w:color w:val="0000FF"/>
          </w:rPr>
          <w:t>подпункте 2.2 пункта 2</w:t>
        </w:r>
      </w:hyperlink>
      <w:r>
        <w:t xml:space="preserve"> настоящего Постановления, в учреждении здравоохранения одновременно замещает несколько должностей, указанных в </w:t>
      </w:r>
      <w:hyperlink w:anchor="P29">
        <w:r>
          <w:rPr>
            <w:color w:val="0000FF"/>
          </w:rPr>
          <w:t>подпункте 2.2.2 пункта 2</w:t>
        </w:r>
      </w:hyperlink>
      <w:r>
        <w:t xml:space="preserve"> настоящего Постановления, денежная выплата назначается и предоставляется по одной из данных должностей по выбору гражданина.</w:t>
      </w:r>
    </w:p>
    <w:p w:rsidR="00540728" w:rsidRDefault="00540728">
      <w:pPr>
        <w:pStyle w:val="ConsPlusNormal"/>
        <w:spacing w:before="220"/>
        <w:ind w:firstLine="540"/>
        <w:jc w:val="both"/>
      </w:pPr>
      <w:r>
        <w:t xml:space="preserve">2.6. Прием необходимых для назначения и предоставления денежной выплаты документов осуществляется муниципальным автономным учреждением городского округа Тольятти "Многофункциональный центр предоставления государственных и муниципальных услуг" (далее - МАУ "МФЦ") (за исключением случаев, предусмотренных соглашением, указанным в </w:t>
      </w:r>
      <w:hyperlink w:anchor="P59">
        <w:r>
          <w:rPr>
            <w:color w:val="0000FF"/>
          </w:rPr>
          <w:t>подпункте 2.9 пункта 2</w:t>
        </w:r>
      </w:hyperlink>
      <w:r>
        <w:t xml:space="preserve"> настоящего Постановления, в этом случае прием документов определяется данным соглашением).</w:t>
      </w:r>
    </w:p>
    <w:p w:rsidR="00540728" w:rsidRDefault="00540728">
      <w:pPr>
        <w:pStyle w:val="ConsPlusNormal"/>
        <w:spacing w:before="220"/>
        <w:ind w:firstLine="540"/>
        <w:jc w:val="both"/>
      </w:pPr>
      <w:r>
        <w:t xml:space="preserve">2.7. Денежная выплата предоставляется с января текущего года, но не ранее месяца приема гражданина, указанного в </w:t>
      </w:r>
      <w:hyperlink w:anchor="P27">
        <w:r>
          <w:rPr>
            <w:color w:val="0000FF"/>
          </w:rPr>
          <w:t>подпункте 2.2 пункта 2</w:t>
        </w:r>
      </w:hyperlink>
      <w:r>
        <w:t xml:space="preserve"> настоящего постановления, на работу в должности медицинского работника, предусмотренной утвержденной приказом Министерства здравоохранения Российской Федерации Номенклатурой должностей медицинских работников и фармацевтических работников, а также месяца начала действия договора найма (поднайма).</w:t>
      </w:r>
    </w:p>
    <w:p w:rsidR="00540728" w:rsidRDefault="00540728">
      <w:pPr>
        <w:pStyle w:val="ConsPlusNormal"/>
        <w:spacing w:before="220"/>
        <w:ind w:firstLine="540"/>
        <w:jc w:val="both"/>
      </w:pPr>
      <w:r>
        <w:t>следующие обстоятельства:</w:t>
      </w:r>
    </w:p>
    <w:p w:rsidR="00540728" w:rsidRDefault="00540728">
      <w:pPr>
        <w:pStyle w:val="ConsPlusNormal"/>
        <w:spacing w:before="220"/>
        <w:ind w:firstLine="540"/>
        <w:jc w:val="both"/>
      </w:pPr>
      <w:r>
        <w:t xml:space="preserve">- прекращение соответствия гражданина требованиям, указанным в </w:t>
      </w:r>
      <w:hyperlink w:anchor="P27">
        <w:r>
          <w:rPr>
            <w:color w:val="0000FF"/>
          </w:rPr>
          <w:t>подпункте 2.2 пункта 2</w:t>
        </w:r>
      </w:hyperlink>
      <w:r>
        <w:t xml:space="preserve"> настоящего Постановления;</w:t>
      </w:r>
    </w:p>
    <w:p w:rsidR="00540728" w:rsidRDefault="00540728">
      <w:pPr>
        <w:pStyle w:val="ConsPlusNormal"/>
        <w:spacing w:before="220"/>
        <w:ind w:firstLine="540"/>
        <w:jc w:val="both"/>
      </w:pPr>
      <w:r>
        <w:t>- смерть получателя денежной выплаты.</w:t>
      </w:r>
    </w:p>
    <w:p w:rsidR="00540728" w:rsidRDefault="00540728">
      <w:pPr>
        <w:pStyle w:val="ConsPlusNormal"/>
        <w:spacing w:before="220"/>
        <w:ind w:firstLine="540"/>
        <w:jc w:val="both"/>
      </w:pPr>
      <w:r>
        <w:lastRenderedPageBreak/>
        <w:t xml:space="preserve">В </w:t>
      </w:r>
      <w:proofErr w:type="gramStart"/>
      <w:r>
        <w:t>случае</w:t>
      </w:r>
      <w:proofErr w:type="gramEnd"/>
      <w:r>
        <w:t xml:space="preserve"> излишнего перечисления денежных выплат они подлежат возврату в соответствующей части в бюджет городского округа Тольятти гражданином, получившим данные средства.</w:t>
      </w:r>
    </w:p>
    <w:p w:rsidR="00540728" w:rsidRDefault="00540728">
      <w:pPr>
        <w:pStyle w:val="ConsPlusNormal"/>
        <w:spacing w:before="220"/>
        <w:ind w:firstLine="540"/>
        <w:jc w:val="both"/>
      </w:pPr>
      <w:r>
        <w:t>МАУ "МФЦ" в течение 10 (десяти) рабочих дней со дня получения информации о факте излишнего перечисления денежных выплат направляет гражданину требование о возврате соответствующих сре</w:t>
      </w:r>
      <w:proofErr w:type="gramStart"/>
      <w:r>
        <w:t>дств в б</w:t>
      </w:r>
      <w:proofErr w:type="gramEnd"/>
      <w:r>
        <w:t>юджет городского округа Тольятти.</w:t>
      </w:r>
    </w:p>
    <w:p w:rsidR="00540728" w:rsidRDefault="00540728">
      <w:pPr>
        <w:pStyle w:val="ConsPlusNormal"/>
        <w:spacing w:before="220"/>
        <w:ind w:firstLine="540"/>
        <w:jc w:val="both"/>
      </w:pPr>
      <w:r>
        <w:t>Гражданин добровольно возвращает на счет МАУ "МФЦ" излишне перечисленные денежные выплаты в срок не позднее 14 (четырнадцати) дней со дня получения указанного требования.</w:t>
      </w:r>
    </w:p>
    <w:p w:rsidR="00540728" w:rsidRDefault="00540728">
      <w:pPr>
        <w:pStyle w:val="ConsPlusNormal"/>
        <w:spacing w:before="220"/>
        <w:ind w:firstLine="540"/>
        <w:jc w:val="both"/>
      </w:pPr>
      <w:r>
        <w:t xml:space="preserve">В </w:t>
      </w:r>
      <w:proofErr w:type="gramStart"/>
      <w:r>
        <w:t>случае</w:t>
      </w:r>
      <w:proofErr w:type="gramEnd"/>
      <w:r>
        <w:t xml:space="preserve"> </w:t>
      </w:r>
      <w:proofErr w:type="spellStart"/>
      <w:r>
        <w:t>невозврата</w:t>
      </w:r>
      <w:proofErr w:type="spellEnd"/>
      <w:r>
        <w:t xml:space="preserve"> гражданином в указанный срок излишне перечисленных денежных выплат соответствующие средства взыскиваются в судебном порядке.</w:t>
      </w:r>
    </w:p>
    <w:p w:rsidR="00540728" w:rsidRDefault="00540728">
      <w:pPr>
        <w:pStyle w:val="ConsPlusNormal"/>
        <w:spacing w:before="220"/>
        <w:ind w:firstLine="540"/>
        <w:jc w:val="both"/>
      </w:pPr>
      <w:r>
        <w:t xml:space="preserve">2.8. </w:t>
      </w:r>
      <w:proofErr w:type="gramStart"/>
      <w:r>
        <w:t>Порядок и стандарт предоставления соответствующей муниципальной услуги устанавливаются административным регламентом предоставления муниципальной услуги "Предоставление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гражданам, занимающим отдельные должности медицинских работников в государственных учреждениях здравоохранения Самарской области, расположенных на территории городского округа Тольятти".</w:t>
      </w:r>
      <w:proofErr w:type="gramEnd"/>
    </w:p>
    <w:p w:rsidR="00540728" w:rsidRDefault="00540728">
      <w:pPr>
        <w:pStyle w:val="ConsPlusNormal"/>
        <w:spacing w:before="220"/>
        <w:ind w:firstLine="540"/>
        <w:jc w:val="both"/>
      </w:pPr>
      <w:r>
        <w:t>Денежная выплата предоставляется на основании распоряжения заместителя главы городского округа Тольятти по социальным вопросам.</w:t>
      </w:r>
    </w:p>
    <w:p w:rsidR="00540728" w:rsidRDefault="00540728">
      <w:pPr>
        <w:pStyle w:val="ConsPlusNormal"/>
        <w:spacing w:before="220"/>
        <w:ind w:firstLine="540"/>
        <w:jc w:val="both"/>
      </w:pPr>
      <w:bookmarkStart w:id="3" w:name="P59"/>
      <w:bookmarkEnd w:id="3"/>
      <w:r>
        <w:t>2.9. Назначение и предоставление денежной выплаты осуществляется при содействии учреждений здравоохранения на основании соответствующего заключенного соглашения о взаимодействии с администрацией городского округа Тольятти.</w:t>
      </w:r>
    </w:p>
    <w:p w:rsidR="00540728" w:rsidRDefault="00540728">
      <w:pPr>
        <w:pStyle w:val="ConsPlusNormal"/>
        <w:spacing w:before="220"/>
        <w:ind w:firstLine="540"/>
        <w:jc w:val="both"/>
      </w:pPr>
      <w:r>
        <w:t xml:space="preserve">3. </w:t>
      </w:r>
      <w:proofErr w:type="gramStart"/>
      <w:r>
        <w:t xml:space="preserve">Департаменту финансов администрации городского округа Тольятти (Миронова Л.А.) осуществлять финансовое обеспечение расходного обязательства, установленного </w:t>
      </w:r>
      <w:hyperlink w:anchor="P23">
        <w:r>
          <w:rPr>
            <w:color w:val="0000FF"/>
          </w:rPr>
          <w:t>пунктом 1</w:t>
        </w:r>
      </w:hyperlink>
      <w:r>
        <w:t xml:space="preserve"> настоящего Постановления, в пределах бюджетных ассигнований, предусмотренных в бюджете городского округа Тольятти по главному распорядителю бюджетных средств - департаменту информационных технологий и связи администрации городского округа Тольятти на соответствующий финансовый год и плановый период на соответствующие цели.</w:t>
      </w:r>
      <w:proofErr w:type="gramEnd"/>
    </w:p>
    <w:p w:rsidR="00540728" w:rsidRDefault="00540728">
      <w:pPr>
        <w:pStyle w:val="ConsPlusNormal"/>
        <w:spacing w:before="220"/>
        <w:ind w:firstLine="540"/>
        <w:jc w:val="both"/>
      </w:pPr>
      <w:r>
        <w:t>4. Департаменту социального обеспечения администрации городского округа Тольятти, департаменту информационных технологий и связи администрации городского округа Тольятти (Балашова Е.В.) через МАУ "МФЦ" (</w:t>
      </w:r>
      <w:proofErr w:type="spellStart"/>
      <w:r>
        <w:t>Рослякова</w:t>
      </w:r>
      <w:proofErr w:type="spellEnd"/>
      <w:r>
        <w:t xml:space="preserve"> Е.В.) организовать работу по предоставлению денежной выплаты.</w:t>
      </w:r>
    </w:p>
    <w:p w:rsidR="00540728" w:rsidRDefault="00540728">
      <w:pPr>
        <w:pStyle w:val="ConsPlusNormal"/>
        <w:spacing w:before="220"/>
        <w:ind w:firstLine="540"/>
        <w:jc w:val="both"/>
      </w:pPr>
      <w:r>
        <w:t>5. Организационному управлению администрации городского округа Тольятти (Власов В.А.) опубликовать настоящее Постановление в газете "Городские ведомости".</w:t>
      </w:r>
    </w:p>
    <w:p w:rsidR="00540728" w:rsidRDefault="00540728">
      <w:pPr>
        <w:pStyle w:val="ConsPlusNormal"/>
        <w:spacing w:before="220"/>
        <w:ind w:firstLine="540"/>
        <w:jc w:val="both"/>
      </w:pPr>
      <w:r>
        <w:t>6. Настоящее Постановление вступает в силу после дня его официального опубликования.</w:t>
      </w:r>
    </w:p>
    <w:p w:rsidR="00540728" w:rsidRDefault="00540728">
      <w:pPr>
        <w:pStyle w:val="ConsPlusNormal"/>
        <w:spacing w:before="220"/>
        <w:ind w:firstLine="540"/>
        <w:jc w:val="both"/>
      </w:pPr>
      <w:r>
        <w:t xml:space="preserve">7. </w:t>
      </w:r>
      <w:proofErr w:type="gramStart"/>
      <w:r>
        <w:t>Контроль за</w:t>
      </w:r>
      <w:proofErr w:type="gramEnd"/>
      <w:r>
        <w:t xml:space="preserve"> исполнением настоящего Постановления возложить на заместителя главы городского округа по социальным вопросам.</w:t>
      </w:r>
    </w:p>
    <w:p w:rsidR="00540728" w:rsidRDefault="00540728">
      <w:pPr>
        <w:pStyle w:val="ConsPlusNormal"/>
        <w:jc w:val="both"/>
      </w:pPr>
    </w:p>
    <w:p w:rsidR="00540728" w:rsidRDefault="00540728">
      <w:pPr>
        <w:pStyle w:val="ConsPlusNormal"/>
        <w:jc w:val="right"/>
      </w:pPr>
      <w:r>
        <w:t>Глава</w:t>
      </w:r>
    </w:p>
    <w:p w:rsidR="00540728" w:rsidRDefault="00540728">
      <w:pPr>
        <w:pStyle w:val="ConsPlusNormal"/>
        <w:jc w:val="right"/>
      </w:pPr>
      <w:r>
        <w:t>городского округа</w:t>
      </w:r>
    </w:p>
    <w:p w:rsidR="00540728" w:rsidRDefault="00540728">
      <w:pPr>
        <w:pStyle w:val="ConsPlusNormal"/>
        <w:jc w:val="right"/>
      </w:pPr>
      <w:r>
        <w:t>С.А.АНТАШЕВ</w:t>
      </w:r>
    </w:p>
    <w:p w:rsidR="00540728" w:rsidRDefault="00540728">
      <w:pPr>
        <w:pStyle w:val="ConsPlusNormal"/>
        <w:jc w:val="both"/>
      </w:pPr>
    </w:p>
    <w:p w:rsidR="00540728" w:rsidRDefault="00540728">
      <w:pPr>
        <w:pStyle w:val="ConsPlusNormal"/>
        <w:jc w:val="both"/>
      </w:pPr>
    </w:p>
    <w:p w:rsidR="00540728" w:rsidRDefault="00540728">
      <w:pPr>
        <w:pStyle w:val="ConsPlusNormal"/>
        <w:pBdr>
          <w:bottom w:val="single" w:sz="6" w:space="0" w:color="auto"/>
        </w:pBdr>
        <w:spacing w:before="100" w:after="100"/>
        <w:jc w:val="both"/>
        <w:rPr>
          <w:sz w:val="2"/>
          <w:szCs w:val="2"/>
        </w:rPr>
      </w:pPr>
    </w:p>
    <w:p w:rsidR="009279C3" w:rsidRDefault="00540728"/>
    <w:sectPr w:rsidR="009279C3" w:rsidSect="00540728">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40728"/>
    <w:rsid w:val="000A47B2"/>
    <w:rsid w:val="003B137C"/>
    <w:rsid w:val="00540728"/>
    <w:rsid w:val="00DD5F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7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07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407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4072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540" TargetMode="External"/><Relationship Id="rId13" Type="http://schemas.openxmlformats.org/officeDocument/2006/relationships/hyperlink" Target="https://login.consultant.ru/link/?req=doc&amp;base=RLAW256&amp;n=196821&amp;dst=10007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256&amp;n=206135&amp;dst=100005" TargetMode="External"/><Relationship Id="rId12" Type="http://schemas.openxmlformats.org/officeDocument/2006/relationships/hyperlink" Target="https://login.consultant.ru/link/?req=doc&amp;base=LAW&amp;n=510750&amp;dst=100230" TargetMode="External"/><Relationship Id="rId17" Type="http://schemas.openxmlformats.org/officeDocument/2006/relationships/hyperlink" Target="https://login.consultant.ru/link/?req=doc&amp;base=LAW&amp;n=509216&amp;dst=100014" TargetMode="External"/><Relationship Id="rId2" Type="http://schemas.openxmlformats.org/officeDocument/2006/relationships/settings" Target="settings.xml"/><Relationship Id="rId16" Type="http://schemas.openxmlformats.org/officeDocument/2006/relationships/hyperlink" Target="https://login.consultant.ru/link/?req=doc&amp;base=RLAW256&amp;n=201670&amp;dst=100024" TargetMode="External"/><Relationship Id="rId1" Type="http://schemas.openxmlformats.org/officeDocument/2006/relationships/styles" Target="styles.xml"/><Relationship Id="rId6" Type="http://schemas.openxmlformats.org/officeDocument/2006/relationships/hyperlink" Target="https://login.consultant.ru/link/?req=doc&amp;base=RLAW256&amp;n=206243&amp;dst=100005" TargetMode="External"/><Relationship Id="rId11" Type="http://schemas.openxmlformats.org/officeDocument/2006/relationships/hyperlink" Target="https://login.consultant.ru/link/?req=doc&amp;base=LAW&amp;n=495710&amp;dst=1484" TargetMode="External"/><Relationship Id="rId5" Type="http://schemas.openxmlformats.org/officeDocument/2006/relationships/hyperlink" Target="https://login.consultant.ru/link/?req=doc&amp;base=RLAW256&amp;n=189737&amp;dst=100005" TargetMode="External"/><Relationship Id="rId15" Type="http://schemas.openxmlformats.org/officeDocument/2006/relationships/hyperlink" Target="https://login.consultant.ru/link/?req=doc&amp;base=RLAW256&amp;n=121523&amp;dst=100077" TargetMode="External"/><Relationship Id="rId10" Type="http://schemas.openxmlformats.org/officeDocument/2006/relationships/hyperlink" Target="https://login.consultant.ru/link/?req=doc&amp;base=LAW&amp;n=495710&amp;dst=1398" TargetMode="External"/><Relationship Id="rId19" Type="http://schemas.openxmlformats.org/officeDocument/2006/relationships/theme" Target="theme/theme1.xml"/><Relationship Id="rId4" Type="http://schemas.openxmlformats.org/officeDocument/2006/relationships/hyperlink" Target="https://login.consultant.ru/link/?req=doc&amp;base=RLAW256&amp;n=155026&amp;dst=100005" TargetMode="External"/><Relationship Id="rId9" Type="http://schemas.openxmlformats.org/officeDocument/2006/relationships/hyperlink" Target="https://login.consultant.ru/link/?req=doc&amp;base=LAW&amp;n=495710&amp;dst=1350" TargetMode="External"/><Relationship Id="rId14" Type="http://schemas.openxmlformats.org/officeDocument/2006/relationships/hyperlink" Target="https://login.consultant.ru/link/?req=doc&amp;base=RLAW256&amp;n=194921&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1576</Words>
  <Characters>8984</Characters>
  <Application>Microsoft Office Word</Application>
  <DocSecurity>0</DocSecurity>
  <Lines>74</Lines>
  <Paragraphs>21</Paragraphs>
  <ScaleCrop>false</ScaleCrop>
  <Company/>
  <LinksUpToDate>false</LinksUpToDate>
  <CharactersWithSpaces>10539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ulianova.ov</dc:creator>
  <cp:lastModifiedBy>ulianova.ov</cp:lastModifiedBy>
  <cp:revision>1</cp:revision>
  <dcterms:created xsi:type="dcterms:W3CDTF">2026-01-29T04:11:00Z</dcterms:created>
  <dcterms:modified xsi:type="dcterms:W3CDTF">2026-01-29T04:13:00Z</dcterms:modified>
</cp:coreProperties>
</file>