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68" w:rsidRDefault="00D37C68">
      <w:pPr>
        <w:pStyle w:val="ConsPlusTitle"/>
        <w:jc w:val="center"/>
      </w:pPr>
      <w:r>
        <w:t>АДМИНИСТРАЦИЯ ГОРОДСКОГО ОКРУГА ТОЛЬЯТТИ</w:t>
      </w:r>
    </w:p>
    <w:p w:rsidR="00D37C68" w:rsidRDefault="00D37C68">
      <w:pPr>
        <w:pStyle w:val="ConsPlusTitle"/>
        <w:jc w:val="center"/>
      </w:pPr>
      <w:r>
        <w:t>САМАРСКОЙ ОБЛАСТИ</w:t>
      </w:r>
    </w:p>
    <w:p w:rsidR="00D37C68" w:rsidRDefault="00D37C68">
      <w:pPr>
        <w:pStyle w:val="ConsPlusTitle"/>
        <w:jc w:val="both"/>
      </w:pPr>
    </w:p>
    <w:p w:rsidR="00D37C68" w:rsidRDefault="00D37C68">
      <w:pPr>
        <w:pStyle w:val="ConsPlusTitle"/>
        <w:jc w:val="center"/>
      </w:pPr>
      <w:r>
        <w:t>ПОСТАНОВЛЕНИЕ</w:t>
      </w:r>
    </w:p>
    <w:p w:rsidR="00D37C68" w:rsidRDefault="00D37C68">
      <w:pPr>
        <w:pStyle w:val="ConsPlusTitle"/>
        <w:jc w:val="center"/>
      </w:pPr>
      <w:r>
        <w:t>от 29 октября 2025 г. N 2098-п/1</w:t>
      </w:r>
    </w:p>
    <w:p w:rsidR="00D37C68" w:rsidRDefault="00D37C68">
      <w:pPr>
        <w:pStyle w:val="ConsPlusTitle"/>
        <w:jc w:val="both"/>
      </w:pPr>
    </w:p>
    <w:p w:rsidR="00D37C68" w:rsidRDefault="00D37C68">
      <w:pPr>
        <w:pStyle w:val="ConsPlusTitle"/>
        <w:jc w:val="center"/>
      </w:pPr>
      <w:r>
        <w:t>О ДОПОЛНИТЕЛЬНЫХ МЕРАХ СОЦИАЛЬНОЙ ПОДДЕРЖКИ В ВИДЕ</w:t>
      </w:r>
    </w:p>
    <w:p w:rsidR="00D37C68" w:rsidRDefault="00D37C68">
      <w:pPr>
        <w:pStyle w:val="ConsPlusTitle"/>
        <w:jc w:val="center"/>
      </w:pPr>
      <w:r>
        <w:t xml:space="preserve">ЕЖЕМЕСЯЧНЫХ ДЕНЕЖНЫХ ВЫПЛАТ ГРАЖДАНАМ, ЗАМЕЩАЮЩИМ </w:t>
      </w:r>
      <w:proofErr w:type="gramStart"/>
      <w:r>
        <w:t>ОТДЕЛЬНЫЕ</w:t>
      </w:r>
      <w:proofErr w:type="gramEnd"/>
    </w:p>
    <w:p w:rsidR="00D37C68" w:rsidRDefault="00D37C68">
      <w:pPr>
        <w:pStyle w:val="ConsPlusTitle"/>
        <w:jc w:val="center"/>
      </w:pPr>
      <w:r>
        <w:t>ДОЛЖНОСТИ ВРАЧЕЙ-СПЕЦИАЛИСТОВ В ГОСУДАРСТВЕННЫХ УЧРЕЖДЕНИЯХ</w:t>
      </w:r>
    </w:p>
    <w:p w:rsidR="00D37C68" w:rsidRDefault="00D37C68">
      <w:pPr>
        <w:pStyle w:val="ConsPlusTitle"/>
        <w:jc w:val="center"/>
      </w:pPr>
      <w:r>
        <w:t xml:space="preserve">ЗДРАВООХРАНЕНИЯ САМАРСКОЙ ОБЛАСТИ, </w:t>
      </w:r>
      <w:proofErr w:type="gramStart"/>
      <w:r>
        <w:t>РАСПОЛОЖЕННЫХ</w:t>
      </w:r>
      <w:proofErr w:type="gramEnd"/>
    </w:p>
    <w:p w:rsidR="00D37C68" w:rsidRDefault="00D37C68">
      <w:pPr>
        <w:pStyle w:val="ConsPlusTitle"/>
        <w:jc w:val="center"/>
      </w:pPr>
      <w:r>
        <w:t>НА ТЕРРИТОРИИ ГОРОДСКОГО ОКРУГА ТОЛЬЯТТИ</w:t>
      </w:r>
    </w:p>
    <w:p w:rsidR="00D37C68" w:rsidRDefault="00D37C68">
      <w:pPr>
        <w:pStyle w:val="ConsPlusNormal"/>
        <w:jc w:val="both"/>
      </w:pPr>
    </w:p>
    <w:p w:rsidR="00D37C68" w:rsidRDefault="00D37C6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5">
        <w:r>
          <w:rPr>
            <w:color w:val="0000FF"/>
          </w:rPr>
          <w:t>статьями 69</w:t>
        </w:r>
      </w:hyperlink>
      <w:r>
        <w:t xml:space="preserve">, </w:t>
      </w:r>
      <w:hyperlink r:id="rId6">
        <w:r>
          <w:rPr>
            <w:color w:val="0000FF"/>
          </w:rPr>
          <w:t>74.1</w:t>
        </w:r>
      </w:hyperlink>
      <w:r>
        <w:t xml:space="preserve">, </w:t>
      </w:r>
      <w:hyperlink r:id="rId7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статьями 17</w:t>
        </w:r>
      </w:hyperlink>
      <w:r>
        <w:t xml:space="preserve">, </w:t>
      </w:r>
      <w:hyperlink r:id="rId9">
        <w:r>
          <w:rPr>
            <w:color w:val="0000FF"/>
          </w:rPr>
          <w:t>72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10">
        <w:r>
          <w:rPr>
            <w:color w:val="0000FF"/>
          </w:rPr>
          <w:t>статьей 7</w:t>
        </w:r>
      </w:hyperlink>
      <w:r>
        <w:t xml:space="preserve"> Закона Самарской области от 03.10.2014 N 82-ГД "Об отдельных</w:t>
      </w:r>
      <w:proofErr w:type="gramEnd"/>
      <w:r>
        <w:t xml:space="preserve"> </w:t>
      </w:r>
      <w:proofErr w:type="gramStart"/>
      <w:r>
        <w:t xml:space="preserve">вопросах в сфере охраны здоровья граждан в Самарской области", </w:t>
      </w:r>
      <w:hyperlink r:id="rId11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</w:t>
      </w:r>
      <w:proofErr w:type="gramEnd"/>
      <w:r>
        <w:t xml:space="preserve">, иных социальных гарантий и выплат", </w:t>
      </w:r>
      <w:hyperlink r:id="rId12">
        <w:r>
          <w:rPr>
            <w:color w:val="0000FF"/>
          </w:rPr>
          <w:t>пунктом 14</w:t>
        </w:r>
      </w:hyperlink>
      <w:r>
        <w:t xml:space="preserve"> Положения об отдельных вопросах в сфере охраны здоровья граждан в городском округе Тольятти, утвержденного решением Думы городского округа Тольятти от 08.07.2015 N 778,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D37C68" w:rsidRDefault="00D37C68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в виде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 (далее - ЕДВ).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2.1. Размер ЕДВ составляет 30000 рублей ежемесячно.</w:t>
      </w:r>
    </w:p>
    <w:p w:rsidR="00D37C68" w:rsidRDefault="00D37C68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2.2. </w:t>
      </w:r>
      <w:proofErr w:type="gramStart"/>
      <w:r>
        <w:t xml:space="preserve">Под получателем ЕДВ понимается гражданин Российской Федерации, оказывающий специализированную медицинскую помощь в государственном учреждении здравоохранения Самарской области, расположенном на территории городского округа Тольятти (далее - учреждение здравоохранения), и в соответствии со штатным расписанием замещающий в нем на условиях трудового договора одну из следующих должностей врачей-специалистов, предусмотренных </w:t>
      </w:r>
      <w:hyperlink r:id="rId14">
        <w:r>
          <w:rPr>
            <w:color w:val="0000FF"/>
          </w:rPr>
          <w:t>Номенклатурой</w:t>
        </w:r>
      </w:hyperlink>
      <w:r>
        <w:t xml:space="preserve"> должностей медицинских работников и фармацевтических работников, утвержденной приказом Министерства здравоохранения Российской Федерации от 02.05.2023</w:t>
      </w:r>
      <w:proofErr w:type="gramEnd"/>
      <w:r>
        <w:t xml:space="preserve"> N 205н, </w:t>
      </w:r>
      <w:proofErr w:type="gramStart"/>
      <w:r>
        <w:t>оказывающий</w:t>
      </w:r>
      <w:proofErr w:type="gramEnd"/>
      <w:r>
        <w:t xml:space="preserve"> круглосуточную стационарную помощь: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2.2.1. в </w:t>
      </w:r>
      <w:proofErr w:type="spellStart"/>
      <w:r>
        <w:t>нефрологическом</w:t>
      </w:r>
      <w:proofErr w:type="spellEnd"/>
      <w:r>
        <w:t xml:space="preserve"> отделении: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- врач-нефролог;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2.2.2. в центре (отделении) по оказанию медицинской помощи пациентам с желудочно-кишечным кровотечением в верхних отделах желудочно-кишечного тракта (в том числе с применением метода эндоскопического гемостаза):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proofErr w:type="spellStart"/>
      <w:r>
        <w:t>врач-эндоскопист</w:t>
      </w:r>
      <w:proofErr w:type="spellEnd"/>
      <w:r>
        <w:t>;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- врач-хирург, прошедший профессиональную переподготовку по специальности "эндоскопия".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настоящего постановления работа в учреждении здравоохранения является для данного гражданина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Прием необходимых для назначения и предоставления ЕДВ документов осуществляется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 (за исключением случаев, предусмотренных соглашением, указанным в </w:t>
      </w:r>
      <w:hyperlink w:anchor="P38">
        <w:r>
          <w:rPr>
            <w:color w:val="0000FF"/>
          </w:rPr>
          <w:t>подпункте 2.6 пункта 2</w:t>
        </w:r>
      </w:hyperlink>
      <w:r>
        <w:t xml:space="preserve"> настоящего постановления.</w:t>
      </w:r>
      <w:proofErr w:type="gramEnd"/>
      <w:r>
        <w:t xml:space="preserve"> В </w:t>
      </w:r>
      <w:proofErr w:type="gramStart"/>
      <w:r>
        <w:t>этом</w:t>
      </w:r>
      <w:proofErr w:type="gramEnd"/>
      <w:r>
        <w:t xml:space="preserve"> случае порядок приема документов определяется данным соглашением).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2.4. ЕДВ предоставляется с месяца приема необходимых для назначения и предоставления ЕДВ документов у гражданина, указанного в </w:t>
      </w:r>
      <w:hyperlink w:anchor="P17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но не ранее месяца заключения им трудового договора с учреждением здравоохранения.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Предоставление ЕДВ осуществляется по месяц, в котором наступили следующие обстоятельства: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- прекращение соответствия гражданина требованиям, указанным в </w:t>
      </w:r>
      <w:hyperlink w:anchor="P17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постановления;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- нахождение получателя ЕДВ в отпуске по беременности и родам, в отпуске по уходу за ребенком до </w:t>
      </w:r>
      <w:proofErr w:type="gramStart"/>
      <w:r>
        <w:t>достижения</w:t>
      </w:r>
      <w:proofErr w:type="gramEnd"/>
      <w:r>
        <w:t xml:space="preserve"> им установленного законом возраста;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- смерть получателя ЕДВ.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излишнего перечисления ЕДВ они подлежат возврату в соответствующей части в бюджет городского округа Тольятти гражданином, получившим данные средства.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МАУ "МФЦ" в течение 10 (десяти) рабочих дней со дня получения информации о факте излишнего перечисления ЕДВ направляет гражданину требование о возврате для перечисления соответствующих сре</w:t>
      </w:r>
      <w:proofErr w:type="gramStart"/>
      <w:r>
        <w:t>дств в б</w:t>
      </w:r>
      <w:proofErr w:type="gramEnd"/>
      <w:r>
        <w:t>юджет городского округа Тольятти.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Гражданин добровольно возвращает в бюджет городского округа Тольятти излишне перечисленные ЕДВ в срок не позднее 14 (четырнадцати) дней со дня получения указанного требования.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невозврата</w:t>
      </w:r>
      <w:proofErr w:type="spellEnd"/>
      <w:r>
        <w:t xml:space="preserve"> гражданином в указанный срок излишне </w:t>
      </w:r>
      <w:proofErr w:type="gramStart"/>
      <w:r>
        <w:t>перечисленных</w:t>
      </w:r>
      <w:proofErr w:type="gramEnd"/>
      <w:r>
        <w:t xml:space="preserve"> ЕДВ соответствующие средства взыскиваются в судебном порядке.</w:t>
      </w:r>
    </w:p>
    <w:p w:rsidR="00D37C68" w:rsidRDefault="00D37C68">
      <w:pPr>
        <w:pStyle w:val="ConsPlusNormal"/>
        <w:spacing w:before="220"/>
        <w:ind w:firstLine="540"/>
        <w:jc w:val="both"/>
      </w:pPr>
      <w:proofErr w:type="gramStart"/>
      <w:r>
        <w:t>В случае вновь возникновения у гражданина права на предоставление ЕДВ излишне перечисленные ЕДВ по волеизъявлению гражданина, исполненному в простой письменной форме, удерживаются из текущего перечисления ЕДВ до полного погашения соответствующей задолженности перед бюджетом городского округа Тольятти.</w:t>
      </w:r>
      <w:proofErr w:type="gramEnd"/>
    </w:p>
    <w:p w:rsidR="00D37C68" w:rsidRDefault="00D37C68">
      <w:pPr>
        <w:pStyle w:val="ConsPlusNormal"/>
        <w:spacing w:before="220"/>
        <w:ind w:firstLine="540"/>
        <w:jc w:val="both"/>
      </w:pPr>
      <w:r>
        <w:t>Максимальный срок предоставления ЕДВ составляет 36 месяцев.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"Предоставление ежемесячных денежных выплат гражданам, замещающим отдельные </w:t>
      </w:r>
      <w:r>
        <w:lastRenderedPageBreak/>
        <w:t>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Тольятти".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ЕДВ предоставляется на основании распоряжения заместителя главы городского округа Тольятти по социальным вопросам.</w:t>
      </w:r>
    </w:p>
    <w:p w:rsidR="00D37C68" w:rsidRDefault="00D37C68">
      <w:pPr>
        <w:pStyle w:val="ConsPlusNormal"/>
        <w:spacing w:before="220"/>
        <w:ind w:firstLine="540"/>
        <w:jc w:val="both"/>
      </w:pPr>
      <w:bookmarkStart w:id="2" w:name="P38"/>
      <w:bookmarkEnd w:id="2"/>
      <w:r>
        <w:t>2.6. Назначение и предоставление ЕДВ осуществляется при содействии учреждений здравоохранения на основании соответствующего заключенного соглашения о взаимодействии с администрацией городского округа Тольятти.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14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соответствующий финансовый год и плановый период на соответствующие цели.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через МАУ "МФЦ" организовать работу по назначению и предоставлению ЕДВ.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5.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>6. Настоящее постановление вступает в силу после дня его официального опубликования, но не ранее 01.12.2025.</w:t>
      </w:r>
    </w:p>
    <w:p w:rsidR="00D37C68" w:rsidRDefault="00D37C6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D37C68" w:rsidRDefault="00D37C68">
      <w:pPr>
        <w:pStyle w:val="ConsPlusNormal"/>
        <w:jc w:val="both"/>
      </w:pPr>
    </w:p>
    <w:p w:rsidR="00D37C68" w:rsidRDefault="00D37C68">
      <w:pPr>
        <w:pStyle w:val="ConsPlusNormal"/>
        <w:jc w:val="right"/>
      </w:pPr>
      <w:r>
        <w:t>Глава</w:t>
      </w:r>
    </w:p>
    <w:p w:rsidR="00D37C68" w:rsidRDefault="00D37C68">
      <w:pPr>
        <w:pStyle w:val="ConsPlusNormal"/>
        <w:jc w:val="right"/>
      </w:pPr>
      <w:r>
        <w:t>городского округа</w:t>
      </w:r>
    </w:p>
    <w:p w:rsidR="00D37C68" w:rsidRDefault="00D37C68">
      <w:pPr>
        <w:pStyle w:val="ConsPlusNormal"/>
        <w:jc w:val="right"/>
      </w:pPr>
      <w:r>
        <w:t>И.Г.СУХИХ</w:t>
      </w:r>
    </w:p>
    <w:p w:rsidR="00D37C68" w:rsidRDefault="00D37C68">
      <w:pPr>
        <w:pStyle w:val="ConsPlusNormal"/>
        <w:jc w:val="both"/>
      </w:pPr>
    </w:p>
    <w:p w:rsidR="00D37C68" w:rsidRDefault="00D37C68">
      <w:pPr>
        <w:pStyle w:val="ConsPlusNormal"/>
        <w:jc w:val="both"/>
      </w:pPr>
    </w:p>
    <w:p w:rsidR="00D37C68" w:rsidRDefault="00D37C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9C3" w:rsidRDefault="00D37C68"/>
    <w:sectPr w:rsidR="009279C3" w:rsidSect="0082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7C68"/>
    <w:rsid w:val="000A47B2"/>
    <w:rsid w:val="003B137C"/>
    <w:rsid w:val="00D37C68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7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7C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0&amp;dst=100222" TargetMode="External"/><Relationship Id="rId13" Type="http://schemas.openxmlformats.org/officeDocument/2006/relationships/hyperlink" Target="https://login.consultant.ru/link/?req=doc&amp;base=RLAW256&amp;n=201670&amp;dst=100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502" TargetMode="External"/><Relationship Id="rId12" Type="http://schemas.openxmlformats.org/officeDocument/2006/relationships/hyperlink" Target="https://login.consultant.ru/link/?req=doc&amp;base=RLAW256&amp;n=121523&amp;dst=10007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1398" TargetMode="External"/><Relationship Id="rId11" Type="http://schemas.openxmlformats.org/officeDocument/2006/relationships/hyperlink" Target="https://login.consultant.ru/link/?req=doc&amp;base=RLAW256&amp;n=194921&amp;dst=100005" TargetMode="External"/><Relationship Id="rId5" Type="http://schemas.openxmlformats.org/officeDocument/2006/relationships/hyperlink" Target="https://login.consultant.ru/link/?req=doc&amp;base=LAW&amp;n=495710&amp;dst=135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96821&amp;dst=100070" TargetMode="External"/><Relationship Id="rId4" Type="http://schemas.openxmlformats.org/officeDocument/2006/relationships/hyperlink" Target="https://login.consultant.ru/link/?req=doc&amp;base=LAW&amp;n=501319&amp;dst=100540" TargetMode="External"/><Relationship Id="rId9" Type="http://schemas.openxmlformats.org/officeDocument/2006/relationships/hyperlink" Target="https://login.consultant.ru/link/?req=doc&amp;base=LAW&amp;n=510750&amp;dst=100713" TargetMode="External"/><Relationship Id="rId14" Type="http://schemas.openxmlformats.org/officeDocument/2006/relationships/hyperlink" Target="https://login.consultant.ru/link/?req=doc&amp;base=LAW&amp;n=509216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2026-01-29T10:58:00Z</dcterms:created>
  <dcterms:modified xsi:type="dcterms:W3CDTF">2026-01-29T10:58:00Z</dcterms:modified>
</cp:coreProperties>
</file>