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74AF8D4" w14:textId="77777777" w:rsidR="00160E19" w:rsidRPr="003507A2" w:rsidRDefault="00160E19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FAA4A19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</w:p>
    <w:p w14:paraId="52AD3AF0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19.12.2017 № 4133-п/1 </w:t>
      </w: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53C84E47" w14:textId="33C3261E" w:rsidR="004437E0" w:rsidRPr="003507A2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Департаментом общественной безопасности администрации городского округа Тольятти и муниципальными учреждениями, находящимися</w:t>
      </w:r>
    </w:p>
    <w:p w14:paraId="466FEF0E" w14:textId="77777777" w:rsidR="004437E0" w:rsidRPr="003507A2" w:rsidRDefault="004437E0" w:rsidP="004437E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в ведомственном подчинении Департамента общественной безопасности</w:t>
      </w:r>
    </w:p>
    <w:p w14:paraId="18180B2D" w14:textId="08138A30" w:rsidR="003554EC" w:rsidRPr="00874443" w:rsidRDefault="004437E0" w:rsidP="004437E0">
      <w:pPr>
        <w:widowControl/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414FF4FD" w:rsidR="007C513E" w:rsidRPr="004437E0" w:rsidRDefault="00784012" w:rsidP="00E70C65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</w:t>
      </w:r>
      <w:r w:rsidR="004538C4">
        <w:rPr>
          <w:color w:val="000000"/>
          <w:sz w:val="28"/>
          <w:szCs w:val="28"/>
        </w:rPr>
        <w:br/>
      </w:r>
      <w:r w:rsidR="000C39A6">
        <w:rPr>
          <w:color w:val="000000"/>
          <w:sz w:val="28"/>
          <w:szCs w:val="28"/>
        </w:rPr>
        <w:t>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</w:t>
      </w:r>
      <w:r w:rsidR="00B75CEB">
        <w:rPr>
          <w:sz w:val="28"/>
          <w:szCs w:val="28"/>
        </w:rPr>
        <w:t>,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6A18F774" w14:textId="7D023199" w:rsidR="00700141" w:rsidRDefault="00700141" w:rsidP="00E70C65">
      <w:pPr>
        <w:pStyle w:val="aa"/>
        <w:widowControl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EA2341" w:rsidRPr="003507A2">
        <w:rPr>
          <w:rFonts w:eastAsiaTheme="minorHAnsi"/>
          <w:sz w:val="28"/>
          <w:szCs w:val="28"/>
          <w:lang w:eastAsia="en-US"/>
        </w:rPr>
        <w:t>«Об утверждении требований к отдельным видам товаров, работ, услуг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</w:t>
      </w:r>
      <w:r w:rsidR="00EA2341" w:rsidRPr="003507A2">
        <w:rPr>
          <w:rFonts w:eastAsiaTheme="minorHAnsi"/>
          <w:sz w:val="28"/>
          <w:szCs w:val="28"/>
          <w:lang w:eastAsia="en-US"/>
        </w:rPr>
        <w:lastRenderedPageBreak/>
        <w:t>работ, услуг), закупаемых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>Департаментом общественной безопасности администрации городского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>округа Тольятти и муниципальными учреждениями, находящимися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>в ведомственном подчинении Департамента общественной безопасности</w:t>
      </w:r>
      <w:r w:rsidR="00EA2341">
        <w:rPr>
          <w:sz w:val="28"/>
          <w:szCs w:val="28"/>
        </w:rPr>
        <w:t xml:space="preserve"> </w:t>
      </w:r>
      <w:r w:rsidR="00EA2341" w:rsidRPr="003507A2"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  <w:r w:rsidR="00EA2341">
        <w:rPr>
          <w:rFonts w:eastAsiaTheme="minorHAnsi"/>
          <w:sz w:val="28"/>
          <w:szCs w:val="28"/>
          <w:lang w:eastAsia="en-US"/>
        </w:rPr>
        <w:t xml:space="preserve">» (далее – постановление) </w:t>
      </w:r>
      <w:r>
        <w:rPr>
          <w:sz w:val="28"/>
          <w:szCs w:val="28"/>
        </w:rPr>
        <w:t>следующие изменения</w:t>
      </w:r>
      <w:r w:rsidRPr="00700141">
        <w:rPr>
          <w:sz w:val="28"/>
          <w:szCs w:val="28"/>
        </w:rPr>
        <w:t>:</w:t>
      </w:r>
    </w:p>
    <w:p w14:paraId="062F150D" w14:textId="7A59F8EB" w:rsidR="00700141" w:rsidRDefault="00E70C65" w:rsidP="00E70C65">
      <w:pPr>
        <w:pStyle w:val="aa"/>
        <w:widowControl/>
        <w:numPr>
          <w:ilvl w:val="1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п</w:t>
      </w:r>
      <w:r w:rsidR="004437E0" w:rsidRPr="004437E0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4437E0" w:rsidRPr="004437E0">
        <w:rPr>
          <w:sz w:val="28"/>
          <w:szCs w:val="28"/>
        </w:rPr>
        <w:t xml:space="preserve"> к постановлению </w:t>
      </w:r>
      <w:r w:rsidR="00700141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следующей </w:t>
      </w:r>
      <w:r w:rsidR="00700141">
        <w:rPr>
          <w:sz w:val="28"/>
          <w:szCs w:val="28"/>
        </w:rPr>
        <w:t>редакции</w:t>
      </w:r>
      <w:r w:rsidRPr="00E70C65">
        <w:rPr>
          <w:sz w:val="28"/>
          <w:szCs w:val="28"/>
        </w:rPr>
        <w:t>:</w:t>
      </w:r>
    </w:p>
    <w:p w14:paraId="49EB816A" w14:textId="77777777" w:rsidR="00E70C65" w:rsidRDefault="00E70C6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  <w:sectPr w:rsidR="00E70C65" w:rsidSect="00D70EC8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3EEA654C" w14:textId="28DBC9B4" w:rsidR="00E70C65" w:rsidRDefault="00E70C65" w:rsidP="00E70C65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74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4"/>
        <w:gridCol w:w="851"/>
        <w:gridCol w:w="992"/>
        <w:gridCol w:w="1134"/>
        <w:gridCol w:w="567"/>
        <w:gridCol w:w="1134"/>
        <w:gridCol w:w="1416"/>
        <w:gridCol w:w="426"/>
        <w:gridCol w:w="625"/>
        <w:gridCol w:w="236"/>
        <w:gridCol w:w="276"/>
        <w:gridCol w:w="456"/>
        <w:gridCol w:w="1527"/>
        <w:gridCol w:w="1499"/>
        <w:gridCol w:w="1417"/>
        <w:gridCol w:w="1274"/>
        <w:gridCol w:w="1481"/>
        <w:gridCol w:w="1702"/>
      </w:tblGrid>
      <w:tr w:rsidR="00D96486" w:rsidRPr="00E70C65" w14:paraId="21DA9BB5" w14:textId="77777777" w:rsidTr="00663953">
        <w:trPr>
          <w:gridAfter w:val="1"/>
          <w:wAfter w:w="1702" w:type="dxa"/>
          <w:trHeight w:val="12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0737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815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29.10.2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3DC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Автомобили легковые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C88B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Тип двигателя (силовой установки)*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4EF1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1618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6672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E7C2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22730F3B" w14:textId="331C2194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279C42F9" w14:textId="30C220DA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0633E973" w14:textId="67364259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98A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0EBA7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Тип двигателя (силовой установки)*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D587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64D5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двигатель внутреннего сгорания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6CB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494A94DB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4D3D7B9C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4ABBF8A5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31E42189" w14:textId="283EBE24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3AA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27893D8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570B4F38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67EB00FE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  <w:p w14:paraId="17E75CAA" w14:textId="3D91EE75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96486" w:rsidRPr="00E70C65" w14:paraId="38499411" w14:textId="77777777" w:rsidTr="00663953">
        <w:trPr>
          <w:gridAfter w:val="1"/>
          <w:wAfter w:w="1702" w:type="dxa"/>
          <w:trHeight w:val="8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44033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FCF61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37076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4FDB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A817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844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Лошадиная сила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6DBB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EAC40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52DCE7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178F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56B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E8F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3B8E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3083E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6CDE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27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A57B8" w14:textId="7722F192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3E3DE" w14:textId="421DEE64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2C3DB4F1" w14:textId="77777777" w:rsidTr="00663953">
        <w:trPr>
          <w:gridAfter w:val="1"/>
          <w:wAfter w:w="1702" w:type="dxa"/>
          <w:trHeight w:val="10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21089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15919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3DB57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687A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0249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8EE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DCDB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предельное значение  люкс/престиж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FB7B1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предельное значение  норма/комфорт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DE2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C094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69CBBC4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2B6A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предельное значение  норма/комфорт</w:t>
            </w:r>
          </w:p>
        </w:tc>
        <w:tc>
          <w:tcPr>
            <w:tcW w:w="1274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A59DA" w14:textId="448DE537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5B998" w14:textId="786D8F2C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6F8AA5D2" w14:textId="77777777" w:rsidTr="00663953">
        <w:trPr>
          <w:gridAfter w:val="1"/>
          <w:wAfter w:w="1702" w:type="dxa"/>
          <w:trHeight w:val="6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34848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8DDF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8A844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40D9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вид топлива**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A05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3B4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378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A9996C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F8F3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D6EA2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CA72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21D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6E26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вид топлива**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99811E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B4985" w14:textId="763B6545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сжиженный при</w:t>
            </w:r>
            <w:r>
              <w:rPr>
                <w:color w:val="000000"/>
                <w:sz w:val="18"/>
                <w:szCs w:val="18"/>
              </w:rPr>
              <w:t>р</w:t>
            </w:r>
            <w:r w:rsidRPr="00E70C65">
              <w:rPr>
                <w:color w:val="000000"/>
                <w:sz w:val="18"/>
                <w:szCs w:val="18"/>
              </w:rPr>
              <w:t>одный газ</w:t>
            </w:r>
          </w:p>
        </w:tc>
        <w:tc>
          <w:tcPr>
            <w:tcW w:w="1274" w:type="dxa"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4330" w14:textId="742F7FA6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E7A68" w14:textId="318485D0" w:rsidR="00D96486" w:rsidRPr="00E70C65" w:rsidRDefault="00D96486" w:rsidP="00E70C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46385642" w14:textId="77777777" w:rsidTr="00663953">
        <w:trPr>
          <w:gridAfter w:val="1"/>
          <w:wAfter w:w="1702" w:type="dxa"/>
          <w:trHeight w:val="6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8526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E805B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EE05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1A680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предельная  цена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531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7ED7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C8E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 более                                     2 500 000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6A9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1 300 000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9FDC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8A9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DE01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0FD9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1 300 000</w:t>
            </w:r>
          </w:p>
        </w:tc>
        <w:tc>
          <w:tcPr>
            <w:tcW w:w="12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BDFD5" w14:textId="0B0CDA55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6CCB7" w14:textId="1D7B864C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0154C7D9" w14:textId="77777777" w:rsidTr="005419B6">
        <w:trPr>
          <w:gridAfter w:val="1"/>
          <w:wAfter w:w="1702" w:type="dxa"/>
          <w:trHeight w:val="97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51EA47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5B0DC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EC68F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1F3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Тип двигателя (силовой установки)*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1EFB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96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B84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5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B448B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E2D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C7A8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Тип двигателя (силовой установки)*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67AF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413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двигатель внутреннего сгорания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6D7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отсутствие  специально- оборудованных автомобилей  на газомоторном топливе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2915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Автомобили </w:t>
            </w:r>
            <w:proofErr w:type="spellStart"/>
            <w:r w:rsidRPr="00E70C65">
              <w:rPr>
                <w:color w:val="000000"/>
                <w:sz w:val="18"/>
                <w:szCs w:val="18"/>
              </w:rPr>
              <w:t>специальнооборудованные</w:t>
            </w:r>
            <w:proofErr w:type="spellEnd"/>
            <w:r w:rsidRPr="00E70C65">
              <w:rPr>
                <w:color w:val="000000"/>
                <w:sz w:val="18"/>
                <w:szCs w:val="18"/>
              </w:rPr>
              <w:t xml:space="preserve"> для  аварийно-спасательных работ </w:t>
            </w:r>
          </w:p>
        </w:tc>
      </w:tr>
      <w:tr w:rsidR="00D96486" w:rsidRPr="00E70C65" w14:paraId="211F2855" w14:textId="77777777" w:rsidTr="005419B6">
        <w:trPr>
          <w:gridAfter w:val="1"/>
          <w:wAfter w:w="1702" w:type="dxa"/>
          <w:trHeight w:val="75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392AB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E84DC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5BCFFD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F9D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Мощность двигателя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D01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F23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Лошади-</w:t>
            </w:r>
            <w:proofErr w:type="spellStart"/>
            <w:r w:rsidRPr="00E70C65">
              <w:rPr>
                <w:color w:val="FFFFFF"/>
                <w:sz w:val="22"/>
                <w:szCs w:val="22"/>
              </w:rPr>
              <w:t>ная</w:t>
            </w:r>
            <w:proofErr w:type="spellEnd"/>
            <w:r w:rsidRPr="00E70C65">
              <w:rPr>
                <w:color w:val="FFFFFF"/>
                <w:sz w:val="22"/>
                <w:szCs w:val="22"/>
              </w:rPr>
              <w:t xml:space="preserve"> сила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E5AA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200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7FA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FBC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5138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B6AD36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9841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20D2D3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44D7FF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D96486" w:rsidRPr="00E70C65" w14:paraId="5EA6BC45" w14:textId="77777777" w:rsidTr="005419B6">
        <w:trPr>
          <w:gridAfter w:val="1"/>
          <w:wAfter w:w="1702" w:type="dxa"/>
          <w:trHeight w:val="11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AFE6D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F624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93C77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8DCD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Комплектация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D2E2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0AC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5A5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Предельное значение - люкс/престиж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8A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Предельное значение – норма/комфорт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7348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539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F8B2A9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AC434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Предельное значение – норма/комфорт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5CB5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05C6C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D96486" w:rsidRPr="00E70C65" w14:paraId="7D43866C" w14:textId="77777777" w:rsidTr="005419B6">
        <w:trPr>
          <w:gridAfter w:val="1"/>
          <w:wAfter w:w="1702" w:type="dxa"/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17AF5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26E55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3825E0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C6DC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вид топлива**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08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2C38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36E3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37470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6BB96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74D99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B3D5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D6A1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18"/>
                <w:szCs w:val="18"/>
              </w:rPr>
            </w:pPr>
            <w:r w:rsidRPr="00E70C65">
              <w:rPr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E00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вид топлива**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7CBBB8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A64BF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бензин/дизельное топливо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37EA99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FC920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D96486" w:rsidRPr="00E70C65" w14:paraId="1937A24D" w14:textId="77777777" w:rsidTr="00D96486">
        <w:trPr>
          <w:gridAfter w:val="1"/>
          <w:wAfter w:w="1702" w:type="dxa"/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71C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49F8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B645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1C41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Предельная цена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C361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2AF2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руб.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3D11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Не более            2 500 000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5CAA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Не более 1 300 000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509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  <w:r w:rsidRPr="00E70C65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D47D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8D9E6A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35500" w14:textId="77777777" w:rsidR="00D96486" w:rsidRPr="00E70C65" w:rsidRDefault="00D96486" w:rsidP="00E70C6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1 700 000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AAA8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B7B7" w14:textId="77777777" w:rsidR="00D96486" w:rsidRPr="00E70C65" w:rsidRDefault="00D96486" w:rsidP="00E70C65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  <w:tr w:rsidR="00D96486" w:rsidRPr="00E70C65" w14:paraId="4F80D828" w14:textId="77777777" w:rsidTr="00D96486">
        <w:trPr>
          <w:gridAfter w:val="1"/>
          <w:wAfter w:w="1702" w:type="dxa"/>
          <w:trHeight w:val="8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FFF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DCE0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6527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5299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91B9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2D64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1E3D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B385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D959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F19E" w14:textId="3F72FB72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70C65">
              <w:rPr>
                <w:color w:val="000000"/>
                <w:sz w:val="18"/>
                <w:szCs w:val="18"/>
              </w:rPr>
              <w:t>Тип двигателя (силовой установки)*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FC68" w14:textId="39251FE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70C65">
              <w:rPr>
                <w:color w:val="000000"/>
                <w:sz w:val="18"/>
                <w:szCs w:val="18"/>
              </w:rPr>
              <w:t>не закупается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A22F6" w14:textId="6045B270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E70C65">
              <w:rPr>
                <w:color w:val="000000"/>
                <w:sz w:val="18"/>
                <w:szCs w:val="18"/>
              </w:rPr>
              <w:t>двигатель внутреннего сгорания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BF08A" w14:textId="6CDB6480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отсутствие  специально- оборудованных автомобилей  на газомоторном топливе 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84F" w14:textId="29543A6B" w:rsidR="00D96486" w:rsidRPr="00E70C65" w:rsidRDefault="00D96486" w:rsidP="00D9648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Автомобили </w:t>
            </w:r>
            <w:proofErr w:type="spellStart"/>
            <w:r w:rsidRPr="00E70C65">
              <w:rPr>
                <w:color w:val="000000"/>
                <w:sz w:val="18"/>
                <w:szCs w:val="18"/>
              </w:rPr>
              <w:t>специальнооборудованные</w:t>
            </w:r>
            <w:proofErr w:type="spellEnd"/>
            <w:r w:rsidRPr="00E70C65">
              <w:rPr>
                <w:color w:val="000000"/>
                <w:sz w:val="18"/>
                <w:szCs w:val="18"/>
              </w:rPr>
              <w:t xml:space="preserve"> для </w:t>
            </w:r>
            <w:r>
              <w:rPr>
                <w:color w:val="000000"/>
                <w:sz w:val="18"/>
                <w:szCs w:val="18"/>
              </w:rPr>
              <w:t>перевозки до (1+6) человек с целью организации подвижного пункта</w:t>
            </w:r>
            <w:r w:rsidRPr="00E70C65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96486" w:rsidRPr="00E70C65" w14:paraId="53E049F4" w14:textId="77777777" w:rsidTr="00D96486">
        <w:trPr>
          <w:gridAfter w:val="1"/>
          <w:wAfter w:w="1702" w:type="dxa"/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D63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643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7421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DD05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EA25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8BC5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E7FF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FCE7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E689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5ED97" w14:textId="4940AB08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Мощность двигателя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8D7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AAF4F" w14:textId="50EE32DD" w:rsidR="00D96486" w:rsidRPr="005E2A8E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Не более 200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4542C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FA18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6E341AD5" w14:textId="77777777" w:rsidTr="00D96486">
        <w:trPr>
          <w:gridAfter w:val="1"/>
          <w:wAfter w:w="1702" w:type="dxa"/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1CE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9D2A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5296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27C6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A441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3CD6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B4CF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4596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63E9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EA201" w14:textId="5D2223C5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Комплектация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01B1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FAA8E" w14:textId="01C33475" w:rsidR="00D96486" w:rsidRPr="005E2A8E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Предельное значение – норма/комфорт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EFFD2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0D68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D96486" w:rsidRPr="00E70C65" w14:paraId="6D46F8D6" w14:textId="38C01198" w:rsidTr="00D96486">
        <w:trPr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89A2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517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8A03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E42B9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7E70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503F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7E9F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454C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3C8C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795D" w14:textId="05D9CC1A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вид топлива**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A899" w14:textId="06FA8E45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B7D3" w14:textId="3AEE55DC" w:rsidR="00D96486" w:rsidRPr="005E2A8E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бензин/дизельное топливо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4BCA5" w14:textId="621E2E98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D91C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3B6FCAB0" w14:textId="77777777" w:rsidR="00D96486" w:rsidRPr="00E70C65" w:rsidRDefault="00D96486" w:rsidP="005E2A8E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D96486" w:rsidRPr="00E70C65" w14:paraId="0D71DF5E" w14:textId="77777777" w:rsidTr="00D96486">
        <w:trPr>
          <w:gridAfter w:val="1"/>
          <w:wAfter w:w="1702" w:type="dxa"/>
          <w:trHeight w:val="8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3FD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8695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DC4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87A9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47F8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CC62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BCE4" w14:textId="77777777" w:rsidR="00D96486" w:rsidRPr="00E70C65" w:rsidRDefault="00D96486" w:rsidP="005E2A8E">
            <w:pPr>
              <w:widowControl/>
              <w:autoSpaceDE/>
              <w:autoSpaceDN/>
              <w:adjustRightInd/>
              <w:rPr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693E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773" w14:textId="77777777" w:rsidR="00D96486" w:rsidRPr="00E70C65" w:rsidRDefault="00D96486" w:rsidP="005E2A8E">
            <w:pPr>
              <w:widowControl/>
              <w:autoSpaceDE/>
              <w:autoSpaceDN/>
              <w:adjustRightInd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DAE26" w14:textId="1E21E49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357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388A" w14:textId="66D644A3" w:rsidR="00D96486" w:rsidRPr="005E2A8E" w:rsidRDefault="00D96486" w:rsidP="00D9648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E70C65">
              <w:rPr>
                <w:color w:val="000000"/>
                <w:sz w:val="18"/>
                <w:szCs w:val="18"/>
              </w:rPr>
              <w:t xml:space="preserve">Не более </w:t>
            </w:r>
            <w:r>
              <w:rPr>
                <w:color w:val="000000"/>
                <w:sz w:val="18"/>
                <w:szCs w:val="18"/>
              </w:rPr>
              <w:t>2</w:t>
            </w:r>
            <w:r w:rsidRPr="00E70C65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</w:t>
            </w:r>
            <w:r w:rsidRPr="00E70C65">
              <w:rPr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800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4E84" w14:textId="77777777" w:rsidR="00D96486" w:rsidRPr="005E2A8E" w:rsidRDefault="00D96486" w:rsidP="005E2A8E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</w:tr>
    </w:tbl>
    <w:p w14:paraId="11101A19" w14:textId="730D9A59" w:rsidR="00D96486" w:rsidRDefault="00D96486" w:rsidP="00E70C65">
      <w:pPr>
        <w:widowControl/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14:paraId="6BE74755" w14:textId="0C742033" w:rsidR="00E70C65" w:rsidRPr="00D96486" w:rsidRDefault="00D96486" w:rsidP="00D96486">
      <w:pPr>
        <w:jc w:val="right"/>
        <w:rPr>
          <w:sz w:val="28"/>
          <w:szCs w:val="28"/>
        </w:rPr>
        <w:sectPr w:rsidR="00E70C65" w:rsidRPr="00D96486" w:rsidSect="008F537A">
          <w:pgSz w:w="16838" w:h="11906" w:orient="landscape"/>
          <w:pgMar w:top="851" w:right="1134" w:bottom="850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».</w:t>
      </w:r>
    </w:p>
    <w:p w14:paraId="4A4B4297" w14:textId="646363EF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104AEB">
        <w:rPr>
          <w:sz w:val="28"/>
          <w:szCs w:val="28"/>
        </w:rPr>
        <w:t xml:space="preserve"> </w:t>
      </w:r>
      <w:r w:rsidRPr="00306155">
        <w:rPr>
          <w:sz w:val="28"/>
          <w:szCs w:val="28"/>
        </w:rPr>
        <w:t>Департаменту экономического развития администрации городского округа Тольятти в течение 7 рабочих дней со дня принятия настоящего постановления разместить его в Единой информационной системе в сфере закупок.</w:t>
      </w:r>
    </w:p>
    <w:p w14:paraId="2511DBDC" w14:textId="3AF60C19" w:rsidR="00700141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6C23">
        <w:rPr>
          <w:sz w:val="28"/>
          <w:szCs w:val="28"/>
        </w:rPr>
        <w:t xml:space="preserve">3. </w:t>
      </w:r>
      <w:r w:rsidR="00700141">
        <w:rPr>
          <w:sz w:val="28"/>
          <w:szCs w:val="28"/>
        </w:rPr>
        <w:t>Организационному управлению</w:t>
      </w:r>
      <w:r w:rsidR="00EA2341">
        <w:rPr>
          <w:sz w:val="28"/>
          <w:szCs w:val="28"/>
        </w:rPr>
        <w:t xml:space="preserve"> о</w:t>
      </w:r>
      <w:r w:rsidR="00700141">
        <w:rPr>
          <w:sz w:val="28"/>
          <w:szCs w:val="28"/>
        </w:rPr>
        <w:t>публик</w:t>
      </w:r>
      <w:r w:rsidR="00EA2341">
        <w:rPr>
          <w:sz w:val="28"/>
          <w:szCs w:val="28"/>
        </w:rPr>
        <w:t>овать</w:t>
      </w:r>
      <w:r w:rsidR="00700141">
        <w:rPr>
          <w:sz w:val="28"/>
          <w:szCs w:val="28"/>
        </w:rPr>
        <w:t xml:space="preserve"> наст</w:t>
      </w:r>
      <w:r w:rsidR="00EA2341">
        <w:rPr>
          <w:sz w:val="28"/>
          <w:szCs w:val="28"/>
        </w:rPr>
        <w:t>оящее</w:t>
      </w:r>
      <w:r w:rsidR="00700141">
        <w:rPr>
          <w:sz w:val="28"/>
          <w:szCs w:val="28"/>
        </w:rPr>
        <w:t xml:space="preserve"> пост</w:t>
      </w:r>
      <w:r w:rsidR="00EA2341">
        <w:rPr>
          <w:sz w:val="28"/>
          <w:szCs w:val="28"/>
        </w:rPr>
        <w:t>ановление</w:t>
      </w:r>
      <w:r w:rsidR="00700141">
        <w:rPr>
          <w:sz w:val="28"/>
          <w:szCs w:val="28"/>
        </w:rPr>
        <w:t xml:space="preserve"> в газете «Го</w:t>
      </w:r>
      <w:r w:rsidR="00EA2341">
        <w:rPr>
          <w:sz w:val="28"/>
          <w:szCs w:val="28"/>
        </w:rPr>
        <w:t>родские ведомости».</w:t>
      </w:r>
      <w:r w:rsidR="00700141">
        <w:rPr>
          <w:sz w:val="28"/>
          <w:szCs w:val="28"/>
        </w:rPr>
        <w:t xml:space="preserve"> </w:t>
      </w:r>
    </w:p>
    <w:p w14:paraId="08EA41AE" w14:textId="77FE4E97" w:rsidR="006759E3" w:rsidRDefault="00700141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759E3"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  <w:bookmarkStart w:id="0" w:name="_GoBack"/>
      <w:bookmarkEnd w:id="0"/>
    </w:p>
    <w:p w14:paraId="1A3B6C22" w14:textId="44078C59" w:rsidR="00DC69C8" w:rsidRPr="00306155" w:rsidRDefault="00700141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5</w:t>
      </w:r>
      <w:r w:rsidR="00306155">
        <w:rPr>
          <w:sz w:val="28"/>
          <w:szCs w:val="28"/>
        </w:rPr>
        <w:t xml:space="preserve">. </w:t>
      </w:r>
      <w:r w:rsidR="00104AEB" w:rsidRPr="00103FB0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-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руководителя департамента общественной безопасности и противодействия коррупции.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753"/>
        <w:gridCol w:w="5210"/>
      </w:tblGrid>
      <w:tr w:rsidR="00874443" w:rsidRPr="00874443" w14:paraId="168BCB26" w14:textId="77777777" w:rsidTr="009324DD">
        <w:tc>
          <w:tcPr>
            <w:tcW w:w="3856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9324DD">
        <w:tc>
          <w:tcPr>
            <w:tcW w:w="3856" w:type="dxa"/>
            <w:shd w:val="clear" w:color="auto" w:fill="auto"/>
          </w:tcPr>
          <w:p w14:paraId="0BFD3452" w14:textId="4C35E4A1" w:rsidR="008C56FF" w:rsidRPr="009324DD" w:rsidRDefault="009324DD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5400" w:type="dxa"/>
            <w:shd w:val="clear" w:color="auto" w:fill="auto"/>
          </w:tcPr>
          <w:p w14:paraId="0BCCD428" w14:textId="3470B128" w:rsidR="008C56FF" w:rsidRPr="009324DD" w:rsidRDefault="009324DD" w:rsidP="00D70E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  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D70EC8">
              <w:rPr>
                <w:sz w:val="28"/>
                <w:szCs w:val="28"/>
              </w:rPr>
              <w:t>И.Г. Сухих</w:t>
            </w:r>
          </w:p>
        </w:tc>
      </w:tr>
      <w:tr w:rsidR="008C56FF" w:rsidRPr="00E13BA4" w14:paraId="53C759A3" w14:textId="77777777" w:rsidTr="009324DD">
        <w:tc>
          <w:tcPr>
            <w:tcW w:w="3856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/>
    <w:sectPr w:rsidR="0084411E" w:rsidSect="00E70C6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7EBDA" w14:textId="77777777" w:rsidR="00BD3AAC" w:rsidRDefault="00BD3AAC">
      <w:r>
        <w:separator/>
      </w:r>
    </w:p>
  </w:endnote>
  <w:endnote w:type="continuationSeparator" w:id="0">
    <w:p w14:paraId="72A62A64" w14:textId="77777777" w:rsidR="00BD3AAC" w:rsidRDefault="00BD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2F105" w14:textId="77777777" w:rsidR="00BD3AAC" w:rsidRDefault="00BD3AAC">
      <w:r>
        <w:separator/>
      </w:r>
    </w:p>
  </w:footnote>
  <w:footnote w:type="continuationSeparator" w:id="0">
    <w:p w14:paraId="23375792" w14:textId="77777777" w:rsidR="00BD3AAC" w:rsidRDefault="00BD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44824013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486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71824"/>
    <w:rsid w:val="000729C3"/>
    <w:rsid w:val="000740B7"/>
    <w:rsid w:val="00075143"/>
    <w:rsid w:val="0007533E"/>
    <w:rsid w:val="00082853"/>
    <w:rsid w:val="000C39A6"/>
    <w:rsid w:val="000F4BA5"/>
    <w:rsid w:val="00104AEB"/>
    <w:rsid w:val="00113426"/>
    <w:rsid w:val="00146A19"/>
    <w:rsid w:val="001575D3"/>
    <w:rsid w:val="00160E19"/>
    <w:rsid w:val="001B5FCE"/>
    <w:rsid w:val="001C4098"/>
    <w:rsid w:val="001E39D4"/>
    <w:rsid w:val="001E6CC2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538C4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869C5"/>
    <w:rsid w:val="00594F88"/>
    <w:rsid w:val="005E2A8E"/>
    <w:rsid w:val="005F04F5"/>
    <w:rsid w:val="00601B59"/>
    <w:rsid w:val="006028F2"/>
    <w:rsid w:val="00604D0B"/>
    <w:rsid w:val="006759E3"/>
    <w:rsid w:val="006837D6"/>
    <w:rsid w:val="00690F8D"/>
    <w:rsid w:val="006D6C23"/>
    <w:rsid w:val="006D76D0"/>
    <w:rsid w:val="006F14BF"/>
    <w:rsid w:val="00700141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8F537A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50BA"/>
    <w:rsid w:val="00A47CC4"/>
    <w:rsid w:val="00A72534"/>
    <w:rsid w:val="00AE5618"/>
    <w:rsid w:val="00AE74B6"/>
    <w:rsid w:val="00B17D1F"/>
    <w:rsid w:val="00B75CEB"/>
    <w:rsid w:val="00BC6059"/>
    <w:rsid w:val="00BD107E"/>
    <w:rsid w:val="00BD3AAC"/>
    <w:rsid w:val="00BF6178"/>
    <w:rsid w:val="00C20307"/>
    <w:rsid w:val="00C2772D"/>
    <w:rsid w:val="00C36773"/>
    <w:rsid w:val="00C50F44"/>
    <w:rsid w:val="00C71599"/>
    <w:rsid w:val="00C76269"/>
    <w:rsid w:val="00CC4CFF"/>
    <w:rsid w:val="00D5702C"/>
    <w:rsid w:val="00D70EC8"/>
    <w:rsid w:val="00D721F2"/>
    <w:rsid w:val="00D96486"/>
    <w:rsid w:val="00DC69C8"/>
    <w:rsid w:val="00DE373A"/>
    <w:rsid w:val="00DE5F0D"/>
    <w:rsid w:val="00E13C75"/>
    <w:rsid w:val="00E15F99"/>
    <w:rsid w:val="00E35019"/>
    <w:rsid w:val="00E5545C"/>
    <w:rsid w:val="00E63B7B"/>
    <w:rsid w:val="00E6749B"/>
    <w:rsid w:val="00E70C65"/>
    <w:rsid w:val="00E9534A"/>
    <w:rsid w:val="00EA2341"/>
    <w:rsid w:val="00EF01F8"/>
    <w:rsid w:val="00F004DC"/>
    <w:rsid w:val="00F33F07"/>
    <w:rsid w:val="00F36310"/>
    <w:rsid w:val="00F3639B"/>
    <w:rsid w:val="00F964E9"/>
    <w:rsid w:val="00FC0F8E"/>
    <w:rsid w:val="00FC2D77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9EC9-DA32-4BE7-B2A2-94D35BAB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41</cp:revision>
  <cp:lastPrinted>2024-05-23T10:07:00Z</cp:lastPrinted>
  <dcterms:created xsi:type="dcterms:W3CDTF">2024-05-23T06:20:00Z</dcterms:created>
  <dcterms:modified xsi:type="dcterms:W3CDTF">2025-10-25T07:09:00Z</dcterms:modified>
</cp:coreProperties>
</file>