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400FF" w14:textId="77777777" w:rsidR="00AD5354" w:rsidRPr="008367AE" w:rsidRDefault="00AD5354" w:rsidP="006C3EDB">
      <w:pPr>
        <w:rPr>
          <w:sz w:val="28"/>
          <w:szCs w:val="28"/>
        </w:rPr>
      </w:pPr>
    </w:p>
    <w:p w14:paraId="20EDBABD" w14:textId="77777777" w:rsidR="00C03303" w:rsidRDefault="00C03303" w:rsidP="006C3EDB">
      <w:pPr>
        <w:jc w:val="center"/>
        <w:rPr>
          <w:sz w:val="28"/>
          <w:szCs w:val="28"/>
        </w:rPr>
      </w:pPr>
    </w:p>
    <w:p w14:paraId="337D00E3" w14:textId="77777777" w:rsidR="00C03303" w:rsidRPr="00293298" w:rsidRDefault="00C03303" w:rsidP="006C3EDB">
      <w:pPr>
        <w:jc w:val="center"/>
        <w:rPr>
          <w:sz w:val="28"/>
          <w:szCs w:val="28"/>
          <w:lang w:val="en-US"/>
        </w:rPr>
      </w:pPr>
    </w:p>
    <w:p w14:paraId="24D3B80C" w14:textId="77777777" w:rsidR="00C03303" w:rsidRDefault="00C03303" w:rsidP="006C3EDB">
      <w:pPr>
        <w:jc w:val="center"/>
        <w:rPr>
          <w:sz w:val="28"/>
          <w:szCs w:val="28"/>
        </w:rPr>
      </w:pPr>
    </w:p>
    <w:p w14:paraId="1924A9FC" w14:textId="77777777" w:rsidR="00C03303" w:rsidRDefault="00C03303" w:rsidP="006C3EDB">
      <w:pPr>
        <w:jc w:val="center"/>
        <w:rPr>
          <w:sz w:val="28"/>
          <w:szCs w:val="28"/>
        </w:rPr>
      </w:pPr>
    </w:p>
    <w:p w14:paraId="5FB1A2D1" w14:textId="77777777" w:rsidR="00C03303" w:rsidRDefault="00C03303" w:rsidP="006C3EDB">
      <w:pPr>
        <w:jc w:val="center"/>
        <w:rPr>
          <w:sz w:val="28"/>
          <w:szCs w:val="28"/>
        </w:rPr>
      </w:pPr>
    </w:p>
    <w:p w14:paraId="2E67B957" w14:textId="77777777" w:rsidR="00C03303" w:rsidRDefault="00C03303" w:rsidP="006C3EDB">
      <w:pPr>
        <w:jc w:val="center"/>
        <w:rPr>
          <w:sz w:val="28"/>
          <w:szCs w:val="28"/>
        </w:rPr>
      </w:pPr>
    </w:p>
    <w:p w14:paraId="54A725CF" w14:textId="77777777" w:rsidR="00C03303" w:rsidRDefault="00C03303" w:rsidP="006C3EDB">
      <w:pPr>
        <w:jc w:val="center"/>
        <w:rPr>
          <w:sz w:val="28"/>
          <w:szCs w:val="28"/>
        </w:rPr>
      </w:pPr>
    </w:p>
    <w:p w14:paraId="78F27B48" w14:textId="77777777" w:rsidR="00C03303" w:rsidRDefault="00C03303" w:rsidP="006C3EDB">
      <w:pPr>
        <w:jc w:val="center"/>
        <w:rPr>
          <w:sz w:val="28"/>
          <w:szCs w:val="28"/>
        </w:rPr>
      </w:pPr>
    </w:p>
    <w:p w14:paraId="3782B77C" w14:textId="77777777" w:rsidR="00C03303" w:rsidRDefault="00C03303" w:rsidP="006C3EDB">
      <w:pPr>
        <w:jc w:val="center"/>
        <w:rPr>
          <w:sz w:val="28"/>
          <w:szCs w:val="28"/>
        </w:rPr>
      </w:pPr>
    </w:p>
    <w:p w14:paraId="3EAAA6A6" w14:textId="77777777" w:rsidR="00C03303" w:rsidRDefault="00C03303" w:rsidP="006C3EDB">
      <w:pPr>
        <w:jc w:val="center"/>
        <w:rPr>
          <w:sz w:val="28"/>
          <w:szCs w:val="28"/>
        </w:rPr>
      </w:pPr>
    </w:p>
    <w:p w14:paraId="195542FD" w14:textId="77777777" w:rsidR="00C03303" w:rsidRDefault="00610EE1" w:rsidP="006C3EDB">
      <w:pPr>
        <w:jc w:val="center"/>
        <w:rPr>
          <w:sz w:val="28"/>
          <w:szCs w:val="28"/>
        </w:rPr>
      </w:pPr>
      <w:r w:rsidRPr="00EB2901">
        <w:rPr>
          <w:sz w:val="28"/>
          <w:szCs w:val="28"/>
        </w:rPr>
        <w:t xml:space="preserve">О внесении </w:t>
      </w:r>
    </w:p>
    <w:p w14:paraId="1814ED7D" w14:textId="77777777" w:rsidR="00C03303" w:rsidRDefault="00610EE1" w:rsidP="006C3EDB">
      <w:pPr>
        <w:jc w:val="center"/>
        <w:rPr>
          <w:sz w:val="28"/>
          <w:szCs w:val="28"/>
        </w:rPr>
      </w:pPr>
      <w:r w:rsidRPr="00EB2901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 xml:space="preserve">в постановление администрации </w:t>
      </w:r>
    </w:p>
    <w:p w14:paraId="4D692BBE" w14:textId="4D819245" w:rsidR="00C03303" w:rsidRDefault="00610EE1" w:rsidP="006C3EDB">
      <w:pPr>
        <w:jc w:val="center"/>
        <w:rPr>
          <w:sz w:val="28"/>
          <w:szCs w:val="28"/>
        </w:rPr>
      </w:pPr>
      <w:r w:rsidRPr="00EB2901">
        <w:rPr>
          <w:sz w:val="28"/>
          <w:szCs w:val="28"/>
        </w:rPr>
        <w:t>городского округа Тольятти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 xml:space="preserve">от </w:t>
      </w:r>
      <w:r w:rsidR="002E75CB">
        <w:rPr>
          <w:sz w:val="28"/>
          <w:szCs w:val="28"/>
        </w:rPr>
        <w:t>15</w:t>
      </w:r>
      <w:r w:rsidRPr="00EB2901">
        <w:rPr>
          <w:sz w:val="28"/>
          <w:szCs w:val="28"/>
        </w:rPr>
        <w:t>.0</w:t>
      </w:r>
      <w:r w:rsidR="002E75CB">
        <w:rPr>
          <w:sz w:val="28"/>
          <w:szCs w:val="28"/>
        </w:rPr>
        <w:t>8</w:t>
      </w:r>
      <w:r w:rsidRPr="00EB2901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2E75CB">
        <w:rPr>
          <w:sz w:val="28"/>
          <w:szCs w:val="28"/>
        </w:rPr>
        <w:t>3</w:t>
      </w:r>
      <w:r w:rsidRPr="00EB2901">
        <w:rPr>
          <w:sz w:val="28"/>
          <w:szCs w:val="28"/>
        </w:rPr>
        <w:t xml:space="preserve"> № </w:t>
      </w:r>
      <w:r w:rsidR="002E75CB">
        <w:rPr>
          <w:sz w:val="28"/>
          <w:szCs w:val="28"/>
        </w:rPr>
        <w:t>2512</w:t>
      </w:r>
      <w:r w:rsidRPr="00EB2901">
        <w:rPr>
          <w:sz w:val="28"/>
          <w:szCs w:val="28"/>
        </w:rPr>
        <w:t>-п/1</w:t>
      </w:r>
    </w:p>
    <w:p w14:paraId="1B838A69" w14:textId="77777777" w:rsidR="00C03303" w:rsidRDefault="00610EE1" w:rsidP="006C3EDB">
      <w:pPr>
        <w:jc w:val="center"/>
        <w:rPr>
          <w:sz w:val="28"/>
          <w:szCs w:val="28"/>
        </w:rPr>
      </w:pPr>
      <w:r w:rsidRPr="00EB2901">
        <w:rPr>
          <w:sz w:val="28"/>
          <w:szCs w:val="28"/>
        </w:rPr>
        <w:t xml:space="preserve"> «Об утверждении схемы размещения нестационарных </w:t>
      </w:r>
    </w:p>
    <w:p w14:paraId="5B0807D4" w14:textId="77777777" w:rsidR="00C03303" w:rsidRDefault="00610EE1" w:rsidP="006C3EDB">
      <w:pPr>
        <w:jc w:val="center"/>
        <w:rPr>
          <w:sz w:val="28"/>
          <w:szCs w:val="28"/>
        </w:rPr>
      </w:pPr>
      <w:r w:rsidRPr="00EB2901">
        <w:rPr>
          <w:sz w:val="28"/>
          <w:szCs w:val="28"/>
        </w:rPr>
        <w:t>торговых объектов на территории</w:t>
      </w:r>
    </w:p>
    <w:p w14:paraId="35772D2D" w14:textId="5E2130BF" w:rsidR="00610EE1" w:rsidRDefault="00610EE1" w:rsidP="006C3EDB">
      <w:pPr>
        <w:jc w:val="center"/>
        <w:rPr>
          <w:sz w:val="28"/>
          <w:szCs w:val="28"/>
        </w:rPr>
      </w:pPr>
      <w:r w:rsidRPr="00EB2901">
        <w:rPr>
          <w:sz w:val="28"/>
          <w:szCs w:val="28"/>
        </w:rPr>
        <w:t xml:space="preserve"> городского округа Тольятти»</w:t>
      </w:r>
    </w:p>
    <w:p w14:paraId="3A57FC55" w14:textId="5C7826C3" w:rsidR="00C03303" w:rsidRDefault="00C03303" w:rsidP="006C3EDB">
      <w:pPr>
        <w:jc w:val="center"/>
        <w:rPr>
          <w:sz w:val="28"/>
          <w:szCs w:val="28"/>
        </w:rPr>
      </w:pPr>
    </w:p>
    <w:p w14:paraId="0873F789" w14:textId="63EBFD70" w:rsidR="00C03303" w:rsidRDefault="00C03303" w:rsidP="006C3EDB">
      <w:pPr>
        <w:jc w:val="center"/>
        <w:rPr>
          <w:sz w:val="28"/>
          <w:szCs w:val="28"/>
        </w:rPr>
      </w:pPr>
    </w:p>
    <w:p w14:paraId="6F669424" w14:textId="66142400" w:rsidR="00C03303" w:rsidRDefault="00C03303" w:rsidP="006C3EDB">
      <w:pPr>
        <w:jc w:val="center"/>
        <w:rPr>
          <w:sz w:val="28"/>
          <w:szCs w:val="28"/>
        </w:rPr>
      </w:pPr>
    </w:p>
    <w:p w14:paraId="2DB60F09" w14:textId="77777777" w:rsidR="00B84384" w:rsidRDefault="00B84384" w:rsidP="006C3EDB">
      <w:pPr>
        <w:jc w:val="center"/>
        <w:rPr>
          <w:sz w:val="28"/>
          <w:szCs w:val="28"/>
        </w:rPr>
      </w:pPr>
    </w:p>
    <w:p w14:paraId="2C3E8FA4" w14:textId="77777777" w:rsidR="009B69AB" w:rsidRPr="00EB2901" w:rsidRDefault="009B69AB" w:rsidP="006C3EDB">
      <w:pPr>
        <w:jc w:val="center"/>
        <w:rPr>
          <w:sz w:val="28"/>
          <w:szCs w:val="28"/>
        </w:rPr>
      </w:pPr>
    </w:p>
    <w:p w14:paraId="5FD8FAC9" w14:textId="7683CCFF" w:rsidR="00FF7804" w:rsidRDefault="009B69AB" w:rsidP="006C3EDB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8367AE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актуализации</w:t>
      </w:r>
      <w:r w:rsidRPr="008367AE">
        <w:rPr>
          <w:sz w:val="28"/>
          <w:szCs w:val="28"/>
        </w:rPr>
        <w:t xml:space="preserve"> размещения нестационарных торговых объектов на территории городского округа Тольятти </w:t>
      </w:r>
      <w:r w:rsidR="00FF7804" w:rsidRPr="008367AE">
        <w:rPr>
          <w:sz w:val="28"/>
          <w:szCs w:val="28"/>
        </w:rPr>
        <w:t>и повышения доступности товаров для населения, в соответствии с пунктом 15 част</w:t>
      </w:r>
      <w:r w:rsidR="00B5253E" w:rsidRPr="008367AE">
        <w:rPr>
          <w:sz w:val="28"/>
          <w:szCs w:val="28"/>
        </w:rPr>
        <w:t>и</w:t>
      </w:r>
      <w:r w:rsidR="00FF7804" w:rsidRPr="008367AE">
        <w:rPr>
          <w:sz w:val="28"/>
          <w:szCs w:val="28"/>
        </w:rPr>
        <w:t xml:space="preserve"> 1 статьи 16 Федерального закона от 06.10.2003 № 131-ФЗ «Об общих принципах организации местного самоуправления в Российской Федерации», частью 3 статьи 10 Федерального закона от 28.12.2009 № 381-ФЗ «Об основах государственного регулирования торговой деятельности в Российской Федерации»</w:t>
      </w:r>
      <w:r w:rsidR="00AD5354" w:rsidRPr="008367AE">
        <w:rPr>
          <w:sz w:val="28"/>
          <w:szCs w:val="28"/>
        </w:rPr>
        <w:t>,</w:t>
      </w:r>
      <w:r w:rsidR="00FF7804" w:rsidRPr="008367AE">
        <w:rPr>
          <w:sz w:val="28"/>
          <w:szCs w:val="28"/>
        </w:rPr>
        <w:t xml:space="preserve"> частью 2 статьи 5 Закона Самарской области от 05.07.2010 № 76-ГД «О государственном регулировании торговой деятельности на территории Самарской области», </w:t>
      </w:r>
      <w:r w:rsidR="00635BFB" w:rsidRPr="008367AE">
        <w:rPr>
          <w:sz w:val="28"/>
          <w:szCs w:val="28"/>
        </w:rPr>
        <w:t xml:space="preserve">Приказом министерства промышленности и торговли Самарской </w:t>
      </w:r>
      <w:r w:rsidR="001146B2" w:rsidRPr="000C5D0C">
        <w:rPr>
          <w:rFonts w:eastAsiaTheme="minorEastAsia"/>
          <w:bCs/>
          <w:sz w:val="28"/>
          <w:szCs w:val="28"/>
        </w:rPr>
        <w:t>от 29.05.2023 № 49-п «Об утверждении Порядка разработки и утверждения схемы размещения нестационарных торговых объектов на территории Самарской области и о признании утратившими силу некоторых приказов министерства промышленности и торговли Самарской области»</w:t>
      </w:r>
      <w:r w:rsidR="00635BFB" w:rsidRPr="008367AE">
        <w:rPr>
          <w:sz w:val="28"/>
          <w:szCs w:val="28"/>
        </w:rPr>
        <w:t xml:space="preserve"> </w:t>
      </w:r>
      <w:r w:rsidR="00FF7804" w:rsidRPr="008367AE">
        <w:rPr>
          <w:sz w:val="28"/>
          <w:szCs w:val="28"/>
        </w:rPr>
        <w:t>руководствуясь Уставом городского округа Тольятти, администрация городского округа Тольятти ПОСТАНОВЛЯЕТ:</w:t>
      </w:r>
    </w:p>
    <w:p w14:paraId="2219DBA5" w14:textId="2E48FD74" w:rsidR="00610EE1" w:rsidRPr="00610EE1" w:rsidRDefault="00610EE1" w:rsidP="006C3EDB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10EE1">
        <w:rPr>
          <w:sz w:val="28"/>
          <w:szCs w:val="28"/>
        </w:rPr>
        <w:lastRenderedPageBreak/>
        <w:t xml:space="preserve">Внести в постановление администрации городского округа Тольятти от </w:t>
      </w:r>
      <w:r w:rsidR="002E75CB">
        <w:rPr>
          <w:sz w:val="28"/>
          <w:szCs w:val="28"/>
        </w:rPr>
        <w:t>15.08</w:t>
      </w:r>
      <w:r w:rsidRPr="00610EE1">
        <w:rPr>
          <w:sz w:val="28"/>
          <w:szCs w:val="28"/>
        </w:rPr>
        <w:t>.202</w:t>
      </w:r>
      <w:r w:rsidR="002E75CB">
        <w:rPr>
          <w:sz w:val="28"/>
          <w:szCs w:val="28"/>
        </w:rPr>
        <w:t>3</w:t>
      </w:r>
      <w:r w:rsidRPr="00610EE1">
        <w:rPr>
          <w:sz w:val="28"/>
          <w:szCs w:val="28"/>
        </w:rPr>
        <w:t xml:space="preserve"> №</w:t>
      </w:r>
      <w:r w:rsidR="002E75CB">
        <w:rPr>
          <w:sz w:val="28"/>
          <w:szCs w:val="28"/>
        </w:rPr>
        <w:t xml:space="preserve"> 2512</w:t>
      </w:r>
      <w:r w:rsidRPr="00610EE1">
        <w:rPr>
          <w:sz w:val="28"/>
          <w:szCs w:val="28"/>
        </w:rPr>
        <w:t>-п/1 «Об утверждении схемы размещения нестационарных торговых объектов на территории городского округа Тольятти» (</w:t>
      </w:r>
      <w:bookmarkStart w:id="0" w:name="_Hlk143529654"/>
      <w:r w:rsidRPr="00610EE1">
        <w:rPr>
          <w:sz w:val="28"/>
          <w:szCs w:val="28"/>
        </w:rPr>
        <w:t>газета «</w:t>
      </w:r>
      <w:r w:rsidRPr="00D7791A">
        <w:rPr>
          <w:sz w:val="28"/>
          <w:szCs w:val="28"/>
        </w:rPr>
        <w:t xml:space="preserve">Городские ведомости», </w:t>
      </w:r>
      <w:r w:rsidR="004C60A8">
        <w:rPr>
          <w:sz w:val="28"/>
          <w:szCs w:val="28"/>
        </w:rPr>
        <w:t>202</w:t>
      </w:r>
      <w:r w:rsidR="002E75CB">
        <w:rPr>
          <w:sz w:val="28"/>
          <w:szCs w:val="28"/>
        </w:rPr>
        <w:t>3</w:t>
      </w:r>
      <w:r w:rsidR="004C60A8">
        <w:rPr>
          <w:sz w:val="28"/>
          <w:szCs w:val="28"/>
        </w:rPr>
        <w:t xml:space="preserve">, </w:t>
      </w:r>
      <w:r w:rsidR="00ED13FA">
        <w:rPr>
          <w:sz w:val="28"/>
          <w:szCs w:val="28"/>
        </w:rPr>
        <w:t>22 августа</w:t>
      </w:r>
      <w:r w:rsidR="002E75CB">
        <w:rPr>
          <w:sz w:val="28"/>
          <w:szCs w:val="28"/>
        </w:rPr>
        <w:t xml:space="preserve">) </w:t>
      </w:r>
      <w:bookmarkEnd w:id="0"/>
      <w:r w:rsidR="004C60A8">
        <w:rPr>
          <w:sz w:val="28"/>
          <w:szCs w:val="28"/>
        </w:rPr>
        <w:t>(</w:t>
      </w:r>
      <w:r w:rsidRPr="00610EE1">
        <w:rPr>
          <w:sz w:val="28"/>
          <w:szCs w:val="28"/>
        </w:rPr>
        <w:t>далее – Постановление) следующие изменения:</w:t>
      </w:r>
    </w:p>
    <w:p w14:paraId="2BD989CC" w14:textId="42DB1407" w:rsidR="006C3EDB" w:rsidRDefault="006C3EDB" w:rsidP="002E75CB">
      <w:pPr>
        <w:pStyle w:val="a3"/>
        <w:tabs>
          <w:tab w:val="left" w:pos="993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  <w:sectPr w:rsidR="006C3EDB" w:rsidSect="006C3EDB">
          <w:headerReference w:type="default" r:id="rId8"/>
          <w:pgSz w:w="11906" w:h="16838"/>
          <w:pgMar w:top="1103" w:right="1135" w:bottom="709" w:left="1276" w:header="708" w:footer="708" w:gutter="0"/>
          <w:cols w:space="708"/>
          <w:titlePg/>
          <w:docGrid w:linePitch="360"/>
        </w:sectPr>
      </w:pPr>
    </w:p>
    <w:p w14:paraId="132A9C34" w14:textId="099CD6FE" w:rsidR="002E75CB" w:rsidRPr="00826D45" w:rsidRDefault="002E75CB" w:rsidP="00EF3E87">
      <w:pPr>
        <w:numPr>
          <w:ilvl w:val="1"/>
          <w:numId w:val="1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lastRenderedPageBreak/>
        <w:t xml:space="preserve">Пункт </w:t>
      </w:r>
      <w:r w:rsidR="00071139">
        <w:rPr>
          <w:sz w:val="28"/>
          <w:szCs w:val="28"/>
        </w:rPr>
        <w:t>33</w:t>
      </w:r>
      <w:r>
        <w:rPr>
          <w:sz w:val="28"/>
          <w:szCs w:val="28"/>
        </w:rPr>
        <w:t xml:space="preserve"> </w:t>
      </w:r>
      <w:r w:rsidRPr="00826D45">
        <w:rPr>
          <w:sz w:val="28"/>
          <w:szCs w:val="28"/>
        </w:rPr>
        <w:t>приложения к Постановлению Схема размещения нестационарных торговых объектов на территории городского округа Тольятти (далее – Приложение) изложить в следующей редакции:</w:t>
      </w:r>
    </w:p>
    <w:p w14:paraId="64B721D3" w14:textId="77777777" w:rsidR="002E75CB" w:rsidRDefault="002E75CB" w:rsidP="002E75CB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520BFE" w:rsidRPr="004A7508" w14:paraId="712A8595" w14:textId="77777777" w:rsidTr="00520BFE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EC26CF2" w14:textId="2B9A0A2B" w:rsidR="00520BFE" w:rsidRPr="004A7508" w:rsidRDefault="00520BFE" w:rsidP="00520B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A7E65" w14:textId="2897022A" w:rsidR="00520BFE" w:rsidRPr="004A7508" w:rsidRDefault="00520BFE" w:rsidP="00520BFE">
            <w:pPr>
              <w:jc w:val="center"/>
              <w:rPr>
                <w:color w:val="000000"/>
                <w:sz w:val="12"/>
                <w:szCs w:val="12"/>
              </w:rPr>
            </w:pPr>
            <w:r w:rsidRPr="00520BFE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520BFE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520BFE">
              <w:rPr>
                <w:color w:val="000000"/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520BFE">
              <w:rPr>
                <w:color w:val="000000"/>
                <w:sz w:val="12"/>
                <w:szCs w:val="12"/>
              </w:rPr>
              <w:t>ул.Ворошилова</w:t>
            </w:r>
            <w:proofErr w:type="spellEnd"/>
            <w:r w:rsidRPr="00520BFE">
              <w:rPr>
                <w:color w:val="000000"/>
                <w:sz w:val="12"/>
                <w:szCs w:val="12"/>
              </w:rPr>
              <w:t>, квартал 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FB38B" w14:textId="1C680132" w:rsidR="00520BFE" w:rsidRPr="00520BFE" w:rsidRDefault="00520BFE" w:rsidP="00880CF7">
            <w:pPr>
              <w:jc w:val="center"/>
              <w:rPr>
                <w:color w:val="000000"/>
                <w:sz w:val="12"/>
                <w:szCs w:val="12"/>
              </w:rPr>
            </w:pPr>
            <w:r w:rsidRPr="00520BFE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C6F2" w14:textId="1EDBB2CB" w:rsidR="00520BFE" w:rsidRPr="004A7508" w:rsidRDefault="00520BFE" w:rsidP="00520BFE">
            <w:pPr>
              <w:jc w:val="center"/>
              <w:rPr>
                <w:color w:val="000000"/>
                <w:sz w:val="12"/>
                <w:szCs w:val="12"/>
              </w:rPr>
            </w:pPr>
            <w:r w:rsidRPr="00520BFE">
              <w:rPr>
                <w:color w:val="000000"/>
                <w:sz w:val="12"/>
                <w:szCs w:val="12"/>
              </w:rPr>
              <w:t>63:09:0101166:4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7F786" w14:textId="6D66E6BE" w:rsidR="00520BFE" w:rsidRPr="004A7508" w:rsidRDefault="00520BFE" w:rsidP="00520BFE">
            <w:pPr>
              <w:jc w:val="center"/>
              <w:rPr>
                <w:color w:val="000000"/>
                <w:sz w:val="12"/>
                <w:szCs w:val="12"/>
              </w:rPr>
            </w:pPr>
            <w:r w:rsidRPr="00520BFE">
              <w:rPr>
                <w:color w:val="000000"/>
                <w:sz w:val="12"/>
                <w:szCs w:val="12"/>
              </w:rPr>
              <w:t>63:09:0101166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F9FB4" w14:textId="1FAEEE6D" w:rsidR="00520BFE" w:rsidRPr="004A7508" w:rsidRDefault="00520BFE" w:rsidP="00520BFE">
            <w:pPr>
              <w:jc w:val="center"/>
              <w:rPr>
                <w:color w:val="000000"/>
                <w:sz w:val="12"/>
                <w:szCs w:val="12"/>
              </w:rPr>
            </w:pPr>
            <w:r w:rsidRPr="00520BFE">
              <w:rPr>
                <w:color w:val="000000"/>
                <w:sz w:val="12"/>
                <w:szCs w:val="12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E95EF" w14:textId="14FD988D" w:rsidR="00520BFE" w:rsidRPr="004A7508" w:rsidRDefault="00520BFE" w:rsidP="00520BFE">
            <w:pPr>
              <w:jc w:val="center"/>
              <w:rPr>
                <w:color w:val="000000"/>
                <w:sz w:val="12"/>
                <w:szCs w:val="12"/>
              </w:rPr>
            </w:pPr>
            <w:r w:rsidRPr="00520BFE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A7A0" w14:textId="5FD2219A" w:rsidR="00520BFE" w:rsidRPr="004A7508" w:rsidRDefault="00520BFE" w:rsidP="00520BFE">
            <w:pPr>
              <w:jc w:val="center"/>
              <w:rPr>
                <w:color w:val="000000"/>
                <w:sz w:val="12"/>
                <w:szCs w:val="12"/>
              </w:rPr>
            </w:pPr>
            <w:r w:rsidRPr="00520BFE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D68A3" w14:textId="1B5FFC9F" w:rsidR="00520BFE" w:rsidRPr="00520BFE" w:rsidRDefault="00520BFE" w:rsidP="00520BFE">
            <w:pPr>
              <w:jc w:val="center"/>
              <w:rPr>
                <w:color w:val="000000"/>
                <w:sz w:val="12"/>
                <w:szCs w:val="12"/>
              </w:rPr>
            </w:pPr>
            <w:r w:rsidRPr="00520BFE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401F1" w14:textId="4C6B13E9" w:rsidR="00520BFE" w:rsidRPr="004A7508" w:rsidRDefault="00520BFE" w:rsidP="00520BFE">
            <w:pPr>
              <w:jc w:val="center"/>
              <w:rPr>
                <w:color w:val="000000"/>
                <w:sz w:val="12"/>
                <w:szCs w:val="12"/>
              </w:rPr>
            </w:pPr>
            <w:r w:rsidRPr="00520BFE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520BFE">
              <w:rPr>
                <w:color w:val="000000"/>
                <w:sz w:val="12"/>
                <w:szCs w:val="12"/>
              </w:rPr>
              <w:br/>
              <w:t>№ 8СР-БА/2021 от 11.11.2021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B5464" w14:textId="42E7BBAB" w:rsidR="00520BFE" w:rsidRPr="004A7508" w:rsidRDefault="00520BFE" w:rsidP="00520BFE">
            <w:pPr>
              <w:jc w:val="center"/>
              <w:rPr>
                <w:color w:val="000000"/>
                <w:sz w:val="12"/>
                <w:szCs w:val="12"/>
              </w:rPr>
            </w:pPr>
            <w:r w:rsidRPr="00520BFE">
              <w:rPr>
                <w:color w:val="000000"/>
                <w:sz w:val="12"/>
                <w:szCs w:val="12"/>
              </w:rPr>
              <w:t>11.11.2021 - 10.07.2028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15201" w14:textId="4F1769C9" w:rsidR="00520BFE" w:rsidRPr="004A7508" w:rsidRDefault="00520BFE" w:rsidP="00520BFE">
            <w:pPr>
              <w:jc w:val="center"/>
              <w:rPr>
                <w:color w:val="000000"/>
                <w:sz w:val="12"/>
                <w:szCs w:val="12"/>
              </w:rPr>
            </w:pPr>
            <w:r w:rsidRPr="00520BFE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A364" w14:textId="124420D3" w:rsidR="00520BFE" w:rsidRPr="004A7508" w:rsidRDefault="00520BFE" w:rsidP="00520BFE">
            <w:pPr>
              <w:jc w:val="center"/>
              <w:rPr>
                <w:color w:val="000000"/>
                <w:sz w:val="12"/>
                <w:szCs w:val="12"/>
              </w:rPr>
            </w:pPr>
            <w:r w:rsidRPr="00520BF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0018D" w14:textId="10553A99" w:rsidR="00520BFE" w:rsidRPr="004A7508" w:rsidRDefault="00520BFE" w:rsidP="00520BFE">
            <w:pPr>
              <w:jc w:val="center"/>
              <w:rPr>
                <w:color w:val="000000"/>
                <w:sz w:val="12"/>
                <w:szCs w:val="12"/>
              </w:rPr>
            </w:pPr>
            <w:r w:rsidRPr="00520BF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7056" w14:textId="441669F8" w:rsidR="00520BFE" w:rsidRPr="004A7508" w:rsidRDefault="00520BFE" w:rsidP="00520BFE">
            <w:pPr>
              <w:jc w:val="center"/>
              <w:rPr>
                <w:color w:val="000000"/>
                <w:sz w:val="12"/>
                <w:szCs w:val="12"/>
              </w:rPr>
            </w:pPr>
            <w:r w:rsidRPr="00520BFE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04E933FF" w14:textId="77777777" w:rsidR="002E75CB" w:rsidRDefault="002E75CB" w:rsidP="002E75CB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17C765D" w14:textId="19F629DB" w:rsidR="002E75CB" w:rsidRPr="00826D45" w:rsidRDefault="002E75CB" w:rsidP="00EF3E87">
      <w:pPr>
        <w:numPr>
          <w:ilvl w:val="1"/>
          <w:numId w:val="1"/>
        </w:numPr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 w:rsidR="00520BFE">
        <w:rPr>
          <w:sz w:val="28"/>
          <w:szCs w:val="28"/>
        </w:rPr>
        <w:t>161</w:t>
      </w:r>
      <w:r>
        <w:rPr>
          <w:sz w:val="28"/>
          <w:szCs w:val="28"/>
        </w:rPr>
        <w:t xml:space="preserve">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1ED579A7" w14:textId="77777777" w:rsidR="002E75CB" w:rsidRDefault="002E75CB" w:rsidP="002E75CB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520BFE" w:rsidRPr="004A7508" w14:paraId="2705376F" w14:textId="77777777" w:rsidTr="00B54875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F46276B" w14:textId="77777777" w:rsidR="00520BFE" w:rsidRPr="004A7508" w:rsidRDefault="00520BFE" w:rsidP="00B54875">
            <w:pPr>
              <w:jc w:val="center"/>
              <w:rPr>
                <w:color w:val="000000"/>
                <w:sz w:val="12"/>
                <w:szCs w:val="12"/>
              </w:rPr>
            </w:pPr>
            <w:r w:rsidRPr="004A7508">
              <w:rPr>
                <w:color w:val="000000"/>
                <w:sz w:val="12"/>
                <w:szCs w:val="12"/>
              </w:rPr>
              <w:t>161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309BD" w14:textId="77777777" w:rsidR="00520BFE" w:rsidRPr="004A7508" w:rsidRDefault="00520BFE" w:rsidP="00B54875">
            <w:pPr>
              <w:jc w:val="center"/>
              <w:rPr>
                <w:color w:val="000000"/>
                <w:sz w:val="12"/>
                <w:szCs w:val="12"/>
              </w:rPr>
            </w:pPr>
            <w:r w:rsidRPr="004A7508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4A7508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4A7508">
              <w:rPr>
                <w:color w:val="000000"/>
                <w:sz w:val="12"/>
                <w:szCs w:val="12"/>
              </w:rPr>
              <w:t>, Центральный район, б-р 50 лет Октября у дома у дома № 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77A5" w14:textId="77777777" w:rsidR="00520BFE" w:rsidRPr="004A7508" w:rsidRDefault="00520BFE" w:rsidP="00B54875">
            <w:pPr>
              <w:jc w:val="center"/>
              <w:rPr>
                <w:sz w:val="12"/>
                <w:szCs w:val="12"/>
              </w:rPr>
            </w:pPr>
            <w:r w:rsidRPr="004A7508">
              <w:rPr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FC291" w14:textId="77777777" w:rsidR="00520BFE" w:rsidRPr="004A7508" w:rsidRDefault="00520BFE" w:rsidP="00B54875">
            <w:pPr>
              <w:jc w:val="center"/>
              <w:rPr>
                <w:color w:val="000000"/>
                <w:sz w:val="12"/>
                <w:szCs w:val="12"/>
              </w:rPr>
            </w:pPr>
            <w:r w:rsidRPr="004A7508">
              <w:rPr>
                <w:color w:val="000000"/>
                <w:sz w:val="12"/>
                <w:szCs w:val="12"/>
              </w:rPr>
              <w:t>63:09:0301138:25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81568" w14:textId="77777777" w:rsidR="00520BFE" w:rsidRPr="004A7508" w:rsidRDefault="00520BFE" w:rsidP="00B54875">
            <w:pPr>
              <w:jc w:val="center"/>
              <w:rPr>
                <w:color w:val="000000"/>
                <w:sz w:val="12"/>
                <w:szCs w:val="12"/>
              </w:rPr>
            </w:pPr>
            <w:r w:rsidRPr="004A7508">
              <w:rPr>
                <w:color w:val="000000"/>
                <w:sz w:val="12"/>
                <w:szCs w:val="12"/>
              </w:rPr>
              <w:t>63:09:0301138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A23BB" w14:textId="77777777" w:rsidR="00520BFE" w:rsidRPr="004A7508" w:rsidRDefault="00520BFE" w:rsidP="00B54875">
            <w:pPr>
              <w:jc w:val="center"/>
              <w:rPr>
                <w:color w:val="000000"/>
                <w:sz w:val="12"/>
                <w:szCs w:val="12"/>
              </w:rPr>
            </w:pPr>
            <w:r w:rsidRPr="004A7508">
              <w:rPr>
                <w:color w:val="000000"/>
                <w:sz w:val="12"/>
                <w:szCs w:val="12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97474" w14:textId="77777777" w:rsidR="00520BFE" w:rsidRPr="004A7508" w:rsidRDefault="00520BFE" w:rsidP="00B54875">
            <w:pPr>
              <w:jc w:val="center"/>
              <w:rPr>
                <w:color w:val="000000"/>
                <w:sz w:val="12"/>
                <w:szCs w:val="12"/>
              </w:rPr>
            </w:pPr>
            <w:r w:rsidRPr="004A7508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576D6" w14:textId="77777777" w:rsidR="00520BFE" w:rsidRPr="004A7508" w:rsidRDefault="00520BFE" w:rsidP="00B54875">
            <w:pPr>
              <w:jc w:val="center"/>
              <w:rPr>
                <w:color w:val="000000"/>
                <w:sz w:val="12"/>
                <w:szCs w:val="12"/>
              </w:rPr>
            </w:pPr>
            <w:r w:rsidRPr="004A7508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CAA69" w14:textId="77777777" w:rsidR="00520BFE" w:rsidRPr="004A7508" w:rsidRDefault="00520BFE" w:rsidP="00B54875">
            <w:pPr>
              <w:jc w:val="center"/>
              <w:rPr>
                <w:sz w:val="12"/>
                <w:szCs w:val="12"/>
              </w:rPr>
            </w:pPr>
            <w:r w:rsidRPr="004A7508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26099" w14:textId="77777777" w:rsidR="00520BFE" w:rsidRPr="004A7508" w:rsidRDefault="00520BFE" w:rsidP="00B54875">
            <w:pPr>
              <w:jc w:val="center"/>
              <w:rPr>
                <w:color w:val="000000"/>
                <w:sz w:val="12"/>
                <w:szCs w:val="12"/>
              </w:rPr>
            </w:pPr>
            <w:r w:rsidRPr="004A7508">
              <w:rPr>
                <w:color w:val="000000"/>
                <w:sz w:val="12"/>
                <w:szCs w:val="12"/>
              </w:rPr>
              <w:t>используется, договор аренды № 290 от 19.09.2002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0C180" w14:textId="77777777" w:rsidR="00520BFE" w:rsidRPr="004A7508" w:rsidRDefault="00520BFE" w:rsidP="00B54875">
            <w:pPr>
              <w:jc w:val="center"/>
              <w:rPr>
                <w:color w:val="000000"/>
                <w:sz w:val="12"/>
                <w:szCs w:val="12"/>
              </w:rPr>
            </w:pPr>
            <w:r w:rsidRPr="004A7508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BFEE7" w14:textId="77777777" w:rsidR="00520BFE" w:rsidRPr="004A7508" w:rsidRDefault="00520BFE" w:rsidP="00B54875">
            <w:pPr>
              <w:jc w:val="center"/>
              <w:rPr>
                <w:color w:val="000000"/>
                <w:sz w:val="12"/>
                <w:szCs w:val="12"/>
              </w:rPr>
            </w:pPr>
            <w:r w:rsidRPr="004A7508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EAE9E" w14:textId="77777777" w:rsidR="00520BFE" w:rsidRPr="004A7508" w:rsidRDefault="00520BFE" w:rsidP="00B54875">
            <w:pPr>
              <w:jc w:val="center"/>
              <w:rPr>
                <w:color w:val="000000"/>
                <w:sz w:val="12"/>
                <w:szCs w:val="12"/>
              </w:rPr>
            </w:pPr>
            <w:r w:rsidRPr="004A750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E746" w14:textId="77777777" w:rsidR="00520BFE" w:rsidRPr="004A7508" w:rsidRDefault="00520BFE" w:rsidP="00B54875">
            <w:pPr>
              <w:jc w:val="center"/>
              <w:rPr>
                <w:color w:val="000000"/>
                <w:sz w:val="12"/>
                <w:szCs w:val="12"/>
              </w:rPr>
            </w:pPr>
            <w:r w:rsidRPr="004A750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E3647" w14:textId="77777777" w:rsidR="00520BFE" w:rsidRPr="004A7508" w:rsidRDefault="00520BFE" w:rsidP="00B54875">
            <w:pPr>
              <w:jc w:val="center"/>
              <w:rPr>
                <w:color w:val="000000"/>
                <w:sz w:val="12"/>
                <w:szCs w:val="12"/>
              </w:rPr>
            </w:pPr>
            <w:r w:rsidRPr="004A7508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1DA4F9CA" w14:textId="77777777" w:rsidR="002E75CB" w:rsidRDefault="002E75CB" w:rsidP="002E75CB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621B4F2" w14:textId="0E3C4D54" w:rsidR="00071139" w:rsidRPr="00826D45" w:rsidRDefault="00071139" w:rsidP="00EF3E87">
      <w:pPr>
        <w:numPr>
          <w:ilvl w:val="1"/>
          <w:numId w:val="1"/>
        </w:numPr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214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76275C49" w14:textId="77777777" w:rsidR="00071139" w:rsidRDefault="00071139" w:rsidP="00071139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071139" w:rsidRPr="004A7508" w14:paraId="6F80CE29" w14:textId="77777777" w:rsidTr="00EF3E87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F0C5B72" w14:textId="581878E8" w:rsidR="00071139" w:rsidRPr="004A7508" w:rsidRDefault="00071139" w:rsidP="0007113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1D1939" w14:textId="1BAEFB09" w:rsidR="00071139" w:rsidRPr="004A7508" w:rsidRDefault="00071139" w:rsidP="00071139">
            <w:pPr>
              <w:jc w:val="center"/>
              <w:rPr>
                <w:color w:val="000000"/>
                <w:sz w:val="12"/>
                <w:szCs w:val="12"/>
              </w:rPr>
            </w:pPr>
            <w:r w:rsidRPr="00071139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071139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071139">
              <w:rPr>
                <w:color w:val="000000"/>
                <w:sz w:val="12"/>
                <w:szCs w:val="12"/>
              </w:rPr>
              <w:t xml:space="preserve">, Центральный район, </w:t>
            </w:r>
            <w:proofErr w:type="spellStart"/>
            <w:r w:rsidRPr="00071139">
              <w:rPr>
                <w:color w:val="000000"/>
                <w:sz w:val="12"/>
                <w:szCs w:val="12"/>
              </w:rPr>
              <w:t>ул.Ленина</w:t>
            </w:r>
            <w:proofErr w:type="spellEnd"/>
            <w:r w:rsidRPr="00071139">
              <w:rPr>
                <w:color w:val="000000"/>
                <w:sz w:val="12"/>
                <w:szCs w:val="12"/>
              </w:rPr>
              <w:t>, квартал 5а, ООТ "Северянка"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5DA6BB" w14:textId="22E142B7" w:rsidR="00071139" w:rsidRPr="00071139" w:rsidRDefault="00071139" w:rsidP="00071139">
            <w:pPr>
              <w:jc w:val="center"/>
              <w:rPr>
                <w:color w:val="000000"/>
                <w:sz w:val="12"/>
                <w:szCs w:val="12"/>
              </w:rPr>
            </w:pPr>
            <w:r w:rsidRPr="00071139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D213B3" w14:textId="36C93408" w:rsidR="00071139" w:rsidRPr="004A7508" w:rsidRDefault="00071139" w:rsidP="00071139">
            <w:pPr>
              <w:jc w:val="center"/>
              <w:rPr>
                <w:color w:val="000000"/>
                <w:sz w:val="12"/>
                <w:szCs w:val="12"/>
              </w:rPr>
            </w:pPr>
            <w:r w:rsidRPr="00071139">
              <w:rPr>
                <w:color w:val="000000"/>
                <w:sz w:val="12"/>
                <w:szCs w:val="12"/>
              </w:rPr>
              <w:t>63:09:0301174:55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44A839C" w14:textId="5FDDF0AB" w:rsidR="00071139" w:rsidRPr="004A7508" w:rsidRDefault="00071139" w:rsidP="00071139">
            <w:pPr>
              <w:jc w:val="center"/>
              <w:rPr>
                <w:color w:val="000000"/>
                <w:sz w:val="12"/>
                <w:szCs w:val="12"/>
              </w:rPr>
            </w:pPr>
            <w:r w:rsidRPr="00071139">
              <w:rPr>
                <w:color w:val="000000"/>
                <w:sz w:val="12"/>
                <w:szCs w:val="12"/>
              </w:rPr>
              <w:t>63:09:0301174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9A7B963" w14:textId="6066C130" w:rsidR="00071139" w:rsidRPr="004A7508" w:rsidRDefault="00071139" w:rsidP="00071139">
            <w:pPr>
              <w:jc w:val="center"/>
              <w:rPr>
                <w:color w:val="000000"/>
                <w:sz w:val="12"/>
                <w:szCs w:val="12"/>
              </w:rPr>
            </w:pPr>
            <w:r w:rsidRPr="00071139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27FC9E9" w14:textId="610E2BF2" w:rsidR="00071139" w:rsidRPr="004A7508" w:rsidRDefault="00071139" w:rsidP="00071139">
            <w:pPr>
              <w:jc w:val="center"/>
              <w:rPr>
                <w:color w:val="000000"/>
                <w:sz w:val="12"/>
                <w:szCs w:val="12"/>
              </w:rPr>
            </w:pPr>
            <w:r w:rsidRPr="00071139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7192EF" w14:textId="77B8D720" w:rsidR="00071139" w:rsidRPr="004A7508" w:rsidRDefault="00071139" w:rsidP="00071139">
            <w:pPr>
              <w:jc w:val="center"/>
              <w:rPr>
                <w:color w:val="000000"/>
                <w:sz w:val="12"/>
                <w:szCs w:val="12"/>
              </w:rPr>
            </w:pPr>
            <w:r w:rsidRPr="00071139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1EC9DF" w14:textId="0921DC44" w:rsidR="00071139" w:rsidRPr="00071139" w:rsidRDefault="00071139" w:rsidP="00071139">
            <w:pPr>
              <w:jc w:val="center"/>
              <w:rPr>
                <w:color w:val="000000"/>
                <w:sz w:val="12"/>
                <w:szCs w:val="12"/>
              </w:rPr>
            </w:pPr>
            <w:r w:rsidRPr="00071139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3341E8" w14:textId="730BD712" w:rsidR="00071139" w:rsidRPr="004A7508" w:rsidRDefault="00071139" w:rsidP="00071139">
            <w:pPr>
              <w:jc w:val="center"/>
              <w:rPr>
                <w:color w:val="000000"/>
                <w:sz w:val="12"/>
                <w:szCs w:val="12"/>
              </w:rPr>
            </w:pPr>
            <w:r w:rsidRPr="00071139">
              <w:rPr>
                <w:color w:val="000000"/>
                <w:sz w:val="12"/>
                <w:szCs w:val="12"/>
              </w:rPr>
              <w:t>используется, договор аренды № 608 от 27.08.2004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8744F94" w14:textId="2846BA7D" w:rsidR="00071139" w:rsidRPr="004A7508" w:rsidRDefault="00071139" w:rsidP="00071139">
            <w:pPr>
              <w:jc w:val="center"/>
              <w:rPr>
                <w:color w:val="000000"/>
                <w:sz w:val="12"/>
                <w:szCs w:val="12"/>
              </w:rPr>
            </w:pPr>
            <w:r w:rsidRPr="00071139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1DA2A1" w14:textId="3C6D0515" w:rsidR="00071139" w:rsidRPr="004A7508" w:rsidRDefault="00071139" w:rsidP="00071139">
            <w:pPr>
              <w:jc w:val="center"/>
              <w:rPr>
                <w:color w:val="000000"/>
                <w:sz w:val="12"/>
                <w:szCs w:val="12"/>
              </w:rPr>
            </w:pPr>
            <w:r w:rsidRPr="00071139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8F4C75E" w14:textId="3D68CEE5" w:rsidR="00071139" w:rsidRPr="004A7508" w:rsidRDefault="00071139" w:rsidP="00071139">
            <w:pPr>
              <w:jc w:val="center"/>
              <w:rPr>
                <w:color w:val="000000"/>
                <w:sz w:val="12"/>
                <w:szCs w:val="12"/>
              </w:rPr>
            </w:pPr>
            <w:r w:rsidRPr="00071139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1912290" w14:textId="78D5FFFA" w:rsidR="00071139" w:rsidRPr="004A7508" w:rsidRDefault="00071139" w:rsidP="00071139">
            <w:pPr>
              <w:jc w:val="center"/>
              <w:rPr>
                <w:color w:val="000000"/>
                <w:sz w:val="12"/>
                <w:szCs w:val="12"/>
              </w:rPr>
            </w:pPr>
            <w:r w:rsidRPr="00071139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7E7B7BE" w14:textId="44CA2364" w:rsidR="00071139" w:rsidRPr="004A7508" w:rsidRDefault="00071139" w:rsidP="00071139">
            <w:pPr>
              <w:jc w:val="center"/>
              <w:rPr>
                <w:color w:val="000000"/>
                <w:sz w:val="12"/>
                <w:szCs w:val="12"/>
              </w:rPr>
            </w:pPr>
            <w:r w:rsidRPr="00071139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3B71E871" w14:textId="77777777" w:rsidR="00071139" w:rsidRDefault="00071139" w:rsidP="00071139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711920D" w14:textId="68D59BB3" w:rsidR="00EF3E87" w:rsidRPr="00826D45" w:rsidRDefault="00EF3E87" w:rsidP="00EF3E87">
      <w:pPr>
        <w:numPr>
          <w:ilvl w:val="1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472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781CF4C1" w14:textId="77777777" w:rsidR="00EF3E87" w:rsidRDefault="00EF3E87" w:rsidP="00EF3E87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EF3E87" w:rsidRPr="004A7508" w14:paraId="5A9ACE93" w14:textId="77777777" w:rsidTr="00EF3E87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9E69005" w14:textId="0CA1613A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FC5B0" w14:textId="347A7085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EF3E87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EF3E87">
              <w:rPr>
                <w:color w:val="000000"/>
                <w:sz w:val="12"/>
                <w:szCs w:val="12"/>
              </w:rPr>
              <w:t>, Автозаводский район, восточнее здания, имеющего адрес: ул. Ворошилова, 16а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FE1C7" w14:textId="583B6665" w:rsidR="00EF3E87" w:rsidRPr="00071139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57E69" w14:textId="79D426DA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63:09:0101162:11108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F6A4C" w14:textId="5AE36431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63:09:0101162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DAB85" w14:textId="60879453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9D2D9" w14:textId="4C521CE7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ABE40" w14:textId="052BA137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7AEA" w14:textId="75D45F8B" w:rsidR="00EF3E87" w:rsidRPr="00071139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186E" w14:textId="6F6249E9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используется, договор         № 76/2023 от 24.07.2023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7215A" w14:textId="28BA5792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24.07.2023 - 23.07.2028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78164" w14:textId="0FBE537C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BB15E" w14:textId="13956E8D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04D66" w14:textId="66BEDB08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60B42" w14:textId="42E5AA82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7FF3B0F2" w14:textId="77777777" w:rsidR="00EF3E87" w:rsidRDefault="00EF3E87" w:rsidP="00EF3E87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7068D71" w14:textId="52B83C5C" w:rsidR="006D1BEE" w:rsidRPr="00826D45" w:rsidRDefault="006D1BEE" w:rsidP="00EF3E87">
      <w:pPr>
        <w:numPr>
          <w:ilvl w:val="1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629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116CFB39" w14:textId="77777777" w:rsidR="006D1BEE" w:rsidRDefault="006D1BEE" w:rsidP="006D1BEE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6D1BEE" w:rsidRPr="004A7508" w14:paraId="66512D32" w14:textId="77777777" w:rsidTr="00071139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CEE8503" w14:textId="26E82CAA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718CA0" w14:textId="12BDD356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6D1BEE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6D1BEE">
              <w:rPr>
                <w:color w:val="000000"/>
                <w:sz w:val="12"/>
                <w:szCs w:val="12"/>
              </w:rPr>
              <w:t xml:space="preserve">, Центральный район, по </w:t>
            </w:r>
            <w:proofErr w:type="spellStart"/>
            <w:r w:rsidRPr="006D1BEE">
              <w:rPr>
                <w:color w:val="000000"/>
                <w:sz w:val="12"/>
                <w:szCs w:val="12"/>
              </w:rPr>
              <w:t>ул.Жилина</w:t>
            </w:r>
            <w:proofErr w:type="spellEnd"/>
            <w:r w:rsidRPr="006D1BEE">
              <w:rPr>
                <w:color w:val="000000"/>
                <w:sz w:val="12"/>
                <w:szCs w:val="12"/>
              </w:rPr>
              <w:t xml:space="preserve"> на пересечении с </w:t>
            </w:r>
            <w:proofErr w:type="spellStart"/>
            <w:r w:rsidRPr="006D1BEE">
              <w:rPr>
                <w:color w:val="000000"/>
                <w:sz w:val="12"/>
                <w:szCs w:val="12"/>
              </w:rPr>
              <w:t>ул.Чуковского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702C8301" w14:textId="17613601" w:rsidR="006D1BEE" w:rsidRPr="006D1BEE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AAB5FF" w14:textId="07617AD7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>63:09:0000000:2122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E14E290" w14:textId="41B23F9B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2446994" w14:textId="6E3EEB4E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>78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593469B" w14:textId="7ED612E8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087B1B" w14:textId="75A04CFB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6789A2" w14:textId="21B63F62" w:rsidR="006D1BEE" w:rsidRPr="006D1BEE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17E8FE" w14:textId="67AA525D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6D1BEE">
              <w:rPr>
                <w:color w:val="000000"/>
                <w:sz w:val="12"/>
                <w:szCs w:val="12"/>
              </w:rPr>
              <w:br/>
              <w:t>№ 197-БА/2020 от 30.12.2020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9520348" w14:textId="0C26A9BB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>30.12.2020 - 29.12.2032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54C50A" w14:textId="424A2CA5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6D1BEE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6D1BEE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117C8FA" w14:textId="329F9B3F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8860F70" w14:textId="3013898B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A0B15D4" w14:textId="7890622C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533FC66F" w14:textId="77777777" w:rsidR="006D1BEE" w:rsidRDefault="006D1BEE" w:rsidP="006D1BEE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5ACE962" w14:textId="77777777" w:rsidR="00EF3E87" w:rsidRDefault="00EF3E87" w:rsidP="00EF3E87">
      <w:pPr>
        <w:ind w:left="709"/>
        <w:contextualSpacing/>
        <w:jc w:val="both"/>
        <w:rPr>
          <w:sz w:val="28"/>
          <w:szCs w:val="28"/>
        </w:rPr>
      </w:pPr>
    </w:p>
    <w:p w14:paraId="1B0448FD" w14:textId="2C2C2C51" w:rsidR="00520BFE" w:rsidRPr="00826D45" w:rsidRDefault="00520BFE" w:rsidP="00EF3E87">
      <w:pPr>
        <w:numPr>
          <w:ilvl w:val="1"/>
          <w:numId w:val="1"/>
        </w:numPr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lastRenderedPageBreak/>
        <w:t xml:space="preserve">Пункт </w:t>
      </w:r>
      <w:r w:rsidR="006D1BEE">
        <w:rPr>
          <w:sz w:val="28"/>
          <w:szCs w:val="28"/>
        </w:rPr>
        <w:t>671</w:t>
      </w:r>
      <w:r>
        <w:rPr>
          <w:sz w:val="28"/>
          <w:szCs w:val="28"/>
        </w:rPr>
        <w:t xml:space="preserve">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0E70C876" w14:textId="77777777" w:rsidR="00520BFE" w:rsidRDefault="00520BFE" w:rsidP="00520BFE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6D1BEE" w:rsidRPr="004A7508" w14:paraId="46FD8670" w14:textId="77777777" w:rsidTr="00EF3E87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7C71356" w14:textId="35E1668E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3D941F" w14:textId="7A757972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6D1BEE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6D1BEE">
              <w:rPr>
                <w:color w:val="000000"/>
                <w:sz w:val="12"/>
                <w:szCs w:val="12"/>
              </w:rPr>
              <w:t>, Автозаводский район, квартал 6, по бульвару Королева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6846DA" w14:textId="07C10CB8" w:rsidR="006D1BEE" w:rsidRPr="006D1BEE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72C7A6" w14:textId="14119D87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>63:09:0101176:613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1621CD2" w14:textId="02D4FDBE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>63:09:0101176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BF88552" w14:textId="40171041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81F7D51" w14:textId="4FD76A3A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178729" w14:textId="16131109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A8F799" w14:textId="74813133" w:rsidR="006D1BEE" w:rsidRPr="006D1BEE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2FA245" w14:textId="1B4974CE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6D1BEE">
              <w:rPr>
                <w:color w:val="000000"/>
                <w:sz w:val="12"/>
                <w:szCs w:val="12"/>
              </w:rPr>
              <w:br/>
              <w:t>№ 7СР-БА/2021 от 10.11.2021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770E3F1" w14:textId="6C12BF4D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>10.11.2021 - 14.11.2027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E57B34" w14:textId="2641DD38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6D1BEE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6D1BEE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EB44DE3" w14:textId="47D064B7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61CC8B2" w14:textId="20B4A33D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94C163B" w14:textId="4CE71E12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071B4897" w14:textId="77777777" w:rsidR="00520BFE" w:rsidRDefault="00520BFE" w:rsidP="00520BFE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87887C9" w14:textId="35FAC10F" w:rsidR="00EF3E87" w:rsidRPr="00826D45" w:rsidRDefault="00EF3E87" w:rsidP="00EF3E87">
      <w:pPr>
        <w:numPr>
          <w:ilvl w:val="1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812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12FDCF43" w14:textId="77777777" w:rsidR="00EF3E87" w:rsidRDefault="00EF3E87" w:rsidP="00EF3E87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EF3E87" w:rsidRPr="004A7508" w14:paraId="38998EC2" w14:textId="77777777" w:rsidTr="00EF3E87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E04FB62" w14:textId="00D9ACB1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CA15E" w14:textId="14A9B85C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EF3E87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EF3E87">
              <w:rPr>
                <w:color w:val="000000"/>
                <w:sz w:val="12"/>
                <w:szCs w:val="12"/>
              </w:rPr>
              <w:t xml:space="preserve">, Автозаводский район, б-р </w:t>
            </w:r>
            <w:proofErr w:type="gramStart"/>
            <w:r w:rsidRPr="00EF3E87">
              <w:rPr>
                <w:color w:val="000000"/>
                <w:sz w:val="12"/>
                <w:szCs w:val="12"/>
              </w:rPr>
              <w:t>Кулибина,  д.15</w:t>
            </w:r>
            <w:proofErr w:type="gramEnd"/>
            <w:r w:rsidRPr="00EF3E87">
              <w:rPr>
                <w:color w:val="000000"/>
                <w:sz w:val="12"/>
                <w:szCs w:val="12"/>
              </w:rPr>
              <w:t>, квартал 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7408F" w14:textId="4E1265E8" w:rsidR="00EF3E87" w:rsidRPr="006D1BEE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46446" w14:textId="32DC4FDF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63:09:0000000:2462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79F5A" w14:textId="48F0E8A4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93C4D" w14:textId="5D19B21E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B3283" w14:textId="3DD3213C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D8B94" w14:textId="67AEC9B2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08B3F" w14:textId="377C95C5" w:rsidR="00EF3E87" w:rsidRPr="006D1BEE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AF1F6" w14:textId="418A73D1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EF3E87">
              <w:rPr>
                <w:color w:val="000000"/>
                <w:sz w:val="12"/>
                <w:szCs w:val="12"/>
              </w:rPr>
              <w:br/>
              <w:t>№ 8-БА/2023 от 17.08.2023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150CB" w14:textId="2DF25CE8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17.08.2023 - 16.08.202</w:t>
            </w:r>
            <w:r w:rsidR="00306400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6133" w14:textId="03C2A8E7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EF3E87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EF3E87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EB944" w14:textId="5DD65BA4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65A71" w14:textId="0386857D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87ABE" w14:textId="5ABBB6E5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76068A1B" w14:textId="77777777" w:rsidR="00EF3E87" w:rsidRDefault="00EF3E87" w:rsidP="00EF3E87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4FEB6C5" w14:textId="5729FB70" w:rsidR="006D1BEE" w:rsidRPr="00826D45" w:rsidRDefault="006D1BEE" w:rsidP="00EF3E87">
      <w:pPr>
        <w:numPr>
          <w:ilvl w:val="1"/>
          <w:numId w:val="1"/>
        </w:numPr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1346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7AB6874B" w14:textId="77777777" w:rsidR="006D1BEE" w:rsidRDefault="006D1BEE" w:rsidP="006D1BEE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6D1BEE" w:rsidRPr="004A7508" w14:paraId="30B64845" w14:textId="77777777" w:rsidTr="006D1BEE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7713F62" w14:textId="6644A694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9653F" w14:textId="5D96E3A5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6D1BEE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6D1BEE">
              <w:rPr>
                <w:color w:val="000000"/>
                <w:sz w:val="12"/>
                <w:szCs w:val="12"/>
              </w:rPr>
              <w:t>, Автозаводский район, 7 кв., ул. Фрунзе, 23, севернее маг. «Сорренто»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E0923" w14:textId="00A80D8F" w:rsidR="006D1BEE" w:rsidRPr="006D1BEE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16918" w14:textId="4A1CC78B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>Местная система координат г. Тольятти 20270.15 21294.02</w:t>
            </w:r>
            <w:r w:rsidRPr="006D1BEE">
              <w:rPr>
                <w:color w:val="000000"/>
                <w:sz w:val="12"/>
                <w:szCs w:val="12"/>
              </w:rPr>
              <w:br/>
              <w:t>20273.11 21293.50</w:t>
            </w:r>
            <w:r w:rsidRPr="006D1BEE">
              <w:rPr>
                <w:color w:val="000000"/>
                <w:sz w:val="12"/>
                <w:szCs w:val="12"/>
              </w:rPr>
              <w:br/>
              <w:t>20272.43 21289.56</w:t>
            </w:r>
            <w:r w:rsidRPr="006D1BEE">
              <w:rPr>
                <w:color w:val="000000"/>
                <w:sz w:val="12"/>
                <w:szCs w:val="12"/>
              </w:rPr>
              <w:br/>
              <w:t>20269.47 21290.07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98E57" w14:textId="4D1FF9DC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>63:09:0101170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68A86" w14:textId="5EC15479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D3EAC" w14:textId="39D280D9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>объект мобильной торговли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A4066" w14:textId="5BA5C4F8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562D2" w14:textId="01824A85" w:rsidR="006D1BEE" w:rsidRPr="006D1BEE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 xml:space="preserve">продовольственная - тонар по реализации хот-догов, гамбургеров, </w:t>
            </w:r>
            <w:proofErr w:type="spellStart"/>
            <w:r w:rsidRPr="006D1BEE">
              <w:rPr>
                <w:color w:val="000000"/>
                <w:sz w:val="12"/>
                <w:szCs w:val="12"/>
              </w:rPr>
              <w:t>чисбургеров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CDCFF" w14:textId="7E717D6B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 xml:space="preserve">используется, договор               № 124/2018 от 09.08.2018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6D9C9" w14:textId="62E57F69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>09.08.2018 - 08.08.2030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DC1E0" w14:textId="1955C92C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35749" w14:textId="0B13514A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86C1A" w14:textId="7F222F1D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80074" w14:textId="5D766451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5BFF48A5" w14:textId="77777777" w:rsidR="006D1BEE" w:rsidRDefault="006D1BEE" w:rsidP="006D1BEE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12CE3AD" w14:textId="1B0A5AF0" w:rsidR="00EF3E87" w:rsidRPr="00826D45" w:rsidRDefault="00EF3E87" w:rsidP="00EF3E87">
      <w:pPr>
        <w:numPr>
          <w:ilvl w:val="1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1349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72274B79" w14:textId="77777777" w:rsidR="00EF3E87" w:rsidRDefault="00EF3E87" w:rsidP="00EF3E87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EF3E87" w:rsidRPr="004A7508" w14:paraId="0D97EEE5" w14:textId="1FB07F1A" w:rsidTr="00EF3E87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88742D0" w14:textId="02AB7C42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B0818" w14:textId="01001D8F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 xml:space="preserve">Автозаводский район, </w:t>
            </w:r>
            <w:proofErr w:type="spellStart"/>
            <w:r w:rsidRPr="00EF3E87">
              <w:rPr>
                <w:color w:val="000000"/>
                <w:sz w:val="12"/>
                <w:szCs w:val="12"/>
              </w:rPr>
              <w:t>ул.Спортивная</w:t>
            </w:r>
            <w:proofErr w:type="spellEnd"/>
            <w:r w:rsidRPr="00EF3E87">
              <w:rPr>
                <w:color w:val="000000"/>
                <w:sz w:val="12"/>
                <w:szCs w:val="12"/>
              </w:rPr>
              <w:t>, восточнее здания №31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25517" w14:textId="622CB927" w:rsidR="00EF3E87" w:rsidRPr="006D1BEE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71B10" w14:textId="68C7F16B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Местная система координат г. Тольятти 18284.33 20413.30 18287.25 20413.99 18288.18 20410.10 18285.26 20409.41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60823" w14:textId="5985976C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63:09:0103035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2D998" w14:textId="750EE63E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25C81" w14:textId="57A3DAD3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объект мобильной торговли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3BB39" w14:textId="440EA5B2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244F0" w14:textId="00F77DBA" w:rsidR="00EF3E87" w:rsidRPr="006D1BEE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B6CC0" w14:textId="319EF6CD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EF3E87">
              <w:rPr>
                <w:color w:val="000000"/>
                <w:sz w:val="12"/>
                <w:szCs w:val="12"/>
              </w:rPr>
              <w:br/>
              <w:t>№ 77/2023 от 28.07.2023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7D91F" w14:textId="3A6EF316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28.07.2023 - 27.07.2028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125CB" w14:textId="4D706573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3CB0B" w14:textId="6BF0D5D3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1353F" w14:textId="1147F2D2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479F7" w14:textId="103B1CD0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18B48BD4" w14:textId="77777777" w:rsidR="00EF3E87" w:rsidRDefault="00EF3E87" w:rsidP="00EF3E87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6452F61" w14:textId="1C9AD3DF" w:rsidR="006D1BEE" w:rsidRPr="00826D45" w:rsidRDefault="006D1BEE" w:rsidP="00EF3E87">
      <w:pPr>
        <w:numPr>
          <w:ilvl w:val="1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1609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27374C1F" w14:textId="77777777" w:rsidR="006D1BEE" w:rsidRDefault="006D1BEE" w:rsidP="006D1BEE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6D1BEE" w:rsidRPr="004A7508" w14:paraId="1B6F16AF" w14:textId="77777777" w:rsidTr="00EF3E87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F6FF75D" w14:textId="5F93A208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1609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163CE" w14:textId="08792CA2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6D1BEE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6D1BEE">
              <w:rPr>
                <w:color w:val="000000"/>
                <w:sz w:val="12"/>
                <w:szCs w:val="12"/>
              </w:rPr>
              <w:t>, Автозаводский район, ул. Борковская, д. 101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0EB870" w14:textId="2BB206BD" w:rsidR="006D1BEE" w:rsidRPr="006D1BEE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C6A264" w14:textId="67B949DD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>Местная система координат г. Тольятти 20357,04 23987,87 20360,99 23987,20 20360,48 23984,24 20356,54 23984,91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C5099FD" w14:textId="4A538EE2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>63:09:0102152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B305993" w14:textId="029D47A7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8E92E00" w14:textId="66D27315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96886D" w14:textId="3295ED49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FC6994" w14:textId="3CBCCF47" w:rsidR="006D1BEE" w:rsidRPr="006D1BEE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6B4483" w14:textId="3268B4C1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6D1BEE">
              <w:rPr>
                <w:color w:val="000000"/>
                <w:sz w:val="12"/>
                <w:szCs w:val="12"/>
              </w:rPr>
              <w:br/>
              <w:t>№ 112/2019 от 01.11.2019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92FFEE0" w14:textId="75EB2168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>01.11.2019 - 31.10.2031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51B471" w14:textId="586D960E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683F718" w14:textId="7F2279EA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FAB155B" w14:textId="68ABF640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15F2DDB" w14:textId="2812D2FD" w:rsidR="006D1BEE" w:rsidRPr="004A7508" w:rsidRDefault="006D1BEE" w:rsidP="006D1BEE">
            <w:pPr>
              <w:jc w:val="center"/>
              <w:rPr>
                <w:color w:val="000000"/>
                <w:sz w:val="12"/>
                <w:szCs w:val="12"/>
              </w:rPr>
            </w:pPr>
            <w:r w:rsidRPr="006D1BEE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0FC5EF2D" w14:textId="77777777" w:rsidR="006D1BEE" w:rsidRDefault="006D1BEE" w:rsidP="006D1BEE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C5EECA2" w14:textId="77777777" w:rsidR="00EF3E87" w:rsidRDefault="00EF3E87" w:rsidP="006D1BEE">
      <w:pPr>
        <w:rPr>
          <w:sz w:val="28"/>
          <w:szCs w:val="28"/>
        </w:rPr>
      </w:pPr>
    </w:p>
    <w:p w14:paraId="15150161" w14:textId="6010D111" w:rsidR="00EF3E87" w:rsidRPr="00826D45" w:rsidRDefault="00EF3E87" w:rsidP="00EF3E87">
      <w:pPr>
        <w:numPr>
          <w:ilvl w:val="1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lastRenderedPageBreak/>
        <w:t xml:space="preserve">Пункт </w:t>
      </w:r>
      <w:r>
        <w:rPr>
          <w:sz w:val="28"/>
          <w:szCs w:val="28"/>
        </w:rPr>
        <w:t xml:space="preserve">1633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61E2A0FB" w14:textId="77777777" w:rsidR="00EF3E87" w:rsidRDefault="00EF3E87" w:rsidP="00EF3E87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EF3E87" w:rsidRPr="004A7508" w14:paraId="6D000DA3" w14:textId="77777777" w:rsidTr="00EF3E87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E46A69B" w14:textId="6C486F80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277F5" w14:textId="2BB34A4E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 xml:space="preserve">Самарская область, г. Тольятти, Центральный район, ул. </w:t>
            </w:r>
            <w:proofErr w:type="spellStart"/>
            <w:r w:rsidRPr="00EF3E87">
              <w:rPr>
                <w:color w:val="000000"/>
                <w:sz w:val="12"/>
                <w:szCs w:val="12"/>
              </w:rPr>
              <w:t>Баныкина</w:t>
            </w:r>
            <w:proofErr w:type="spellEnd"/>
            <w:r w:rsidRPr="00EF3E87">
              <w:rPr>
                <w:color w:val="000000"/>
                <w:sz w:val="12"/>
                <w:szCs w:val="12"/>
              </w:rPr>
              <w:t>, со стороны леса в кв. №27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097D8" w14:textId="18364F68" w:rsidR="00EF3E87" w:rsidRPr="006D1BEE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E08E4" w14:textId="7690FDAD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 xml:space="preserve">МСК-63                        420757,10 1324322,58 420775,85 1324323,11 420776,77 1324349,28 420772,04 1324349,47 420758,89 1324350,04 420758,52 1324346,02 420757,43 1324336,75 420756,97 1324325,30 420757,10 1324322,58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80159" w14:textId="3360DF31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63:09:0304060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88A2D" w14:textId="265F32B2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9A7D4" w14:textId="2D288C9D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854CB" w14:textId="07A7347C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9D559" w14:textId="34953D88" w:rsidR="00EF3E87" w:rsidRPr="006D1BEE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9CDD" w14:textId="5C6664FE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2СР-БА/2022 от 04.03.2022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0827C" w14:textId="5F3D5544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04.03.2022 - 18.07.2028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A8B5C" w14:textId="4EFCE83F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15118" w14:textId="57668ADB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0C52F" w14:textId="13E9E8D3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97025" w14:textId="0F95A466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36180A05" w14:textId="77777777" w:rsidR="00EF3E87" w:rsidRDefault="00EF3E87" w:rsidP="00EF3E87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EB5C563" w14:textId="75CA9CDA" w:rsidR="006D1BEE" w:rsidRPr="00826D45" w:rsidRDefault="006D1BEE" w:rsidP="00EF3E87">
      <w:pPr>
        <w:numPr>
          <w:ilvl w:val="1"/>
          <w:numId w:val="1"/>
        </w:numPr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16</w:t>
      </w:r>
      <w:r w:rsidR="00EF3E87">
        <w:rPr>
          <w:sz w:val="28"/>
          <w:szCs w:val="28"/>
        </w:rPr>
        <w:t>98</w:t>
      </w:r>
      <w:r>
        <w:rPr>
          <w:sz w:val="28"/>
          <w:szCs w:val="28"/>
        </w:rPr>
        <w:t xml:space="preserve">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2E624560" w14:textId="77777777" w:rsidR="006D1BEE" w:rsidRDefault="006D1BEE" w:rsidP="006D1BEE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EF3E87" w:rsidRPr="004A7508" w14:paraId="59D8D495" w14:textId="77777777" w:rsidTr="00EF3E87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B0C489F" w14:textId="1BBDDCDC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1698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4ABFF2" w14:textId="148F7EA7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Самарская область, г. Тольятти, Автозаводский район, 13 квартал, ул. 40 лет Победы, восточнее здания, имеющего адрес ул. 40 лет Победы, 94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B28BFE" w14:textId="5FFA80F7" w:rsidR="00EF3E87" w:rsidRPr="006D1BEE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B16A75" w14:textId="28327BB1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МСК-63                         423648,70 1319386,30 423665,50 1319408,70 423662,30 1319411,10 423645,50 1319388,70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04E0CE2" w14:textId="33C007B9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63:09:0101167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D50EFAE" w14:textId="68F5168D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112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50794D1" w14:textId="1D6F10F7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E4EF04" w14:textId="48EAA33B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B2452B" w14:textId="6C84DD8E" w:rsidR="00EF3E87" w:rsidRPr="006D1BEE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145EDC" w14:textId="4472F5E6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EF3E87">
              <w:rPr>
                <w:color w:val="000000"/>
                <w:sz w:val="12"/>
                <w:szCs w:val="12"/>
              </w:rPr>
              <w:br/>
              <w:t xml:space="preserve">№ 75/2023 от </w:t>
            </w:r>
            <w:r>
              <w:rPr>
                <w:color w:val="000000"/>
                <w:sz w:val="12"/>
                <w:szCs w:val="12"/>
              </w:rPr>
              <w:t>21</w:t>
            </w:r>
            <w:r w:rsidRPr="00EF3E87">
              <w:rPr>
                <w:color w:val="000000"/>
                <w:sz w:val="12"/>
                <w:szCs w:val="12"/>
              </w:rPr>
              <w:t>.07.2023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987E866" w14:textId="3A8F738C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21.07.2023 - 20.07.2028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EB8007" w14:textId="2C5087D8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E9B4064" w14:textId="287835F9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50230D7" w14:textId="26BB5665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0189354" w14:textId="7BEE185C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6E603483" w14:textId="77777777" w:rsidR="006D1BEE" w:rsidRDefault="006D1BEE" w:rsidP="006D1BEE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55BD651" w14:textId="7BFB85F3" w:rsidR="004A7508" w:rsidRDefault="004A7508" w:rsidP="000E602D">
      <w:pPr>
        <w:pStyle w:val="a3"/>
        <w:numPr>
          <w:ilvl w:val="1"/>
          <w:numId w:val="1"/>
        </w:numPr>
        <w:tabs>
          <w:tab w:val="left" w:pos="993"/>
        </w:tabs>
        <w:spacing w:line="360" w:lineRule="auto"/>
        <w:ind w:left="11" w:right="-567" w:firstLine="698"/>
        <w:jc w:val="both"/>
        <w:rPr>
          <w:sz w:val="28"/>
          <w:szCs w:val="28"/>
        </w:rPr>
      </w:pPr>
      <w:r w:rsidRPr="00291385">
        <w:rPr>
          <w:sz w:val="28"/>
          <w:szCs w:val="28"/>
        </w:rPr>
        <w:t>Пункты</w:t>
      </w:r>
      <w:r w:rsidR="00B276C9">
        <w:rPr>
          <w:sz w:val="28"/>
          <w:szCs w:val="28"/>
          <w:lang w:val="en-US"/>
        </w:rPr>
        <w:t xml:space="preserve"> 1</w:t>
      </w:r>
      <w:r w:rsidR="00B276C9">
        <w:rPr>
          <w:sz w:val="28"/>
          <w:szCs w:val="28"/>
        </w:rPr>
        <w:t>, 8, 35, 69,</w:t>
      </w:r>
      <w:r w:rsidRPr="00291385">
        <w:rPr>
          <w:sz w:val="28"/>
          <w:szCs w:val="28"/>
        </w:rPr>
        <w:t xml:space="preserve"> </w:t>
      </w:r>
      <w:r w:rsidR="00B276C9">
        <w:rPr>
          <w:sz w:val="28"/>
          <w:szCs w:val="28"/>
        </w:rPr>
        <w:t>81, 95,</w:t>
      </w:r>
      <w:r w:rsidR="00EF3E87">
        <w:rPr>
          <w:sz w:val="28"/>
          <w:szCs w:val="28"/>
        </w:rPr>
        <w:t xml:space="preserve"> 102, 213, 216, 218, 224, 251, 254, 261, 376, 425, 456, 457, 459, 460, 465, 493, 499, 509, 537</w:t>
      </w:r>
      <w:r w:rsidR="00071139">
        <w:rPr>
          <w:sz w:val="28"/>
          <w:szCs w:val="28"/>
        </w:rPr>
        <w:t>,</w:t>
      </w:r>
      <w:r w:rsidR="00EF3E87">
        <w:rPr>
          <w:sz w:val="28"/>
          <w:szCs w:val="28"/>
        </w:rPr>
        <w:t xml:space="preserve"> 542, 546, 552, 554, 555, 558, 562, 564, 570, 581, 605, 610, 633, 637, 684, 685, 756, 771,</w:t>
      </w:r>
      <w:r w:rsidR="004D13DC">
        <w:rPr>
          <w:sz w:val="28"/>
          <w:szCs w:val="28"/>
        </w:rPr>
        <w:t xml:space="preserve"> 794,</w:t>
      </w:r>
      <w:r w:rsidR="00EF3E87">
        <w:rPr>
          <w:sz w:val="28"/>
          <w:szCs w:val="28"/>
        </w:rPr>
        <w:t xml:space="preserve"> 801, 822, 833, 865, 908, 912, 926, 962, 968, 978, 992, 997, 1003, 1056, 1103, 1106, 1113, 1114, 1116, 1117, 1118, 1121, 1123, 1129, 1131, 1135, 1137, 1138, 1139, 1140, 1141, 1143, 1151, 1153, 1154, 1160, 1162, 1166, 1167, 1169, 1170, 1173, 1175, 1177, 1178, 1179, 1186, 1188, 1190, 1200,</w:t>
      </w:r>
      <w:r w:rsidR="00071139">
        <w:rPr>
          <w:sz w:val="28"/>
          <w:szCs w:val="28"/>
        </w:rPr>
        <w:t xml:space="preserve"> </w:t>
      </w:r>
      <w:r w:rsidR="00EB7C52">
        <w:rPr>
          <w:sz w:val="28"/>
          <w:szCs w:val="28"/>
        </w:rPr>
        <w:t>1408</w:t>
      </w:r>
      <w:r w:rsidR="00EF3E87">
        <w:rPr>
          <w:sz w:val="28"/>
          <w:szCs w:val="28"/>
        </w:rPr>
        <w:t xml:space="preserve">, 1409, 1410, 1411, 1412, 1413, </w:t>
      </w:r>
      <w:r w:rsidR="000E602D">
        <w:rPr>
          <w:sz w:val="28"/>
          <w:szCs w:val="28"/>
        </w:rPr>
        <w:t xml:space="preserve">1414, </w:t>
      </w:r>
      <w:r w:rsidR="00EF3E87">
        <w:rPr>
          <w:sz w:val="28"/>
          <w:szCs w:val="28"/>
        </w:rPr>
        <w:t xml:space="preserve">1415, 1416, </w:t>
      </w:r>
      <w:r w:rsidR="00EB7C52">
        <w:rPr>
          <w:sz w:val="28"/>
          <w:szCs w:val="28"/>
        </w:rPr>
        <w:t>1419</w:t>
      </w:r>
      <w:r w:rsidR="00EF3E87">
        <w:rPr>
          <w:sz w:val="28"/>
          <w:szCs w:val="28"/>
        </w:rPr>
        <w:t>, 1420, 1421, 1422, 1</w:t>
      </w:r>
      <w:r w:rsidR="00EB7C52">
        <w:rPr>
          <w:sz w:val="28"/>
          <w:szCs w:val="28"/>
        </w:rPr>
        <w:t>423</w:t>
      </w:r>
      <w:r w:rsidR="00B276C9">
        <w:rPr>
          <w:sz w:val="28"/>
          <w:szCs w:val="28"/>
        </w:rPr>
        <w:t>, 1589</w:t>
      </w:r>
      <w:r w:rsidR="00EF3E87">
        <w:rPr>
          <w:sz w:val="28"/>
          <w:szCs w:val="28"/>
        </w:rPr>
        <w:t xml:space="preserve">, 1705, 1707, 1708, 1709 </w:t>
      </w:r>
      <w:r w:rsidRPr="00291385">
        <w:rPr>
          <w:sz w:val="28"/>
          <w:szCs w:val="28"/>
        </w:rPr>
        <w:t>Приложения исключить.</w:t>
      </w:r>
    </w:p>
    <w:p w14:paraId="7F39A7C8" w14:textId="40DBA721" w:rsidR="004A7508" w:rsidRDefault="004A7508" w:rsidP="00EF3E87">
      <w:pPr>
        <w:pStyle w:val="a3"/>
        <w:numPr>
          <w:ilvl w:val="1"/>
          <w:numId w:val="1"/>
        </w:numPr>
        <w:tabs>
          <w:tab w:val="left" w:pos="993"/>
          <w:tab w:val="left" w:pos="1560"/>
        </w:tabs>
        <w:ind w:left="11" w:firstLine="698"/>
        <w:jc w:val="both"/>
        <w:rPr>
          <w:sz w:val="28"/>
          <w:szCs w:val="28"/>
        </w:rPr>
      </w:pPr>
      <w:r w:rsidRPr="00291385">
        <w:rPr>
          <w:sz w:val="28"/>
          <w:szCs w:val="28"/>
        </w:rPr>
        <w:t xml:space="preserve">Дополнить Приложение пунктами </w:t>
      </w:r>
      <w:r w:rsidR="00EF3E87">
        <w:rPr>
          <w:sz w:val="28"/>
          <w:szCs w:val="28"/>
        </w:rPr>
        <w:t xml:space="preserve">1786 – 1793 </w:t>
      </w:r>
      <w:r w:rsidRPr="00291385">
        <w:rPr>
          <w:sz w:val="28"/>
          <w:szCs w:val="28"/>
        </w:rPr>
        <w:t>следующего содержания:</w:t>
      </w:r>
    </w:p>
    <w:p w14:paraId="7795AF69" w14:textId="11283400" w:rsidR="00EF3E87" w:rsidRDefault="00EF3E87" w:rsidP="00EF3E87">
      <w:pPr>
        <w:pStyle w:val="a3"/>
        <w:tabs>
          <w:tab w:val="left" w:pos="993"/>
          <w:tab w:val="left" w:pos="156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EF3E87" w:rsidRPr="004A7508" w14:paraId="26A48419" w14:textId="77777777" w:rsidTr="00EF3E87">
        <w:trPr>
          <w:trHeight w:val="386"/>
        </w:trPr>
        <w:tc>
          <w:tcPr>
            <w:tcW w:w="562" w:type="dxa"/>
            <w:shd w:val="clear" w:color="auto" w:fill="auto"/>
            <w:noWrap/>
            <w:vAlign w:val="center"/>
          </w:tcPr>
          <w:p w14:paraId="43FF4139" w14:textId="106C783E" w:rsidR="00EF3E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7609FB" w14:textId="2C4DAF1A" w:rsidR="00EF3E87" w:rsidRPr="00EF3E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69A1F2" w14:textId="3B434459" w:rsidR="00EF3E87" w:rsidRPr="00EF3E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76B0DB" w14:textId="1EA1E440" w:rsidR="00EF3E87" w:rsidRPr="00EF3E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46BA9C9" w14:textId="43BE1D87" w:rsidR="00EF3E87" w:rsidRPr="00EF3E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15D50FA" w14:textId="6F7F994F" w:rsidR="00EF3E87" w:rsidRPr="00EF3E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3F828D6" w14:textId="0D2960AA" w:rsidR="00EF3E87" w:rsidRPr="00EF3E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43856B" w14:textId="076E2211" w:rsidR="00EF3E87" w:rsidRPr="00EF3E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6219A3" w14:textId="271DA485" w:rsidR="00EF3E87" w:rsidRPr="00EF3E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7E4BCC" w14:textId="69CAED8A" w:rsidR="00EF3E87" w:rsidRPr="00EF3E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92E92D1" w14:textId="29128FF4" w:rsidR="00EF3E87" w:rsidRPr="00EF3E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C36798" w14:textId="71FA7722" w:rsidR="00EF3E87" w:rsidRPr="00EF3E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569FBE1" w14:textId="50DE3F4C" w:rsidR="00EF3E87" w:rsidRPr="00EF3E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DF0890E" w14:textId="21C5B8E3" w:rsidR="00EF3E87" w:rsidRPr="00EF3E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FC6BF45" w14:textId="34A465F5" w:rsidR="00EF3E87" w:rsidRPr="00EF3E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</w:tr>
      <w:tr w:rsidR="00EF3E87" w:rsidRPr="004A7508" w14:paraId="0A6BF16E" w14:textId="77777777" w:rsidTr="00EF3E87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778DC28" w14:textId="2FD6CC2C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1786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A28CEC" w14:textId="49C3DAA5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 xml:space="preserve">Самарская область, г. Тольятти, Комсомольский район, </w:t>
            </w:r>
            <w:proofErr w:type="gramStart"/>
            <w:r w:rsidRPr="00EF3E87">
              <w:rPr>
                <w:color w:val="000000"/>
                <w:sz w:val="12"/>
                <w:szCs w:val="12"/>
              </w:rPr>
              <w:t>Эко-парк</w:t>
            </w:r>
            <w:proofErr w:type="gramEnd"/>
            <w:r w:rsidRPr="00EF3E87">
              <w:rPr>
                <w:color w:val="000000"/>
                <w:sz w:val="12"/>
                <w:szCs w:val="12"/>
              </w:rPr>
              <w:t xml:space="preserve"> Шлюзовой, место №1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0521E2" w14:textId="79A7DA88" w:rsidR="00EF3E87" w:rsidRPr="006D1BEE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F1C75F" w14:textId="37779781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МСК-63                        417474,91 1333856,49 417477,16 1333856,62 417477,27 1333859,99 417474,80 1333859,76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27A737D" w14:textId="01FC12B3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EAD2C24" w14:textId="3E66008B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48367F3" w14:textId="6A2FB215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37AD51" w14:textId="42CFBB73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00E6AE" w14:textId="3657133A" w:rsidR="00EF3E87" w:rsidRPr="006D1BEE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9E440D" w14:textId="458979DA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6A59252" w14:textId="46147B9C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EB3E57" w14:textId="1AD6DA3A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3C34E52" w14:textId="3F7EB2A5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6A07AE7" w14:textId="7A983A08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597C4F6" w14:textId="3CF739CB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EF3E87" w:rsidRPr="004A7508" w14:paraId="38AC4585" w14:textId="77777777" w:rsidTr="00EF3E87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A1E1FA8" w14:textId="4F4912F8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1787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B165BE" w14:textId="7371085E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 xml:space="preserve">Самарская область, г. Тольятти, Комсомольский район, </w:t>
            </w:r>
            <w:proofErr w:type="gramStart"/>
            <w:r w:rsidRPr="00EF3E87">
              <w:rPr>
                <w:color w:val="000000"/>
                <w:sz w:val="12"/>
                <w:szCs w:val="12"/>
              </w:rPr>
              <w:t>Эко-парк</w:t>
            </w:r>
            <w:proofErr w:type="gramEnd"/>
            <w:r w:rsidRPr="00EF3E87">
              <w:rPr>
                <w:color w:val="000000"/>
                <w:sz w:val="12"/>
                <w:szCs w:val="12"/>
              </w:rPr>
              <w:t xml:space="preserve"> Шлюзовой, место №2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9911A6" w14:textId="525B065E" w:rsidR="00EF3E87" w:rsidRPr="006D1BEE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46EF3C" w14:textId="091026AF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МСК-63                        417435,09 1333921,07 417433,23 1333920,20 417434,33 1333916,75 417436,79 1333917,71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B54BA26" w14:textId="4BA8B594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C760645" w14:textId="224ADCD6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6DB3CF6" w14:textId="2D06D110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BE9689" w14:textId="798F2C0D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A1F8A2" w14:textId="0499D561" w:rsidR="00EF3E87" w:rsidRPr="006D1BEE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CC4A26" w14:textId="1C9B9806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14571D7" w14:textId="1823D0FC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2D1D5F" w14:textId="31150CDE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DCC9E4D" w14:textId="0F9B78C4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DE1D32D" w14:textId="5A74C20E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B6F5212" w14:textId="4C457E88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EF3E87" w:rsidRPr="004A7508" w14:paraId="241B0A01" w14:textId="77777777" w:rsidTr="00EF3E87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11FB1DB" w14:textId="284E8F2B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1788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F6F122" w14:textId="21141361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 xml:space="preserve">Самарская область, г. Тольятти, Комсомольский район, </w:t>
            </w:r>
            <w:proofErr w:type="gramStart"/>
            <w:r w:rsidRPr="00EF3E87">
              <w:rPr>
                <w:color w:val="000000"/>
                <w:sz w:val="12"/>
                <w:szCs w:val="12"/>
              </w:rPr>
              <w:t>Эко-парк</w:t>
            </w:r>
            <w:proofErr w:type="gramEnd"/>
            <w:r w:rsidRPr="00EF3E87">
              <w:rPr>
                <w:color w:val="000000"/>
                <w:sz w:val="12"/>
                <w:szCs w:val="12"/>
              </w:rPr>
              <w:t xml:space="preserve"> Шлюзовой, место №3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8D5F45" w14:textId="1A384044" w:rsidR="00EF3E87" w:rsidRPr="006D1BEE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8CC391" w14:textId="7B0623E0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МСК-63                        417446,72 1333745,24 417445,77 1333747,45 417442,30 1333746,12 417443,13 1333743,95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43761EC" w14:textId="359B4AE7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BB4892D" w14:textId="21954395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7FF7983" w14:textId="764E5F6D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 xml:space="preserve">нестационарный объект по оказанию бытовых услуг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E55B4C" w14:textId="37AFD08F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EC621A" w14:textId="6EE0D071" w:rsidR="00EF3E87" w:rsidRPr="006D1BEE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7C6413" w14:textId="41A97EBB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11804A4" w14:textId="1E6F9331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76FC51" w14:textId="396E8EAD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CBA8945" w14:textId="61644E73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B30C75F" w14:textId="6022762E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95D8744" w14:textId="251CABD6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EF3E87" w:rsidRPr="004A7508" w14:paraId="51B39972" w14:textId="77777777" w:rsidTr="00EF3E87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5AC5B94" w14:textId="338286B5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1789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420AC5" w14:textId="57F90483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Самарская область, г. Тольятти, Автозаводский район, Новый проезд, 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A3DE6A" w14:textId="072EF248" w:rsidR="00EF3E87" w:rsidRPr="006D1BEE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9860D9" w14:textId="2F115BB8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63:09:0101171:4576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5C84498" w14:textId="47F87816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63:09:0101172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EFC33F1" w14:textId="2223C075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C616B48" w14:textId="509B0186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5D94FA" w14:textId="65965449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292358" w14:textId="532C4FDB" w:rsidR="00EF3E87" w:rsidRPr="006D1BEE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3DCFB9" w14:textId="66006E81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569D23" w14:textId="399C44EC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D712A5" w14:textId="3B0CE774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EF3E87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EF3E87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EF326FF" w14:textId="79181F2F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12BE36B" w14:textId="2D714A4F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BC07774" w14:textId="6E3C7277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EF3E87" w:rsidRPr="004A7508" w14:paraId="5231C247" w14:textId="77777777" w:rsidTr="00EF3E87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C93FE3D" w14:textId="480D7229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1790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8D6486" w14:textId="20004129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 xml:space="preserve">Самарская область, г. Тольятти, Центральный район, бульвар Ленина, 15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560D9F" w14:textId="44D0742C" w:rsidR="00EF3E87" w:rsidRPr="006D1BEE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55554A" w14:textId="0C059142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63:09:0301111:3909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BB5F17D" w14:textId="4CA23936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63:09:0301114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DFE410B" w14:textId="0679BB37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E122DC5" w14:textId="070FE45B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72B243" w14:textId="07B83374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2D8A10" w14:textId="409AAC0D" w:rsidR="00EF3E87" w:rsidRPr="006D1BEE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16337F" w14:textId="08C7506F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9C26502" w14:textId="61656067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A9B758" w14:textId="09304476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EF3E87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EF3E87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6EB9EF4" w14:textId="1BBF0BB5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83DFDBC" w14:textId="0B30D202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D3C0252" w14:textId="6AF5537E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EF3E87" w:rsidRPr="004A7508" w14:paraId="32B3E73A" w14:textId="77777777" w:rsidTr="00EF3E87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31E35F3" w14:textId="61BC7EB8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08A017" w14:textId="6090EE86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 xml:space="preserve">Самарская область, г. Тольятти, Центральный район, ул. Карла Маркса, 42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F27303" w14:textId="331B7E4C" w:rsidR="00EF3E87" w:rsidRPr="006D1BEE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332011" w14:textId="40C8E780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63:09:0301144:1443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E620E42" w14:textId="7665F4AF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63:09:0301149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2C9CAFA" w14:textId="4068DFF3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27C99DC" w14:textId="12644938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2759E0" w14:textId="2C5997F3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AFC5C2" w14:textId="04271E5F" w:rsidR="00EF3E87" w:rsidRPr="006D1BEE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428616" w14:textId="6BC4D4DC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21EAEF8" w14:textId="7926FE85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2B23AE" w14:textId="67FF253B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EF3E87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EF3E87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8049DE9" w14:textId="42443E72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42AA301" w14:textId="4F1C7879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2BC090B" w14:textId="1246AABA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EF3E87" w:rsidRPr="004A7508" w14:paraId="0FA1D71C" w14:textId="77777777" w:rsidTr="00EF3E87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53116AB" w14:textId="0F80B036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1792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3F8A8B" w14:textId="3C106335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Самарская область, г. Тольятти, Комсомольский район, ул. Шевцовой, 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B2C9F7" w14:textId="5BBAC696" w:rsidR="00EF3E87" w:rsidRPr="006D1BEE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FAEFE9" w14:textId="27615CA2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63:09:0201057:14499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9D275B1" w14:textId="5D2B7B28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9F9DC0C" w14:textId="6820923C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17B7C8B" w14:textId="4496E66E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65C593" w14:textId="6C12F39C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597397" w14:textId="2E1885DC" w:rsidR="00EF3E87" w:rsidRPr="006D1BEE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B443DE" w14:textId="7DD408D5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9C7797" w14:textId="4A63D142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A48A76" w14:textId="725FB0CF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EF3E87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EF3E87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460A9F5" w14:textId="5C0EDB40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B64F4B9" w14:textId="40FE0F60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B0D1316" w14:textId="6DA0A9A4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EF3E87" w:rsidRPr="004A7508" w14:paraId="35065F83" w14:textId="77777777" w:rsidTr="00EF3E87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F3F89C0" w14:textId="0FE7A312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1793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946C3C" w14:textId="4798FBA1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 xml:space="preserve">Самарская область, г. Тольятти, Центральный район, ул. Победы, 45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08F955" w14:textId="52FA1D7D" w:rsidR="00EF3E87" w:rsidRPr="006D1BEE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523348" w14:textId="604A219F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63:09:0301157:3575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3861F4F" w14:textId="16F8A91B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63:09:0301157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B6BDE7B" w14:textId="5C7C2A34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4430B26" w14:textId="226BEBFA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0F6B06" w14:textId="21489C8E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89A430" w14:textId="79AAB90B" w:rsidR="00EF3E87" w:rsidRPr="006D1BEE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6CAB91" w14:textId="2589C373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3FEA342" w14:textId="311BCE59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C9DCB0" w14:textId="12C7EF52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EF3E87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EF3E87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D24313E" w14:textId="1B34DF1A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081E12E" w14:textId="565FB8C4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1A86A65" w14:textId="31402C9E" w:rsidR="00EF3E87" w:rsidRPr="004A7508" w:rsidRDefault="00EF3E87" w:rsidP="00EF3E87">
            <w:pPr>
              <w:jc w:val="center"/>
              <w:rPr>
                <w:color w:val="000000"/>
                <w:sz w:val="12"/>
                <w:szCs w:val="12"/>
              </w:rPr>
            </w:pPr>
            <w:r w:rsidRPr="00EF3E87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6DAB55C9" w14:textId="1B9F7F08" w:rsidR="009D4D51" w:rsidRPr="008A1D85" w:rsidRDefault="008A1D85" w:rsidP="006C3EDB">
      <w:pPr>
        <w:tabs>
          <w:tab w:val="left" w:pos="1021"/>
        </w:tabs>
        <w:rPr>
          <w:sz w:val="28"/>
          <w:szCs w:val="28"/>
        </w:rPr>
        <w:sectPr w:rsidR="009D4D51" w:rsidRPr="008A1D85" w:rsidSect="001D7ED3">
          <w:pgSz w:w="16838" w:h="11906" w:orient="landscape"/>
          <w:pgMar w:top="567" w:right="1103" w:bottom="1135" w:left="709" w:header="708" w:footer="708" w:gutter="0"/>
          <w:cols w:space="708"/>
          <w:titlePg/>
          <w:docGrid w:linePitch="360"/>
        </w:sectPr>
      </w:pPr>
      <w:r w:rsidRPr="008A1D85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9D4D51" w:rsidRPr="008A1D85">
        <w:rPr>
          <w:sz w:val="28"/>
          <w:szCs w:val="28"/>
        </w:rPr>
        <w:tab/>
      </w:r>
    </w:p>
    <w:p w14:paraId="6106E8FE" w14:textId="07C267B6" w:rsidR="00566C55" w:rsidRPr="008367AE" w:rsidRDefault="00566C55" w:rsidP="006C3EDB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8367AE">
        <w:rPr>
          <w:sz w:val="28"/>
          <w:szCs w:val="28"/>
        </w:rPr>
        <w:t>Организационному управлению администрации городского округа Тольятти</w:t>
      </w:r>
      <w:r w:rsidR="00A36FD9">
        <w:rPr>
          <w:sz w:val="28"/>
          <w:szCs w:val="28"/>
        </w:rPr>
        <w:t xml:space="preserve"> (Власов В.А.)</w:t>
      </w:r>
      <w:r w:rsidRPr="008367AE">
        <w:rPr>
          <w:sz w:val="28"/>
          <w:szCs w:val="28"/>
        </w:rPr>
        <w:t>:</w:t>
      </w:r>
    </w:p>
    <w:p w14:paraId="612552EE" w14:textId="77777777" w:rsidR="00566C55" w:rsidRPr="008367AE" w:rsidRDefault="00566C55" w:rsidP="006C3EDB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67AE">
        <w:rPr>
          <w:sz w:val="28"/>
          <w:szCs w:val="28"/>
        </w:rPr>
        <w:t>.1. Опубликовать настоящее постановление в газете «Городские ведомости».</w:t>
      </w:r>
    </w:p>
    <w:p w14:paraId="6FEB5B8F" w14:textId="09774188" w:rsidR="00566C55" w:rsidRPr="00552BD1" w:rsidRDefault="00566C55" w:rsidP="006C3EDB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67AE">
        <w:rPr>
          <w:sz w:val="28"/>
          <w:szCs w:val="28"/>
        </w:rPr>
        <w:t xml:space="preserve">.2. Разместить настоящее постановление на официальном сайте администрации городского округа Тольятти в информационно – телекоммуникационной сети «Интернет» по адресу: </w:t>
      </w:r>
      <w:hyperlink r:id="rId9" w:history="1">
        <w:r w:rsidR="00552BD1" w:rsidRPr="00CD0BC0">
          <w:rPr>
            <w:rStyle w:val="a4"/>
            <w:sz w:val="28"/>
            <w:szCs w:val="28"/>
            <w:lang w:val="en-US"/>
          </w:rPr>
          <w:t>http</w:t>
        </w:r>
        <w:r w:rsidR="00552BD1" w:rsidRPr="00CD0BC0">
          <w:rPr>
            <w:rStyle w:val="a4"/>
            <w:sz w:val="28"/>
            <w:szCs w:val="28"/>
          </w:rPr>
          <w:t>://</w:t>
        </w:r>
        <w:r w:rsidR="00552BD1" w:rsidRPr="00CD0BC0">
          <w:rPr>
            <w:rStyle w:val="a4"/>
            <w:sz w:val="28"/>
            <w:szCs w:val="28"/>
            <w:lang w:val="en-US"/>
          </w:rPr>
          <w:t>portal</w:t>
        </w:r>
        <w:r w:rsidR="00552BD1" w:rsidRPr="00CD0BC0">
          <w:rPr>
            <w:rStyle w:val="a4"/>
            <w:sz w:val="28"/>
            <w:szCs w:val="28"/>
          </w:rPr>
          <w:t>.</w:t>
        </w:r>
        <w:proofErr w:type="spellStart"/>
        <w:r w:rsidR="00552BD1" w:rsidRPr="00CD0BC0">
          <w:rPr>
            <w:rStyle w:val="a4"/>
            <w:sz w:val="28"/>
            <w:szCs w:val="28"/>
            <w:lang w:val="en-US"/>
          </w:rPr>
          <w:t>tgl</w:t>
        </w:r>
        <w:proofErr w:type="spellEnd"/>
        <w:r w:rsidR="00552BD1" w:rsidRPr="00CD0BC0">
          <w:rPr>
            <w:rStyle w:val="a4"/>
            <w:sz w:val="28"/>
            <w:szCs w:val="28"/>
          </w:rPr>
          <w:t>.</w:t>
        </w:r>
        <w:proofErr w:type="spellStart"/>
        <w:r w:rsidR="00552BD1" w:rsidRPr="00CD0BC0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552BD1">
        <w:rPr>
          <w:sz w:val="28"/>
          <w:szCs w:val="28"/>
        </w:rPr>
        <w:t xml:space="preserve"> </w:t>
      </w:r>
      <w:r w:rsidR="00B84384">
        <w:rPr>
          <w:sz w:val="28"/>
          <w:szCs w:val="28"/>
        </w:rPr>
        <w:t xml:space="preserve">                         </w:t>
      </w:r>
      <w:r w:rsidR="00552BD1">
        <w:rPr>
          <w:sz w:val="28"/>
          <w:szCs w:val="28"/>
        </w:rPr>
        <w:t>в течени</w:t>
      </w:r>
      <w:r w:rsidR="00FF7246">
        <w:rPr>
          <w:sz w:val="28"/>
          <w:szCs w:val="28"/>
        </w:rPr>
        <w:t>е</w:t>
      </w:r>
      <w:r w:rsidR="00552BD1">
        <w:rPr>
          <w:sz w:val="28"/>
          <w:szCs w:val="28"/>
        </w:rPr>
        <w:t xml:space="preserve"> 3 рабочих дней </w:t>
      </w:r>
      <w:r w:rsidR="00552BD1" w:rsidRPr="008367AE">
        <w:rPr>
          <w:sz w:val="28"/>
          <w:szCs w:val="28"/>
        </w:rPr>
        <w:t>после принятия настоящего постановления</w:t>
      </w:r>
      <w:r w:rsidR="00552BD1">
        <w:rPr>
          <w:sz w:val="28"/>
          <w:szCs w:val="28"/>
        </w:rPr>
        <w:t>.</w:t>
      </w:r>
    </w:p>
    <w:p w14:paraId="33247AC1" w14:textId="183F56A4" w:rsidR="00566C55" w:rsidRDefault="00566C55" w:rsidP="006C3EDB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367AE">
        <w:rPr>
          <w:sz w:val="28"/>
          <w:szCs w:val="28"/>
        </w:rPr>
        <w:t xml:space="preserve">. </w:t>
      </w:r>
      <w:r w:rsidR="007D7C27">
        <w:rPr>
          <w:sz w:val="28"/>
          <w:szCs w:val="28"/>
        </w:rPr>
        <w:t>Управлению</w:t>
      </w:r>
      <w:r w:rsidRPr="008367AE">
        <w:rPr>
          <w:sz w:val="28"/>
          <w:szCs w:val="28"/>
        </w:rPr>
        <w:t xml:space="preserve"> потребительского рынка администрации городского округа Тольятти </w:t>
      </w:r>
      <w:r w:rsidR="00A36FD9">
        <w:rPr>
          <w:sz w:val="28"/>
          <w:szCs w:val="28"/>
        </w:rPr>
        <w:t xml:space="preserve">(Петрова Л.В.) </w:t>
      </w:r>
      <w:r w:rsidRPr="008367AE">
        <w:rPr>
          <w:sz w:val="28"/>
          <w:szCs w:val="28"/>
        </w:rPr>
        <w:t>направить надлежащим образом заверенную копию настоящего постановления и копию утвержденной схемы размещения нестационарных торговых объектов на территории городского округа Тольятти и их электронные копи</w:t>
      </w:r>
      <w:r w:rsidR="007B28F3">
        <w:rPr>
          <w:sz w:val="28"/>
          <w:szCs w:val="28"/>
        </w:rPr>
        <w:t xml:space="preserve">и в министерство </w:t>
      </w:r>
      <w:r w:rsidR="00F60792">
        <w:rPr>
          <w:sz w:val="28"/>
          <w:szCs w:val="28"/>
        </w:rPr>
        <w:t>промышленности</w:t>
      </w:r>
      <w:r w:rsidR="007B28F3">
        <w:rPr>
          <w:sz w:val="28"/>
          <w:szCs w:val="28"/>
        </w:rPr>
        <w:t xml:space="preserve"> </w:t>
      </w:r>
      <w:r w:rsidRPr="008367AE">
        <w:rPr>
          <w:sz w:val="28"/>
          <w:szCs w:val="28"/>
        </w:rPr>
        <w:t>и торговли Самарской области в течение 5 рабочих дней после принятия настоящего постановления.</w:t>
      </w:r>
    </w:p>
    <w:p w14:paraId="66AE9200" w14:textId="77777777" w:rsidR="00320FCD" w:rsidRPr="00320FCD" w:rsidRDefault="00B62219" w:rsidP="006C3EDB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7F48" w:rsidRPr="008367AE">
        <w:rPr>
          <w:sz w:val="28"/>
          <w:szCs w:val="28"/>
        </w:rPr>
        <w:t xml:space="preserve">. </w:t>
      </w:r>
      <w:r w:rsidR="00320FCD" w:rsidRPr="00320FCD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14:paraId="1986170E" w14:textId="56C74869" w:rsidR="00BF7F48" w:rsidRPr="008367AE" w:rsidRDefault="00320FCD" w:rsidP="006C3EDB">
      <w:pPr>
        <w:tabs>
          <w:tab w:val="left" w:pos="993"/>
          <w:tab w:val="left" w:pos="1560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F7F48" w:rsidRPr="008367AE">
        <w:rPr>
          <w:sz w:val="28"/>
          <w:szCs w:val="28"/>
        </w:rPr>
        <w:t xml:space="preserve">Контроль за выполнением настоящего </w:t>
      </w:r>
      <w:r w:rsidR="00B84384">
        <w:rPr>
          <w:sz w:val="28"/>
          <w:szCs w:val="28"/>
        </w:rPr>
        <w:t>п</w:t>
      </w:r>
      <w:r w:rsidR="00BF7F48" w:rsidRPr="008367AE">
        <w:rPr>
          <w:sz w:val="28"/>
          <w:szCs w:val="28"/>
        </w:rPr>
        <w:t xml:space="preserve">остановления </w:t>
      </w:r>
      <w:r w:rsidR="00361E76" w:rsidRPr="00361E76">
        <w:rPr>
          <w:sz w:val="28"/>
          <w:szCs w:val="28"/>
        </w:rPr>
        <w:t>оставляю                 за собой.</w:t>
      </w:r>
    </w:p>
    <w:p w14:paraId="482F3EDD" w14:textId="311812C4" w:rsidR="00BF7F48" w:rsidRDefault="00BF7F48" w:rsidP="006C3EDB">
      <w:pPr>
        <w:tabs>
          <w:tab w:val="left" w:pos="1134"/>
          <w:tab w:val="left" w:pos="1560"/>
        </w:tabs>
        <w:spacing w:line="360" w:lineRule="auto"/>
        <w:ind w:left="709" w:firstLine="567"/>
        <w:jc w:val="both"/>
        <w:rPr>
          <w:sz w:val="28"/>
          <w:szCs w:val="28"/>
        </w:rPr>
      </w:pPr>
    </w:p>
    <w:p w14:paraId="0394BF00" w14:textId="77777777" w:rsidR="00B84384" w:rsidRPr="008367AE" w:rsidRDefault="00B84384" w:rsidP="006C3EDB">
      <w:pPr>
        <w:tabs>
          <w:tab w:val="left" w:pos="1134"/>
          <w:tab w:val="left" w:pos="1560"/>
        </w:tabs>
        <w:spacing w:line="360" w:lineRule="auto"/>
        <w:ind w:left="709" w:firstLine="567"/>
        <w:jc w:val="both"/>
        <w:rPr>
          <w:sz w:val="28"/>
          <w:szCs w:val="28"/>
        </w:rPr>
      </w:pPr>
    </w:p>
    <w:p w14:paraId="1F0A90EF" w14:textId="711AFC06" w:rsidR="00FF7804" w:rsidRPr="008367AE" w:rsidRDefault="00FE054B" w:rsidP="006C3EDB">
      <w:pPr>
        <w:tabs>
          <w:tab w:val="left" w:pos="1560"/>
        </w:tabs>
        <w:rPr>
          <w:sz w:val="18"/>
        </w:rPr>
      </w:pPr>
      <w:r w:rsidRPr="008367AE">
        <w:rPr>
          <w:sz w:val="28"/>
          <w:szCs w:val="28"/>
        </w:rPr>
        <w:t>Г</w:t>
      </w:r>
      <w:r w:rsidR="00AC7629" w:rsidRPr="008367AE">
        <w:rPr>
          <w:sz w:val="28"/>
          <w:szCs w:val="28"/>
        </w:rPr>
        <w:t>лав</w:t>
      </w:r>
      <w:r w:rsidRPr="008367AE">
        <w:rPr>
          <w:sz w:val="28"/>
          <w:szCs w:val="28"/>
        </w:rPr>
        <w:t>а</w:t>
      </w:r>
      <w:r w:rsidR="00AC7629" w:rsidRPr="008367AE">
        <w:rPr>
          <w:sz w:val="28"/>
          <w:szCs w:val="28"/>
        </w:rPr>
        <w:t xml:space="preserve"> городского округа                                                    </w:t>
      </w:r>
      <w:r w:rsidRPr="008367AE">
        <w:rPr>
          <w:sz w:val="28"/>
          <w:szCs w:val="28"/>
        </w:rPr>
        <w:t xml:space="preserve"> </w:t>
      </w:r>
      <w:r w:rsidR="00B62219">
        <w:rPr>
          <w:sz w:val="28"/>
          <w:szCs w:val="28"/>
        </w:rPr>
        <w:t xml:space="preserve"> </w:t>
      </w:r>
      <w:r w:rsidR="00B84384">
        <w:rPr>
          <w:sz w:val="28"/>
          <w:szCs w:val="28"/>
        </w:rPr>
        <w:t xml:space="preserve">                   </w:t>
      </w:r>
      <w:r w:rsidR="00B62219">
        <w:rPr>
          <w:sz w:val="28"/>
          <w:szCs w:val="28"/>
        </w:rPr>
        <w:t xml:space="preserve">  </w:t>
      </w:r>
      <w:proofErr w:type="spellStart"/>
      <w:r w:rsidRPr="008367AE">
        <w:rPr>
          <w:sz w:val="28"/>
          <w:szCs w:val="28"/>
        </w:rPr>
        <w:t>Н.А.Ренц</w:t>
      </w:r>
      <w:proofErr w:type="spellEnd"/>
    </w:p>
    <w:p w14:paraId="7366F078" w14:textId="77777777" w:rsidR="00FF7804" w:rsidRPr="008367AE" w:rsidRDefault="00FF7804" w:rsidP="006C3EDB">
      <w:pPr>
        <w:tabs>
          <w:tab w:val="left" w:pos="1560"/>
        </w:tabs>
        <w:ind w:left="709" w:firstLine="567"/>
        <w:rPr>
          <w:sz w:val="18"/>
        </w:rPr>
      </w:pPr>
    </w:p>
    <w:p w14:paraId="4F242F04" w14:textId="77777777" w:rsidR="00FF7804" w:rsidRPr="008367AE" w:rsidRDefault="00FF7804" w:rsidP="006C3EDB">
      <w:pPr>
        <w:ind w:left="709" w:firstLine="567"/>
        <w:rPr>
          <w:sz w:val="18"/>
        </w:rPr>
      </w:pPr>
    </w:p>
    <w:p w14:paraId="3A2C9D5F" w14:textId="77777777" w:rsidR="00FF7804" w:rsidRPr="008367AE" w:rsidRDefault="00FF7804" w:rsidP="006C3EDB">
      <w:pPr>
        <w:ind w:left="709" w:firstLine="567"/>
        <w:rPr>
          <w:sz w:val="18"/>
        </w:rPr>
      </w:pPr>
    </w:p>
    <w:p w14:paraId="5C9E1516" w14:textId="77777777" w:rsidR="00FF7804" w:rsidRPr="008367AE" w:rsidRDefault="00FF7804" w:rsidP="006C3EDB">
      <w:pPr>
        <w:ind w:left="709" w:firstLine="567"/>
        <w:rPr>
          <w:sz w:val="18"/>
        </w:rPr>
      </w:pPr>
    </w:p>
    <w:sectPr w:rsidR="00FF7804" w:rsidRPr="008367AE" w:rsidSect="00566C55">
      <w:pgSz w:w="11906" w:h="16838"/>
      <w:pgMar w:top="993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91B1E" w14:textId="77777777" w:rsidR="005C6A0B" w:rsidRDefault="005C6A0B" w:rsidP="00B84384">
      <w:r>
        <w:separator/>
      </w:r>
    </w:p>
  </w:endnote>
  <w:endnote w:type="continuationSeparator" w:id="0">
    <w:p w14:paraId="71401210" w14:textId="77777777" w:rsidR="005C6A0B" w:rsidRDefault="005C6A0B" w:rsidP="00B8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EC908" w14:textId="77777777" w:rsidR="005C6A0B" w:rsidRDefault="005C6A0B" w:rsidP="00B84384">
      <w:r>
        <w:separator/>
      </w:r>
    </w:p>
  </w:footnote>
  <w:footnote w:type="continuationSeparator" w:id="0">
    <w:p w14:paraId="5951E792" w14:textId="77777777" w:rsidR="005C6A0B" w:rsidRDefault="005C6A0B" w:rsidP="00B84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4404473"/>
      <w:docPartObj>
        <w:docPartGallery w:val="Page Numbers (Top of Page)"/>
        <w:docPartUnique/>
      </w:docPartObj>
    </w:sdtPr>
    <w:sdtEndPr/>
    <w:sdtContent>
      <w:p w14:paraId="1F9993D0" w14:textId="01DBA030" w:rsidR="00C92B39" w:rsidRDefault="00C92B3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2A35AB" w14:textId="77777777" w:rsidR="00C92B39" w:rsidRDefault="00C92B3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10C0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3737899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647738E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6240C57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7C050BC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B913F03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DD11A91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E0259B7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F4D7B1D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FF11E02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24C7BB2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4F21132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A941BCE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D071335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F160925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09F7F73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0EB66A3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36E3555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4782F0F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74629EF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8A37D7C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3AF4725D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3B7E7E34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4065131E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409F46CB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44E25CC2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4A666751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4FF112AF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537E4F6B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8491FE0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593F7DFC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E56656D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5FE1150E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60D8047A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614155E7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63EB6FA1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662B3981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69855BAE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69AF1EBA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69EB36B7"/>
    <w:multiLevelType w:val="multilevel"/>
    <w:tmpl w:val="A4503AB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0" w15:restartNumberingAfterBreak="0">
    <w:nsid w:val="6BEE5919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6C8F724A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 w15:restartNumberingAfterBreak="0">
    <w:nsid w:val="6D6633B8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 w15:restartNumberingAfterBreak="0">
    <w:nsid w:val="6DB2046F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6E6C0091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 w15:restartNumberingAfterBreak="0">
    <w:nsid w:val="6ED078D1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6" w15:restartNumberingAfterBreak="0">
    <w:nsid w:val="6F542E71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7" w15:restartNumberingAfterBreak="0">
    <w:nsid w:val="729348A3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8" w15:restartNumberingAfterBreak="0">
    <w:nsid w:val="784D0094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795D2950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0" w15:restartNumberingAfterBreak="0">
    <w:nsid w:val="79FB741E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1" w15:restartNumberingAfterBreak="0">
    <w:nsid w:val="7B7879CC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2" w15:restartNumberingAfterBreak="0">
    <w:nsid w:val="7DB14F5D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362558129">
    <w:abstractNumId w:val="43"/>
  </w:num>
  <w:num w:numId="2" w16cid:durableId="1933389448">
    <w:abstractNumId w:val="52"/>
  </w:num>
  <w:num w:numId="3" w16cid:durableId="1072704354">
    <w:abstractNumId w:val="34"/>
  </w:num>
  <w:num w:numId="4" w16cid:durableId="295256182">
    <w:abstractNumId w:val="30"/>
  </w:num>
  <w:num w:numId="5" w16cid:durableId="1099182514">
    <w:abstractNumId w:val="10"/>
  </w:num>
  <w:num w:numId="6" w16cid:durableId="1328442557">
    <w:abstractNumId w:val="51"/>
  </w:num>
  <w:num w:numId="7" w16cid:durableId="307978006">
    <w:abstractNumId w:val="4"/>
  </w:num>
  <w:num w:numId="8" w16cid:durableId="163739974">
    <w:abstractNumId w:val="49"/>
  </w:num>
  <w:num w:numId="9" w16cid:durableId="1395423561">
    <w:abstractNumId w:val="35"/>
  </w:num>
  <w:num w:numId="10" w16cid:durableId="244384589">
    <w:abstractNumId w:val="29"/>
  </w:num>
  <w:num w:numId="11" w16cid:durableId="576935996">
    <w:abstractNumId w:val="5"/>
  </w:num>
  <w:num w:numId="12" w16cid:durableId="2081830075">
    <w:abstractNumId w:val="9"/>
  </w:num>
  <w:num w:numId="13" w16cid:durableId="1470592020">
    <w:abstractNumId w:val="1"/>
  </w:num>
  <w:num w:numId="14" w16cid:durableId="1547108406">
    <w:abstractNumId w:val="6"/>
  </w:num>
  <w:num w:numId="15" w16cid:durableId="65492897">
    <w:abstractNumId w:val="18"/>
  </w:num>
  <w:num w:numId="16" w16cid:durableId="1594364012">
    <w:abstractNumId w:val="41"/>
  </w:num>
  <w:num w:numId="17" w16cid:durableId="2045326634">
    <w:abstractNumId w:val="7"/>
  </w:num>
  <w:num w:numId="18" w16cid:durableId="1669746594">
    <w:abstractNumId w:val="11"/>
  </w:num>
  <w:num w:numId="19" w16cid:durableId="1852454042">
    <w:abstractNumId w:val="12"/>
  </w:num>
  <w:num w:numId="20" w16cid:durableId="2046248711">
    <w:abstractNumId w:val="37"/>
  </w:num>
  <w:num w:numId="21" w16cid:durableId="1452936413">
    <w:abstractNumId w:val="42"/>
  </w:num>
  <w:num w:numId="22" w16cid:durableId="237713448">
    <w:abstractNumId w:val="38"/>
  </w:num>
  <w:num w:numId="23" w16cid:durableId="1919246215">
    <w:abstractNumId w:val="2"/>
  </w:num>
  <w:num w:numId="24" w16cid:durableId="1352729328">
    <w:abstractNumId w:val="0"/>
  </w:num>
  <w:num w:numId="25" w16cid:durableId="13894559">
    <w:abstractNumId w:val="32"/>
  </w:num>
  <w:num w:numId="26" w16cid:durableId="1291281457">
    <w:abstractNumId w:val="17"/>
  </w:num>
  <w:num w:numId="27" w16cid:durableId="1093936144">
    <w:abstractNumId w:val="20"/>
  </w:num>
  <w:num w:numId="28" w16cid:durableId="1568876856">
    <w:abstractNumId w:val="40"/>
  </w:num>
  <w:num w:numId="29" w16cid:durableId="1933976379">
    <w:abstractNumId w:val="46"/>
  </w:num>
  <w:num w:numId="30" w16cid:durableId="1746411720">
    <w:abstractNumId w:val="33"/>
  </w:num>
  <w:num w:numId="31" w16cid:durableId="322197160">
    <w:abstractNumId w:val="14"/>
  </w:num>
  <w:num w:numId="32" w16cid:durableId="1633948188">
    <w:abstractNumId w:val="44"/>
  </w:num>
  <w:num w:numId="33" w16cid:durableId="2063794474">
    <w:abstractNumId w:val="13"/>
  </w:num>
  <w:num w:numId="34" w16cid:durableId="2055618816">
    <w:abstractNumId w:val="27"/>
  </w:num>
  <w:num w:numId="35" w16cid:durableId="1675955766">
    <w:abstractNumId w:val="50"/>
  </w:num>
  <w:num w:numId="36" w16cid:durableId="581910115">
    <w:abstractNumId w:val="3"/>
  </w:num>
  <w:num w:numId="37" w16cid:durableId="1392269414">
    <w:abstractNumId w:val="8"/>
  </w:num>
  <w:num w:numId="38" w16cid:durableId="835464265">
    <w:abstractNumId w:val="45"/>
  </w:num>
  <w:num w:numId="39" w16cid:durableId="1694458510">
    <w:abstractNumId w:val="31"/>
  </w:num>
  <w:num w:numId="40" w16cid:durableId="468936894">
    <w:abstractNumId w:val="21"/>
  </w:num>
  <w:num w:numId="41" w16cid:durableId="776368302">
    <w:abstractNumId w:val="24"/>
  </w:num>
  <w:num w:numId="42" w16cid:durableId="1233348301">
    <w:abstractNumId w:val="48"/>
  </w:num>
  <w:num w:numId="43" w16cid:durableId="956134004">
    <w:abstractNumId w:val="39"/>
  </w:num>
  <w:num w:numId="44" w16cid:durableId="932783759">
    <w:abstractNumId w:val="16"/>
  </w:num>
  <w:num w:numId="45" w16cid:durableId="1274636080">
    <w:abstractNumId w:val="47"/>
  </w:num>
  <w:num w:numId="46" w16cid:durableId="1377316761">
    <w:abstractNumId w:val="36"/>
  </w:num>
  <w:num w:numId="47" w16cid:durableId="620691787">
    <w:abstractNumId w:val="23"/>
  </w:num>
  <w:num w:numId="48" w16cid:durableId="1715807527">
    <w:abstractNumId w:val="26"/>
  </w:num>
  <w:num w:numId="49" w16cid:durableId="1973166270">
    <w:abstractNumId w:val="19"/>
  </w:num>
  <w:num w:numId="50" w16cid:durableId="217281168">
    <w:abstractNumId w:val="28"/>
  </w:num>
  <w:num w:numId="51" w16cid:durableId="922956446">
    <w:abstractNumId w:val="25"/>
  </w:num>
  <w:num w:numId="52" w16cid:durableId="1410426046">
    <w:abstractNumId w:val="22"/>
  </w:num>
  <w:num w:numId="53" w16cid:durableId="1081100777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804"/>
    <w:rsid w:val="00010DB1"/>
    <w:rsid w:val="000113E7"/>
    <w:rsid w:val="00012F06"/>
    <w:rsid w:val="00013C17"/>
    <w:rsid w:val="00015F03"/>
    <w:rsid w:val="00017284"/>
    <w:rsid w:val="000174B9"/>
    <w:rsid w:val="0002257F"/>
    <w:rsid w:val="000308D7"/>
    <w:rsid w:val="00032B8A"/>
    <w:rsid w:val="00037979"/>
    <w:rsid w:val="00042030"/>
    <w:rsid w:val="0004357F"/>
    <w:rsid w:val="00043BB3"/>
    <w:rsid w:val="00045CA5"/>
    <w:rsid w:val="00046FEE"/>
    <w:rsid w:val="000500D8"/>
    <w:rsid w:val="00055ABD"/>
    <w:rsid w:val="00061BB6"/>
    <w:rsid w:val="00067AF7"/>
    <w:rsid w:val="00071139"/>
    <w:rsid w:val="00071DB9"/>
    <w:rsid w:val="000725BD"/>
    <w:rsid w:val="00073B6A"/>
    <w:rsid w:val="000740E1"/>
    <w:rsid w:val="00074B53"/>
    <w:rsid w:val="000822C3"/>
    <w:rsid w:val="00083C3E"/>
    <w:rsid w:val="00092C4C"/>
    <w:rsid w:val="000B4C75"/>
    <w:rsid w:val="000C2B59"/>
    <w:rsid w:val="000C6DCC"/>
    <w:rsid w:val="000D35E9"/>
    <w:rsid w:val="000D5619"/>
    <w:rsid w:val="000D6FBD"/>
    <w:rsid w:val="000E29BC"/>
    <w:rsid w:val="000E3C5C"/>
    <w:rsid w:val="000E602D"/>
    <w:rsid w:val="000E75B3"/>
    <w:rsid w:val="000F094B"/>
    <w:rsid w:val="000F3813"/>
    <w:rsid w:val="001001F8"/>
    <w:rsid w:val="001035C4"/>
    <w:rsid w:val="00104576"/>
    <w:rsid w:val="001058A4"/>
    <w:rsid w:val="0011005F"/>
    <w:rsid w:val="001146B2"/>
    <w:rsid w:val="00123E90"/>
    <w:rsid w:val="0012428E"/>
    <w:rsid w:val="001332AE"/>
    <w:rsid w:val="0013416B"/>
    <w:rsid w:val="0014184E"/>
    <w:rsid w:val="00142DD6"/>
    <w:rsid w:val="0014569E"/>
    <w:rsid w:val="0014776F"/>
    <w:rsid w:val="001508BE"/>
    <w:rsid w:val="00153311"/>
    <w:rsid w:val="00155808"/>
    <w:rsid w:val="00155836"/>
    <w:rsid w:val="00155964"/>
    <w:rsid w:val="00156C51"/>
    <w:rsid w:val="00157866"/>
    <w:rsid w:val="001651DF"/>
    <w:rsid w:val="001673F7"/>
    <w:rsid w:val="001734D8"/>
    <w:rsid w:val="001762DE"/>
    <w:rsid w:val="001767DF"/>
    <w:rsid w:val="00182181"/>
    <w:rsid w:val="00196986"/>
    <w:rsid w:val="001A6B29"/>
    <w:rsid w:val="001C13BA"/>
    <w:rsid w:val="001C629D"/>
    <w:rsid w:val="001D1B71"/>
    <w:rsid w:val="001D7ED3"/>
    <w:rsid w:val="001E3941"/>
    <w:rsid w:val="001F499C"/>
    <w:rsid w:val="001F5213"/>
    <w:rsid w:val="002033FE"/>
    <w:rsid w:val="00211BAA"/>
    <w:rsid w:val="002122EA"/>
    <w:rsid w:val="00212E6C"/>
    <w:rsid w:val="00215E2D"/>
    <w:rsid w:val="0022048C"/>
    <w:rsid w:val="002210AD"/>
    <w:rsid w:val="00221A05"/>
    <w:rsid w:val="00221EF2"/>
    <w:rsid w:val="00225042"/>
    <w:rsid w:val="002304C1"/>
    <w:rsid w:val="0023368A"/>
    <w:rsid w:val="002357F1"/>
    <w:rsid w:val="00241FCB"/>
    <w:rsid w:val="0025545B"/>
    <w:rsid w:val="002658F7"/>
    <w:rsid w:val="002736FF"/>
    <w:rsid w:val="00274C22"/>
    <w:rsid w:val="00280F12"/>
    <w:rsid w:val="00284CA5"/>
    <w:rsid w:val="00291385"/>
    <w:rsid w:val="00293298"/>
    <w:rsid w:val="002A4E65"/>
    <w:rsid w:val="002A51C4"/>
    <w:rsid w:val="002A5775"/>
    <w:rsid w:val="002A7A1B"/>
    <w:rsid w:val="002B0E5E"/>
    <w:rsid w:val="002B4608"/>
    <w:rsid w:val="002B5680"/>
    <w:rsid w:val="002B62AE"/>
    <w:rsid w:val="002C0B07"/>
    <w:rsid w:val="002C38C8"/>
    <w:rsid w:val="002C395B"/>
    <w:rsid w:val="002C47AD"/>
    <w:rsid w:val="002D41DA"/>
    <w:rsid w:val="002E193B"/>
    <w:rsid w:val="002E23B2"/>
    <w:rsid w:val="002E5F81"/>
    <w:rsid w:val="002E75CB"/>
    <w:rsid w:val="002F1286"/>
    <w:rsid w:val="002F2E66"/>
    <w:rsid w:val="002F357B"/>
    <w:rsid w:val="00300884"/>
    <w:rsid w:val="00300ABA"/>
    <w:rsid w:val="00306400"/>
    <w:rsid w:val="00307358"/>
    <w:rsid w:val="00307E68"/>
    <w:rsid w:val="003175C3"/>
    <w:rsid w:val="00320FCD"/>
    <w:rsid w:val="003213C4"/>
    <w:rsid w:val="00331D65"/>
    <w:rsid w:val="00332C98"/>
    <w:rsid w:val="00341D94"/>
    <w:rsid w:val="003456D7"/>
    <w:rsid w:val="00351852"/>
    <w:rsid w:val="003575D7"/>
    <w:rsid w:val="00361E76"/>
    <w:rsid w:val="00362B90"/>
    <w:rsid w:val="003719C3"/>
    <w:rsid w:val="00395AF0"/>
    <w:rsid w:val="003A1030"/>
    <w:rsid w:val="003B0BAB"/>
    <w:rsid w:val="003B10AC"/>
    <w:rsid w:val="003B27D2"/>
    <w:rsid w:val="003B541D"/>
    <w:rsid w:val="003C3B29"/>
    <w:rsid w:val="003C4526"/>
    <w:rsid w:val="003C7DFC"/>
    <w:rsid w:val="003D0777"/>
    <w:rsid w:val="003D0D81"/>
    <w:rsid w:val="003D2EA5"/>
    <w:rsid w:val="003D3730"/>
    <w:rsid w:val="003E14D2"/>
    <w:rsid w:val="003E2834"/>
    <w:rsid w:val="003E74D7"/>
    <w:rsid w:val="003F1B47"/>
    <w:rsid w:val="00402523"/>
    <w:rsid w:val="00402DBA"/>
    <w:rsid w:val="0040307B"/>
    <w:rsid w:val="0040605D"/>
    <w:rsid w:val="00415182"/>
    <w:rsid w:val="004153B4"/>
    <w:rsid w:val="004153BF"/>
    <w:rsid w:val="00416300"/>
    <w:rsid w:val="0042554A"/>
    <w:rsid w:val="00425B4F"/>
    <w:rsid w:val="004351F3"/>
    <w:rsid w:val="00445D36"/>
    <w:rsid w:val="00447401"/>
    <w:rsid w:val="00456157"/>
    <w:rsid w:val="00460786"/>
    <w:rsid w:val="00470C5B"/>
    <w:rsid w:val="00474D5A"/>
    <w:rsid w:val="0047573B"/>
    <w:rsid w:val="00477622"/>
    <w:rsid w:val="00486E34"/>
    <w:rsid w:val="0049064F"/>
    <w:rsid w:val="004917E8"/>
    <w:rsid w:val="004A01C0"/>
    <w:rsid w:val="004A2BA2"/>
    <w:rsid w:val="004A30FC"/>
    <w:rsid w:val="004A63C6"/>
    <w:rsid w:val="004A7508"/>
    <w:rsid w:val="004B431A"/>
    <w:rsid w:val="004B5FDE"/>
    <w:rsid w:val="004B689B"/>
    <w:rsid w:val="004B7ED3"/>
    <w:rsid w:val="004C04DF"/>
    <w:rsid w:val="004C0757"/>
    <w:rsid w:val="004C1AFC"/>
    <w:rsid w:val="004C60A8"/>
    <w:rsid w:val="004D083F"/>
    <w:rsid w:val="004D12A3"/>
    <w:rsid w:val="004D1397"/>
    <w:rsid w:val="004D13DC"/>
    <w:rsid w:val="004D4E83"/>
    <w:rsid w:val="004E0678"/>
    <w:rsid w:val="004E2B5D"/>
    <w:rsid w:val="00500A5A"/>
    <w:rsid w:val="00512463"/>
    <w:rsid w:val="00513A75"/>
    <w:rsid w:val="00514608"/>
    <w:rsid w:val="00520BFE"/>
    <w:rsid w:val="0053238E"/>
    <w:rsid w:val="0054407D"/>
    <w:rsid w:val="00550445"/>
    <w:rsid w:val="00550C41"/>
    <w:rsid w:val="00552BD1"/>
    <w:rsid w:val="005540C1"/>
    <w:rsid w:val="00554641"/>
    <w:rsid w:val="00556C3E"/>
    <w:rsid w:val="00560552"/>
    <w:rsid w:val="00560704"/>
    <w:rsid w:val="00565267"/>
    <w:rsid w:val="00566C55"/>
    <w:rsid w:val="00580FD6"/>
    <w:rsid w:val="00584079"/>
    <w:rsid w:val="00591389"/>
    <w:rsid w:val="00591931"/>
    <w:rsid w:val="00591BE3"/>
    <w:rsid w:val="005A4873"/>
    <w:rsid w:val="005B42EF"/>
    <w:rsid w:val="005B7F27"/>
    <w:rsid w:val="005C14EF"/>
    <w:rsid w:val="005C3C91"/>
    <w:rsid w:val="005C6A0B"/>
    <w:rsid w:val="005C7F40"/>
    <w:rsid w:val="005D0459"/>
    <w:rsid w:val="005D4D9C"/>
    <w:rsid w:val="005E2457"/>
    <w:rsid w:val="005F4B67"/>
    <w:rsid w:val="005F6FE3"/>
    <w:rsid w:val="006057C2"/>
    <w:rsid w:val="00610767"/>
    <w:rsid w:val="00610804"/>
    <w:rsid w:val="00610EE1"/>
    <w:rsid w:val="00615425"/>
    <w:rsid w:val="00616F7A"/>
    <w:rsid w:val="00624DF1"/>
    <w:rsid w:val="00635BFB"/>
    <w:rsid w:val="006402E8"/>
    <w:rsid w:val="00645DF4"/>
    <w:rsid w:val="00656E41"/>
    <w:rsid w:val="006605D9"/>
    <w:rsid w:val="00660A27"/>
    <w:rsid w:val="00661740"/>
    <w:rsid w:val="00672BAC"/>
    <w:rsid w:val="00675384"/>
    <w:rsid w:val="00684E96"/>
    <w:rsid w:val="00686AFD"/>
    <w:rsid w:val="00695146"/>
    <w:rsid w:val="006A1CD6"/>
    <w:rsid w:val="006A3289"/>
    <w:rsid w:val="006B362B"/>
    <w:rsid w:val="006B36B9"/>
    <w:rsid w:val="006B39FD"/>
    <w:rsid w:val="006B5C7C"/>
    <w:rsid w:val="006C1687"/>
    <w:rsid w:val="006C1881"/>
    <w:rsid w:val="006C1D58"/>
    <w:rsid w:val="006C3EDB"/>
    <w:rsid w:val="006C46D4"/>
    <w:rsid w:val="006C7924"/>
    <w:rsid w:val="006D1BEE"/>
    <w:rsid w:val="006D610F"/>
    <w:rsid w:val="006F1460"/>
    <w:rsid w:val="006F1944"/>
    <w:rsid w:val="00701882"/>
    <w:rsid w:val="00703199"/>
    <w:rsid w:val="00706A62"/>
    <w:rsid w:val="007123FD"/>
    <w:rsid w:val="00714347"/>
    <w:rsid w:val="0072064A"/>
    <w:rsid w:val="00730301"/>
    <w:rsid w:val="007322F5"/>
    <w:rsid w:val="0073317A"/>
    <w:rsid w:val="007342DB"/>
    <w:rsid w:val="00736658"/>
    <w:rsid w:val="007369B6"/>
    <w:rsid w:val="007409A4"/>
    <w:rsid w:val="00741A12"/>
    <w:rsid w:val="00744769"/>
    <w:rsid w:val="00750BB1"/>
    <w:rsid w:val="007511F3"/>
    <w:rsid w:val="00752467"/>
    <w:rsid w:val="00752CAF"/>
    <w:rsid w:val="00760DDE"/>
    <w:rsid w:val="00763EE0"/>
    <w:rsid w:val="00770E59"/>
    <w:rsid w:val="0078517D"/>
    <w:rsid w:val="00790167"/>
    <w:rsid w:val="00790D4A"/>
    <w:rsid w:val="0079437A"/>
    <w:rsid w:val="007A3715"/>
    <w:rsid w:val="007B15E4"/>
    <w:rsid w:val="007B28F3"/>
    <w:rsid w:val="007C5575"/>
    <w:rsid w:val="007C6060"/>
    <w:rsid w:val="007D2BA4"/>
    <w:rsid w:val="007D7059"/>
    <w:rsid w:val="007D7C27"/>
    <w:rsid w:val="007E007D"/>
    <w:rsid w:val="007E159A"/>
    <w:rsid w:val="007E26D7"/>
    <w:rsid w:val="007E4BF1"/>
    <w:rsid w:val="007E580F"/>
    <w:rsid w:val="007E684C"/>
    <w:rsid w:val="007F24A5"/>
    <w:rsid w:val="00800E85"/>
    <w:rsid w:val="00802107"/>
    <w:rsid w:val="00811AB1"/>
    <w:rsid w:val="00813ADB"/>
    <w:rsid w:val="008170CB"/>
    <w:rsid w:val="00821401"/>
    <w:rsid w:val="00824759"/>
    <w:rsid w:val="00826D45"/>
    <w:rsid w:val="008367AE"/>
    <w:rsid w:val="008454FD"/>
    <w:rsid w:val="00846434"/>
    <w:rsid w:val="00847514"/>
    <w:rsid w:val="008530E3"/>
    <w:rsid w:val="008535CC"/>
    <w:rsid w:val="00854541"/>
    <w:rsid w:val="008553BD"/>
    <w:rsid w:val="00863F2C"/>
    <w:rsid w:val="00873DFE"/>
    <w:rsid w:val="00880CF7"/>
    <w:rsid w:val="00881F20"/>
    <w:rsid w:val="00887444"/>
    <w:rsid w:val="00890C9F"/>
    <w:rsid w:val="00892CED"/>
    <w:rsid w:val="0089388E"/>
    <w:rsid w:val="008A1D85"/>
    <w:rsid w:val="008A5759"/>
    <w:rsid w:val="008A63DC"/>
    <w:rsid w:val="008C0E9C"/>
    <w:rsid w:val="008D379C"/>
    <w:rsid w:val="008D3879"/>
    <w:rsid w:val="008D456E"/>
    <w:rsid w:val="008D6B28"/>
    <w:rsid w:val="008E1E65"/>
    <w:rsid w:val="008F3AA2"/>
    <w:rsid w:val="008F6EFB"/>
    <w:rsid w:val="00901FD9"/>
    <w:rsid w:val="00902591"/>
    <w:rsid w:val="009026AF"/>
    <w:rsid w:val="00905F8E"/>
    <w:rsid w:val="009140CF"/>
    <w:rsid w:val="009246E6"/>
    <w:rsid w:val="00924E1D"/>
    <w:rsid w:val="00926C54"/>
    <w:rsid w:val="00932ED4"/>
    <w:rsid w:val="00936752"/>
    <w:rsid w:val="00937252"/>
    <w:rsid w:val="00937B34"/>
    <w:rsid w:val="00941DCA"/>
    <w:rsid w:val="0094219D"/>
    <w:rsid w:val="009475C1"/>
    <w:rsid w:val="00956365"/>
    <w:rsid w:val="00957115"/>
    <w:rsid w:val="009578C2"/>
    <w:rsid w:val="00961775"/>
    <w:rsid w:val="00964FD6"/>
    <w:rsid w:val="00965B43"/>
    <w:rsid w:val="009757F3"/>
    <w:rsid w:val="009777AA"/>
    <w:rsid w:val="00984748"/>
    <w:rsid w:val="00991E71"/>
    <w:rsid w:val="009A4637"/>
    <w:rsid w:val="009B05B5"/>
    <w:rsid w:val="009B657F"/>
    <w:rsid w:val="009B69AB"/>
    <w:rsid w:val="009C0693"/>
    <w:rsid w:val="009C1062"/>
    <w:rsid w:val="009C2016"/>
    <w:rsid w:val="009C28DA"/>
    <w:rsid w:val="009C3F3C"/>
    <w:rsid w:val="009D0605"/>
    <w:rsid w:val="009D46AE"/>
    <w:rsid w:val="009D4D51"/>
    <w:rsid w:val="009D5FC1"/>
    <w:rsid w:val="009F0220"/>
    <w:rsid w:val="009F23AC"/>
    <w:rsid w:val="009F3DA8"/>
    <w:rsid w:val="00A00309"/>
    <w:rsid w:val="00A00430"/>
    <w:rsid w:val="00A017D9"/>
    <w:rsid w:val="00A05D05"/>
    <w:rsid w:val="00A211FA"/>
    <w:rsid w:val="00A23284"/>
    <w:rsid w:val="00A263CF"/>
    <w:rsid w:val="00A33EA2"/>
    <w:rsid w:val="00A366B7"/>
    <w:rsid w:val="00A36FD9"/>
    <w:rsid w:val="00A42CF3"/>
    <w:rsid w:val="00A5315D"/>
    <w:rsid w:val="00A57F87"/>
    <w:rsid w:val="00A655AF"/>
    <w:rsid w:val="00A705C2"/>
    <w:rsid w:val="00A7061E"/>
    <w:rsid w:val="00A712F4"/>
    <w:rsid w:val="00A82E83"/>
    <w:rsid w:val="00A94841"/>
    <w:rsid w:val="00A9541A"/>
    <w:rsid w:val="00A9759B"/>
    <w:rsid w:val="00AA2452"/>
    <w:rsid w:val="00AA2A0A"/>
    <w:rsid w:val="00AA7A48"/>
    <w:rsid w:val="00AB1F4A"/>
    <w:rsid w:val="00AB22AF"/>
    <w:rsid w:val="00AB3507"/>
    <w:rsid w:val="00AB4116"/>
    <w:rsid w:val="00AC18A0"/>
    <w:rsid w:val="00AC4807"/>
    <w:rsid w:val="00AC7629"/>
    <w:rsid w:val="00AD0BC8"/>
    <w:rsid w:val="00AD2F1E"/>
    <w:rsid w:val="00AD5354"/>
    <w:rsid w:val="00AD6044"/>
    <w:rsid w:val="00AD6F40"/>
    <w:rsid w:val="00AD7ABD"/>
    <w:rsid w:val="00AE247A"/>
    <w:rsid w:val="00AE2EA5"/>
    <w:rsid w:val="00AE3647"/>
    <w:rsid w:val="00AE6C1A"/>
    <w:rsid w:val="00AE7B76"/>
    <w:rsid w:val="00AF11EC"/>
    <w:rsid w:val="00AF27CF"/>
    <w:rsid w:val="00B10246"/>
    <w:rsid w:val="00B11A55"/>
    <w:rsid w:val="00B15E1D"/>
    <w:rsid w:val="00B16490"/>
    <w:rsid w:val="00B17BBD"/>
    <w:rsid w:val="00B232DA"/>
    <w:rsid w:val="00B26E9D"/>
    <w:rsid w:val="00B276C9"/>
    <w:rsid w:val="00B35F1A"/>
    <w:rsid w:val="00B36379"/>
    <w:rsid w:val="00B407DA"/>
    <w:rsid w:val="00B4237F"/>
    <w:rsid w:val="00B47D96"/>
    <w:rsid w:val="00B505D2"/>
    <w:rsid w:val="00B5253E"/>
    <w:rsid w:val="00B53890"/>
    <w:rsid w:val="00B555D6"/>
    <w:rsid w:val="00B62219"/>
    <w:rsid w:val="00B62E2E"/>
    <w:rsid w:val="00B630DF"/>
    <w:rsid w:val="00B653D3"/>
    <w:rsid w:val="00B72069"/>
    <w:rsid w:val="00B74CE1"/>
    <w:rsid w:val="00B777F7"/>
    <w:rsid w:val="00B84384"/>
    <w:rsid w:val="00B85729"/>
    <w:rsid w:val="00B878FB"/>
    <w:rsid w:val="00B91454"/>
    <w:rsid w:val="00B92B4B"/>
    <w:rsid w:val="00B94CF4"/>
    <w:rsid w:val="00BA16A9"/>
    <w:rsid w:val="00BA1908"/>
    <w:rsid w:val="00BA24CD"/>
    <w:rsid w:val="00BC2D82"/>
    <w:rsid w:val="00BD6402"/>
    <w:rsid w:val="00BD6EAF"/>
    <w:rsid w:val="00BE1CDA"/>
    <w:rsid w:val="00BE389E"/>
    <w:rsid w:val="00BE391A"/>
    <w:rsid w:val="00BE5EF2"/>
    <w:rsid w:val="00BF09FB"/>
    <w:rsid w:val="00BF3290"/>
    <w:rsid w:val="00BF3DA3"/>
    <w:rsid w:val="00BF5873"/>
    <w:rsid w:val="00BF5BC8"/>
    <w:rsid w:val="00BF7F48"/>
    <w:rsid w:val="00C02B87"/>
    <w:rsid w:val="00C03303"/>
    <w:rsid w:val="00C050B5"/>
    <w:rsid w:val="00C11B5C"/>
    <w:rsid w:val="00C1258E"/>
    <w:rsid w:val="00C13DB7"/>
    <w:rsid w:val="00C158E2"/>
    <w:rsid w:val="00C26AA9"/>
    <w:rsid w:val="00C32547"/>
    <w:rsid w:val="00C437EE"/>
    <w:rsid w:val="00C467F9"/>
    <w:rsid w:val="00C50A46"/>
    <w:rsid w:val="00C50D06"/>
    <w:rsid w:val="00C51984"/>
    <w:rsid w:val="00C52E55"/>
    <w:rsid w:val="00C5431E"/>
    <w:rsid w:val="00C563B8"/>
    <w:rsid w:val="00C60C5F"/>
    <w:rsid w:val="00C615DC"/>
    <w:rsid w:val="00C6249B"/>
    <w:rsid w:val="00C62F5D"/>
    <w:rsid w:val="00C702D9"/>
    <w:rsid w:val="00C75F24"/>
    <w:rsid w:val="00C7745E"/>
    <w:rsid w:val="00C90C4E"/>
    <w:rsid w:val="00C92B39"/>
    <w:rsid w:val="00C92F45"/>
    <w:rsid w:val="00C95A36"/>
    <w:rsid w:val="00C96AE9"/>
    <w:rsid w:val="00CA0352"/>
    <w:rsid w:val="00CC3436"/>
    <w:rsid w:val="00CD0311"/>
    <w:rsid w:val="00CD08BF"/>
    <w:rsid w:val="00CD7BC8"/>
    <w:rsid w:val="00CE25FD"/>
    <w:rsid w:val="00D022FA"/>
    <w:rsid w:val="00D033FB"/>
    <w:rsid w:val="00D0586D"/>
    <w:rsid w:val="00D05DFE"/>
    <w:rsid w:val="00D114DD"/>
    <w:rsid w:val="00D13A44"/>
    <w:rsid w:val="00D1565A"/>
    <w:rsid w:val="00D20AEF"/>
    <w:rsid w:val="00D20C88"/>
    <w:rsid w:val="00D32D9D"/>
    <w:rsid w:val="00D3708D"/>
    <w:rsid w:val="00D40CD2"/>
    <w:rsid w:val="00D45B2A"/>
    <w:rsid w:val="00D46F29"/>
    <w:rsid w:val="00D50F5C"/>
    <w:rsid w:val="00D51BFC"/>
    <w:rsid w:val="00D63CBA"/>
    <w:rsid w:val="00D64833"/>
    <w:rsid w:val="00D702A2"/>
    <w:rsid w:val="00D733B3"/>
    <w:rsid w:val="00D7357F"/>
    <w:rsid w:val="00D74417"/>
    <w:rsid w:val="00D74A5F"/>
    <w:rsid w:val="00D769E4"/>
    <w:rsid w:val="00D7791A"/>
    <w:rsid w:val="00D81B90"/>
    <w:rsid w:val="00D87182"/>
    <w:rsid w:val="00D94711"/>
    <w:rsid w:val="00D95864"/>
    <w:rsid w:val="00D97470"/>
    <w:rsid w:val="00DA5949"/>
    <w:rsid w:val="00DA696D"/>
    <w:rsid w:val="00DB17C3"/>
    <w:rsid w:val="00DB20F9"/>
    <w:rsid w:val="00DC30B4"/>
    <w:rsid w:val="00DC4016"/>
    <w:rsid w:val="00DC72DE"/>
    <w:rsid w:val="00DC7448"/>
    <w:rsid w:val="00DC758A"/>
    <w:rsid w:val="00DD0839"/>
    <w:rsid w:val="00DD164A"/>
    <w:rsid w:val="00DD585F"/>
    <w:rsid w:val="00DE195C"/>
    <w:rsid w:val="00DE32A2"/>
    <w:rsid w:val="00DE38FD"/>
    <w:rsid w:val="00DE6A4B"/>
    <w:rsid w:val="00DE71F3"/>
    <w:rsid w:val="00E17504"/>
    <w:rsid w:val="00E20808"/>
    <w:rsid w:val="00E22248"/>
    <w:rsid w:val="00E26445"/>
    <w:rsid w:val="00E27478"/>
    <w:rsid w:val="00E32CEF"/>
    <w:rsid w:val="00E331AF"/>
    <w:rsid w:val="00E3777B"/>
    <w:rsid w:val="00E44AA3"/>
    <w:rsid w:val="00E57B31"/>
    <w:rsid w:val="00E60BD0"/>
    <w:rsid w:val="00E62179"/>
    <w:rsid w:val="00E62275"/>
    <w:rsid w:val="00E6331D"/>
    <w:rsid w:val="00E72957"/>
    <w:rsid w:val="00E74F16"/>
    <w:rsid w:val="00E76266"/>
    <w:rsid w:val="00E81C52"/>
    <w:rsid w:val="00E85609"/>
    <w:rsid w:val="00E86101"/>
    <w:rsid w:val="00E86F5E"/>
    <w:rsid w:val="00E922E8"/>
    <w:rsid w:val="00E9288F"/>
    <w:rsid w:val="00E9367E"/>
    <w:rsid w:val="00EA692C"/>
    <w:rsid w:val="00EB1BF1"/>
    <w:rsid w:val="00EB4E4A"/>
    <w:rsid w:val="00EB53C4"/>
    <w:rsid w:val="00EB7C52"/>
    <w:rsid w:val="00EC088A"/>
    <w:rsid w:val="00EC4509"/>
    <w:rsid w:val="00EC45C4"/>
    <w:rsid w:val="00ED10C8"/>
    <w:rsid w:val="00ED13FA"/>
    <w:rsid w:val="00EE189F"/>
    <w:rsid w:val="00EE1E20"/>
    <w:rsid w:val="00EF3686"/>
    <w:rsid w:val="00EF3E87"/>
    <w:rsid w:val="00F13276"/>
    <w:rsid w:val="00F15B4E"/>
    <w:rsid w:val="00F17DB9"/>
    <w:rsid w:val="00F23EBB"/>
    <w:rsid w:val="00F24542"/>
    <w:rsid w:val="00F249DE"/>
    <w:rsid w:val="00F30AC3"/>
    <w:rsid w:val="00F33729"/>
    <w:rsid w:val="00F355AD"/>
    <w:rsid w:val="00F443F2"/>
    <w:rsid w:val="00F523E7"/>
    <w:rsid w:val="00F60792"/>
    <w:rsid w:val="00F60A33"/>
    <w:rsid w:val="00F64683"/>
    <w:rsid w:val="00F73DE6"/>
    <w:rsid w:val="00F75264"/>
    <w:rsid w:val="00F766D2"/>
    <w:rsid w:val="00F92D99"/>
    <w:rsid w:val="00F94564"/>
    <w:rsid w:val="00F97049"/>
    <w:rsid w:val="00F97327"/>
    <w:rsid w:val="00F9732F"/>
    <w:rsid w:val="00FA2DDC"/>
    <w:rsid w:val="00FB56AB"/>
    <w:rsid w:val="00FB6822"/>
    <w:rsid w:val="00FC473F"/>
    <w:rsid w:val="00FC4FC5"/>
    <w:rsid w:val="00FD1B8C"/>
    <w:rsid w:val="00FE054B"/>
    <w:rsid w:val="00FE369C"/>
    <w:rsid w:val="00FE60AF"/>
    <w:rsid w:val="00FF1663"/>
    <w:rsid w:val="00FF4D00"/>
    <w:rsid w:val="00FF7246"/>
    <w:rsid w:val="00FF7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63A0"/>
  <w15:docId w15:val="{4838C78C-5CD4-4925-88AE-EB5E39DA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5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2BD1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54407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4407D"/>
  </w:style>
  <w:style w:type="character" w:customStyle="1" w:styleId="a7">
    <w:name w:val="Текст примечания Знак"/>
    <w:basedOn w:val="a0"/>
    <w:link w:val="a6"/>
    <w:uiPriority w:val="99"/>
    <w:semiHidden/>
    <w:rsid w:val="005440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4407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440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843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4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843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43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661740"/>
    <w:rPr>
      <w:color w:val="954F72"/>
      <w:u w:val="single"/>
    </w:rPr>
  </w:style>
  <w:style w:type="paragraph" w:customStyle="1" w:styleId="msonormal0">
    <w:name w:val="msonormal"/>
    <w:basedOn w:val="a"/>
    <w:rsid w:val="00661740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66174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66174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71">
    <w:name w:val="xl71"/>
    <w:basedOn w:val="a"/>
    <w:rsid w:val="00661740"/>
    <w:pP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661740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661740"/>
    <w:pPr>
      <w:shd w:val="clear" w:color="000000" w:fill="92D050"/>
      <w:spacing w:before="100" w:beforeAutospacing="1" w:after="100" w:afterAutospacing="1"/>
    </w:pPr>
  </w:style>
  <w:style w:type="paragraph" w:customStyle="1" w:styleId="xl80">
    <w:name w:val="xl80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6617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6617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6617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6617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rsid w:val="00661740"/>
    <w:pPr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</w:rPr>
  </w:style>
  <w:style w:type="character" w:styleId="af">
    <w:name w:val="Unresolved Mention"/>
    <w:basedOn w:val="a0"/>
    <w:uiPriority w:val="99"/>
    <w:semiHidden/>
    <w:unhideWhenUsed/>
    <w:rsid w:val="00661740"/>
    <w:rPr>
      <w:color w:val="605E5C"/>
      <w:shd w:val="clear" w:color="auto" w:fill="E1DFDD"/>
    </w:rPr>
  </w:style>
  <w:style w:type="paragraph" w:customStyle="1" w:styleId="font7">
    <w:name w:val="font7"/>
    <w:basedOn w:val="a"/>
    <w:rsid w:val="009D4D51"/>
    <w:pPr>
      <w:spacing w:before="100" w:beforeAutospacing="1" w:after="100" w:afterAutospacing="1"/>
    </w:pPr>
  </w:style>
  <w:style w:type="paragraph" w:customStyle="1" w:styleId="font8">
    <w:name w:val="font8"/>
    <w:basedOn w:val="a"/>
    <w:rsid w:val="009D4D5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a"/>
    <w:rsid w:val="009D4D5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9D4D51"/>
    <w:pPr>
      <w:shd w:val="clear" w:color="000000" w:fill="2BE557"/>
      <w:spacing w:before="100" w:beforeAutospacing="1" w:after="100" w:afterAutospacing="1"/>
    </w:pPr>
  </w:style>
  <w:style w:type="paragraph" w:customStyle="1" w:styleId="xl93">
    <w:name w:val="xl93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</w:pPr>
  </w:style>
  <w:style w:type="paragraph" w:customStyle="1" w:styleId="xl97">
    <w:name w:val="xl97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D4D51"/>
    <w:pPr>
      <w:shd w:val="clear" w:color="000000" w:fill="F05E7A"/>
      <w:spacing w:before="100" w:beforeAutospacing="1" w:after="100" w:afterAutospacing="1"/>
    </w:pPr>
  </w:style>
  <w:style w:type="paragraph" w:customStyle="1" w:styleId="xl115">
    <w:name w:val="xl115"/>
    <w:basedOn w:val="a"/>
    <w:rsid w:val="009D4D51"/>
    <w:pPr>
      <w:spacing w:before="100" w:beforeAutospacing="1" w:after="100" w:afterAutospacing="1"/>
    </w:pPr>
  </w:style>
  <w:style w:type="paragraph" w:customStyle="1" w:styleId="xl116">
    <w:name w:val="xl116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2">
    <w:name w:val="xl122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4">
    <w:name w:val="xl124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5">
    <w:name w:val="xl125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CDF2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9D4D51"/>
    <w:pPr>
      <w:shd w:val="clear" w:color="000000" w:fill="2BE557"/>
      <w:spacing w:before="100" w:beforeAutospacing="1" w:after="100" w:afterAutospacing="1"/>
    </w:pPr>
    <w:rPr>
      <w:color w:val="FF0000"/>
    </w:rPr>
  </w:style>
  <w:style w:type="paragraph" w:customStyle="1" w:styleId="xl127">
    <w:name w:val="xl127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9D4D51"/>
    <w:pP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CD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CDF2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CDF2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CDF2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CD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6">
    <w:name w:val="xl136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CD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7">
    <w:name w:val="xl137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"/>
    <w:rsid w:val="009D4D51"/>
    <w:pPr>
      <w:shd w:val="clear" w:color="000000" w:fill="2BE557"/>
      <w:spacing w:before="100" w:beforeAutospacing="1" w:after="100" w:afterAutospacing="1"/>
    </w:pPr>
  </w:style>
  <w:style w:type="paragraph" w:customStyle="1" w:styleId="xl139">
    <w:name w:val="xl139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9D4D51"/>
    <w:pPr>
      <w:shd w:val="clear" w:color="000000" w:fill="F05E7A"/>
      <w:spacing w:before="100" w:beforeAutospacing="1" w:after="100" w:afterAutospacing="1"/>
    </w:pPr>
  </w:style>
  <w:style w:type="paragraph" w:customStyle="1" w:styleId="xl141">
    <w:name w:val="xl141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</w:pPr>
  </w:style>
  <w:style w:type="paragraph" w:customStyle="1" w:styleId="xl142">
    <w:name w:val="xl142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9D4D51"/>
    <w:pP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CDF2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9D4D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ortal.tg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760F5-7D73-4D08-98A6-4442586C7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29205</TotalTime>
  <Pages>7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meariy</Company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ionov.ps</dc:creator>
  <cp:lastModifiedBy>Зацепина Ксения Александровна</cp:lastModifiedBy>
  <cp:revision>132</cp:revision>
  <cp:lastPrinted>2023-09-19T11:09:00Z</cp:lastPrinted>
  <dcterms:created xsi:type="dcterms:W3CDTF">2021-07-16T07:38:00Z</dcterms:created>
  <dcterms:modified xsi:type="dcterms:W3CDTF">2023-09-19T11:16:00Z</dcterms:modified>
</cp:coreProperties>
</file>