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:rsidR="00C55EF7" w:rsidRPr="001066D0" w:rsidRDefault="00C55EF7" w:rsidP="006B1E87">
      <w:pPr>
        <w:jc w:val="center"/>
        <w:rPr>
          <w:sz w:val="28"/>
          <w:szCs w:val="28"/>
        </w:rPr>
      </w:pPr>
    </w:p>
    <w:p w:rsidR="006B1E87" w:rsidRPr="001066D0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:rsidR="00AD7EF9" w:rsidRPr="001066D0" w:rsidRDefault="00AD7EF9" w:rsidP="00AA251C">
      <w:pPr>
        <w:jc w:val="center"/>
        <w:rPr>
          <w:sz w:val="28"/>
          <w:szCs w:val="28"/>
        </w:rPr>
      </w:pPr>
    </w:p>
    <w:p w:rsidR="00482D26" w:rsidRPr="001066D0" w:rsidRDefault="004E04C1" w:rsidP="00C55EF7">
      <w:pPr>
        <w:spacing w:line="276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предусматривающий:</w:t>
      </w:r>
    </w:p>
    <w:p w:rsidR="00826655" w:rsidRDefault="00C55EF7" w:rsidP="0082665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06C0" w:rsidRPr="00C55EF7">
        <w:rPr>
          <w:sz w:val="28"/>
          <w:szCs w:val="28"/>
        </w:rPr>
        <w:t>Изменение характеристик мест размещения НТО</w:t>
      </w:r>
      <w:r w:rsidR="002E7B46" w:rsidRPr="00C55EF7">
        <w:rPr>
          <w:sz w:val="28"/>
          <w:szCs w:val="28"/>
        </w:rPr>
        <w:t xml:space="preserve"> в части изменения</w:t>
      </w:r>
      <w:r w:rsidRPr="00C55EF7">
        <w:rPr>
          <w:sz w:val="28"/>
          <w:szCs w:val="28"/>
        </w:rPr>
        <w:t xml:space="preserve"> вида договора, </w:t>
      </w:r>
      <w:r w:rsidR="006E6C07" w:rsidRPr="00C55EF7">
        <w:rPr>
          <w:sz w:val="28"/>
          <w:szCs w:val="28"/>
        </w:rPr>
        <w:t>статуса места расположения НТО</w:t>
      </w:r>
      <w:r w:rsidRPr="00C55EF7">
        <w:rPr>
          <w:sz w:val="28"/>
          <w:szCs w:val="28"/>
        </w:rPr>
        <w:t xml:space="preserve">, специализации НТО, площади НТО </w:t>
      </w:r>
      <w:r>
        <w:rPr>
          <w:sz w:val="28"/>
          <w:szCs w:val="28"/>
        </w:rPr>
        <w:t>на основании</w:t>
      </w:r>
      <w:r w:rsidR="006E6C07" w:rsidRPr="00C55EF7">
        <w:rPr>
          <w:sz w:val="28"/>
          <w:szCs w:val="28"/>
        </w:rPr>
        <w:t xml:space="preserve"> расторгнуты</w:t>
      </w:r>
      <w:r>
        <w:rPr>
          <w:sz w:val="28"/>
          <w:szCs w:val="28"/>
        </w:rPr>
        <w:t>х</w:t>
      </w:r>
      <w:r w:rsidR="006E6C07" w:rsidRPr="00C55EF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="006E6C07" w:rsidRPr="00C55EF7">
        <w:rPr>
          <w:sz w:val="28"/>
          <w:szCs w:val="28"/>
        </w:rPr>
        <w:t xml:space="preserve"> аренды и заключенными договорами</w:t>
      </w:r>
      <w:r w:rsidR="007038A9">
        <w:rPr>
          <w:sz w:val="28"/>
          <w:szCs w:val="28"/>
        </w:rPr>
        <w:t xml:space="preserve"> на размещение НТО в пунктах 4, 26, 27, 29, 44, 64, 66, 68, 79, 81, 86, 97, 107, 131, 152, 209, 241, 246, 255, 258, 289, 295, 304, 305, 326, 343, 346, 459, 469</w:t>
      </w:r>
      <w:r w:rsidR="00826655">
        <w:rPr>
          <w:sz w:val="28"/>
          <w:szCs w:val="28"/>
        </w:rPr>
        <w:t>, 526, 588, 650, 715, 726, 742, 794, 808, 823, 824, 825, 923, 935, 946, 965, 978, 989, 1017, 1018, 1028, 1065, 1075, 1083, 1086, 1090, 1109, 1144, 1169, 1185.</w:t>
      </w:r>
    </w:p>
    <w:p w:rsidR="007038A9" w:rsidRDefault="00826655" w:rsidP="0082665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8A9">
        <w:rPr>
          <w:sz w:val="28"/>
          <w:szCs w:val="28"/>
        </w:rPr>
        <w:t xml:space="preserve">. </w:t>
      </w:r>
      <w:r w:rsidR="007038A9" w:rsidRPr="00C55EF7">
        <w:rPr>
          <w:sz w:val="28"/>
          <w:szCs w:val="28"/>
        </w:rPr>
        <w:t xml:space="preserve">Изменение характеристик мест размещения НТО в части изменения вида договора, статуса места расположения НТО, специализации НТО, </w:t>
      </w:r>
      <w:r w:rsidR="007038A9">
        <w:rPr>
          <w:sz w:val="28"/>
          <w:szCs w:val="28"/>
        </w:rPr>
        <w:t>на основании</w:t>
      </w:r>
      <w:r w:rsidR="007038A9" w:rsidRPr="00C55EF7">
        <w:rPr>
          <w:sz w:val="28"/>
          <w:szCs w:val="28"/>
        </w:rPr>
        <w:t xml:space="preserve"> </w:t>
      </w:r>
      <w:r w:rsidR="007038A9">
        <w:rPr>
          <w:sz w:val="28"/>
          <w:szCs w:val="28"/>
        </w:rPr>
        <w:t>проведенных аукционов на право заключения договоров на размещение НТО в пунктах 473, 475, 477-488, 490-493</w:t>
      </w:r>
      <w:r>
        <w:rPr>
          <w:sz w:val="28"/>
          <w:szCs w:val="28"/>
        </w:rPr>
        <w:t>, 495-497, 513-518, 520-521, 523.</w:t>
      </w:r>
    </w:p>
    <w:p w:rsidR="007038A9" w:rsidRDefault="00826655" w:rsidP="00C55EF7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Исключение из </w:t>
      </w:r>
      <w:r w:rsidR="00043FC2">
        <w:rPr>
          <w:sz w:val="28"/>
          <w:szCs w:val="28"/>
        </w:rPr>
        <w:t xml:space="preserve">Схемы </w:t>
      </w:r>
      <w:r w:rsidR="00043FC2" w:rsidRPr="001066D0">
        <w:rPr>
          <w:sz w:val="28"/>
          <w:szCs w:val="28"/>
        </w:rPr>
        <w:t>мест размещения НТО</w:t>
      </w:r>
      <w:r w:rsidR="00043FC2">
        <w:rPr>
          <w:sz w:val="28"/>
          <w:szCs w:val="28"/>
        </w:rPr>
        <w:t xml:space="preserve"> 93</w:t>
      </w:r>
      <w:r w:rsidR="00043FC2" w:rsidRPr="0042554A">
        <w:rPr>
          <w:sz w:val="28"/>
          <w:szCs w:val="28"/>
        </w:rPr>
        <w:t xml:space="preserve">, 570, </w:t>
      </w:r>
      <w:r w:rsidR="00043FC2">
        <w:rPr>
          <w:sz w:val="28"/>
          <w:szCs w:val="28"/>
        </w:rPr>
        <w:t xml:space="preserve">832, 1602, 1606, 1607 </w:t>
      </w:r>
      <w:r w:rsidR="00043FC2" w:rsidRPr="00C55EF7">
        <w:rPr>
          <w:sz w:val="28"/>
          <w:szCs w:val="28"/>
        </w:rPr>
        <w:t xml:space="preserve">на основании решения, принятого протоколом от </w:t>
      </w:r>
      <w:r w:rsidR="00043FC2">
        <w:rPr>
          <w:sz w:val="28"/>
          <w:szCs w:val="28"/>
        </w:rPr>
        <w:t>01</w:t>
      </w:r>
      <w:r w:rsidR="00043FC2" w:rsidRPr="00C55EF7">
        <w:rPr>
          <w:sz w:val="28"/>
          <w:szCs w:val="28"/>
        </w:rPr>
        <w:t>.</w:t>
      </w:r>
      <w:r w:rsidR="00043FC2">
        <w:rPr>
          <w:sz w:val="28"/>
          <w:szCs w:val="28"/>
        </w:rPr>
        <w:t>06</w:t>
      </w:r>
      <w:r w:rsidR="00043FC2" w:rsidRPr="00C55EF7">
        <w:rPr>
          <w:sz w:val="28"/>
          <w:szCs w:val="28"/>
        </w:rPr>
        <w:t>.20</w:t>
      </w:r>
      <w:r w:rsidR="00043FC2">
        <w:rPr>
          <w:sz w:val="28"/>
          <w:szCs w:val="28"/>
        </w:rPr>
        <w:t>21г</w:t>
      </w:r>
      <w:r w:rsidR="00043FC2" w:rsidRPr="00C55EF7">
        <w:rPr>
          <w:sz w:val="28"/>
          <w:szCs w:val="28"/>
        </w:rPr>
        <w:t xml:space="preserve"> №</w:t>
      </w:r>
      <w:r w:rsidR="00043FC2">
        <w:rPr>
          <w:sz w:val="28"/>
          <w:szCs w:val="28"/>
        </w:rPr>
        <w:t>76</w:t>
      </w:r>
      <w:r w:rsidR="00043FC2" w:rsidRPr="00C55EF7">
        <w:rPr>
          <w:sz w:val="28"/>
          <w:szCs w:val="28"/>
        </w:rPr>
        <w:t>-прт/</w:t>
      </w:r>
      <w:r w:rsidR="00043FC2">
        <w:rPr>
          <w:sz w:val="28"/>
          <w:szCs w:val="28"/>
        </w:rPr>
        <w:t>1</w:t>
      </w:r>
      <w:r w:rsidR="00043FC2" w:rsidRPr="00C55EF7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043FC2">
        <w:rPr>
          <w:sz w:val="28"/>
          <w:szCs w:val="28"/>
        </w:rPr>
        <w:t>льятти  от 20.07.2016 № 2332-п/1.</w:t>
      </w:r>
    </w:p>
    <w:p w:rsidR="00AD7EF9" w:rsidRPr="00C55EF7" w:rsidRDefault="00043FC2" w:rsidP="00C55EF7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55EF7">
        <w:rPr>
          <w:sz w:val="28"/>
          <w:szCs w:val="28"/>
        </w:rPr>
        <w:t xml:space="preserve">. </w:t>
      </w:r>
      <w:r w:rsidR="00F95932" w:rsidRPr="001066D0">
        <w:rPr>
          <w:sz w:val="28"/>
          <w:szCs w:val="28"/>
        </w:rPr>
        <w:t xml:space="preserve">Включение в Схему мест размещения </w:t>
      </w:r>
      <w:r w:rsidR="00F57A79" w:rsidRPr="001066D0">
        <w:rPr>
          <w:sz w:val="28"/>
          <w:szCs w:val="28"/>
        </w:rPr>
        <w:t>НТО</w:t>
      </w:r>
      <w:r w:rsidR="00251770" w:rsidRPr="001066D0">
        <w:rPr>
          <w:sz w:val="28"/>
          <w:szCs w:val="28"/>
        </w:rPr>
        <w:t>:</w:t>
      </w:r>
      <w:r w:rsidR="00C55EF7">
        <w:rPr>
          <w:sz w:val="28"/>
          <w:szCs w:val="28"/>
        </w:rPr>
        <w:t xml:space="preserve"> </w:t>
      </w:r>
      <w:r w:rsidR="008755AA" w:rsidRPr="00C55EF7">
        <w:rPr>
          <w:sz w:val="28"/>
          <w:szCs w:val="28"/>
        </w:rPr>
        <w:t xml:space="preserve">№№ </w:t>
      </w:r>
      <w:r w:rsidR="00C55EF7" w:rsidRPr="00C55EF7">
        <w:rPr>
          <w:sz w:val="28"/>
          <w:szCs w:val="28"/>
        </w:rPr>
        <w:t>№№ 190</w:t>
      </w:r>
      <w:r w:rsidR="007D4DF6">
        <w:rPr>
          <w:sz w:val="28"/>
          <w:szCs w:val="28"/>
        </w:rPr>
        <w:t>6</w:t>
      </w:r>
      <w:r w:rsidR="00C55EF7" w:rsidRPr="00C55EF7">
        <w:rPr>
          <w:sz w:val="28"/>
          <w:szCs w:val="28"/>
        </w:rPr>
        <w:t>, 190</w:t>
      </w:r>
      <w:r w:rsidR="007D4DF6">
        <w:rPr>
          <w:sz w:val="28"/>
          <w:szCs w:val="28"/>
        </w:rPr>
        <w:t xml:space="preserve">7 </w:t>
      </w:r>
      <w:r w:rsidR="008755AA" w:rsidRPr="00C55EF7">
        <w:rPr>
          <w:sz w:val="28"/>
          <w:szCs w:val="28"/>
        </w:rPr>
        <w:t xml:space="preserve">на основании решения, принятого протоколом от </w:t>
      </w:r>
      <w:r w:rsidR="00C55EF7">
        <w:rPr>
          <w:sz w:val="28"/>
          <w:szCs w:val="28"/>
        </w:rPr>
        <w:t>01</w:t>
      </w:r>
      <w:r w:rsidR="008755AA" w:rsidRPr="00C55EF7">
        <w:rPr>
          <w:sz w:val="28"/>
          <w:szCs w:val="28"/>
        </w:rPr>
        <w:t>.</w:t>
      </w:r>
      <w:r w:rsidR="00C55EF7">
        <w:rPr>
          <w:sz w:val="28"/>
          <w:szCs w:val="28"/>
        </w:rPr>
        <w:t>06</w:t>
      </w:r>
      <w:r w:rsidR="008755AA" w:rsidRPr="00C55EF7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826655">
        <w:rPr>
          <w:sz w:val="28"/>
          <w:szCs w:val="28"/>
        </w:rPr>
        <w:t>г</w:t>
      </w:r>
      <w:r w:rsidR="008755AA" w:rsidRPr="00C55EF7">
        <w:rPr>
          <w:sz w:val="28"/>
          <w:szCs w:val="28"/>
        </w:rPr>
        <w:t xml:space="preserve"> №</w:t>
      </w:r>
      <w:r w:rsidR="00C55EF7">
        <w:rPr>
          <w:sz w:val="28"/>
          <w:szCs w:val="28"/>
        </w:rPr>
        <w:t>76</w:t>
      </w:r>
      <w:r w:rsidR="008755AA" w:rsidRPr="00C55EF7">
        <w:rPr>
          <w:sz w:val="28"/>
          <w:szCs w:val="28"/>
        </w:rPr>
        <w:t>-прт/</w:t>
      </w:r>
      <w:r w:rsidR="00C55EF7">
        <w:rPr>
          <w:sz w:val="28"/>
          <w:szCs w:val="28"/>
        </w:rPr>
        <w:t>1</w:t>
      </w:r>
      <w:r w:rsidR="008755AA" w:rsidRPr="00C55EF7">
        <w:rPr>
          <w:sz w:val="28"/>
          <w:szCs w:val="28"/>
        </w:rPr>
        <w:t xml:space="preserve"> </w:t>
      </w:r>
      <w:r w:rsidR="008755AA" w:rsidRPr="00C55EF7">
        <w:rPr>
          <w:sz w:val="28"/>
          <w:szCs w:val="28"/>
        </w:rPr>
        <w:lastRenderedPageBreak/>
        <w:t>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>
        <w:rPr>
          <w:sz w:val="28"/>
          <w:szCs w:val="28"/>
        </w:rPr>
        <w:t>льятти  от 20.07.2016 № 2332-п/1.</w:t>
      </w:r>
    </w:p>
    <w:p w:rsidR="00BD231D" w:rsidRPr="001066D0" w:rsidRDefault="00BD231D" w:rsidP="00BD231D">
      <w:pPr>
        <w:pStyle w:val="12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Pr="001066D0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Начальник отдела развития</w:t>
      </w:r>
    </w:p>
    <w:p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    В.А. </w:t>
      </w:r>
      <w:r w:rsidR="00BD231D" w:rsidRPr="001066D0">
        <w:rPr>
          <w:sz w:val="28"/>
          <w:szCs w:val="28"/>
        </w:rPr>
        <w:t>Тюлин</w:t>
      </w:r>
    </w:p>
    <w:p w:rsidR="006B1E87" w:rsidRDefault="006B1E87" w:rsidP="00BD231D">
      <w:pPr>
        <w:spacing w:line="288" w:lineRule="auto"/>
        <w:jc w:val="both"/>
        <w:rPr>
          <w:sz w:val="28"/>
          <w:szCs w:val="28"/>
        </w:rPr>
      </w:pPr>
    </w:p>
    <w:p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C55EF7">
      <w:pPr>
        <w:jc w:val="both"/>
      </w:pPr>
      <w:r>
        <w:t>Зацепина К.А.</w:t>
      </w:r>
    </w:p>
    <w:p w:rsidR="00C55EF7" w:rsidRPr="00DC495B" w:rsidRDefault="00C55EF7" w:rsidP="00C55EF7">
      <w:pPr>
        <w:jc w:val="both"/>
        <w:rPr>
          <w:sz w:val="22"/>
        </w:rPr>
      </w:pPr>
      <w:r>
        <w:t>54-30-59</w:t>
      </w:r>
    </w:p>
    <w:p w:rsidR="006B1E87" w:rsidRDefault="006B1E87" w:rsidP="00151F5A"/>
    <w:p w:rsidR="006B1E87" w:rsidRDefault="006B1E87" w:rsidP="00151F5A"/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9C3"/>
    <w:rsid w:val="005F7757"/>
    <w:rsid w:val="00602DA3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7204F"/>
    <w:rsid w:val="008755AA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zacepina.ka</cp:lastModifiedBy>
  <cp:revision>27</cp:revision>
  <cp:lastPrinted>2021-09-08T06:20:00Z</cp:lastPrinted>
  <dcterms:created xsi:type="dcterms:W3CDTF">2019-05-20T06:04:00Z</dcterms:created>
  <dcterms:modified xsi:type="dcterms:W3CDTF">2021-09-08T06:21:00Z</dcterms:modified>
</cp:coreProperties>
</file>