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5F" w:rsidRPr="00145E0F" w:rsidRDefault="0024525F" w:rsidP="003245E7">
      <w:pPr>
        <w:spacing w:after="0"/>
        <w:jc w:val="center"/>
        <w:rPr>
          <w:rFonts w:ascii="Times New Roman" w:hAnsi="Times New Roman"/>
          <w:b/>
          <w:sz w:val="24"/>
          <w:szCs w:val="24"/>
        </w:rPr>
      </w:pPr>
      <w:r w:rsidRPr="00145E0F">
        <w:rPr>
          <w:rFonts w:ascii="Times New Roman" w:hAnsi="Times New Roman"/>
          <w:b/>
          <w:sz w:val="24"/>
          <w:szCs w:val="24"/>
        </w:rPr>
        <w:t>Пояснительная записка</w:t>
      </w:r>
      <w:r w:rsidRPr="00145E0F">
        <w:rPr>
          <w:rFonts w:ascii="Times New Roman" w:hAnsi="Times New Roman"/>
          <w:b/>
          <w:sz w:val="24"/>
          <w:szCs w:val="24"/>
        </w:rPr>
        <w:br/>
        <w:t>к прогнозу социально–экономического развития городского округ Тольятти</w:t>
      </w:r>
      <w:r w:rsidR="00231E44">
        <w:rPr>
          <w:rFonts w:ascii="Times New Roman" w:hAnsi="Times New Roman"/>
          <w:b/>
          <w:sz w:val="24"/>
          <w:szCs w:val="24"/>
        </w:rPr>
        <w:br/>
      </w:r>
      <w:r w:rsidRPr="00145E0F">
        <w:rPr>
          <w:rFonts w:ascii="Times New Roman" w:hAnsi="Times New Roman"/>
          <w:b/>
          <w:sz w:val="24"/>
          <w:szCs w:val="24"/>
        </w:rPr>
        <w:t>на 20</w:t>
      </w:r>
      <w:r w:rsidR="004434AA" w:rsidRPr="00145E0F">
        <w:rPr>
          <w:rFonts w:ascii="Times New Roman" w:hAnsi="Times New Roman"/>
          <w:b/>
          <w:sz w:val="24"/>
          <w:szCs w:val="24"/>
        </w:rPr>
        <w:t>2</w:t>
      </w:r>
      <w:r w:rsidR="00A957A8" w:rsidRPr="00145E0F">
        <w:rPr>
          <w:rFonts w:ascii="Times New Roman" w:hAnsi="Times New Roman"/>
          <w:b/>
          <w:sz w:val="24"/>
          <w:szCs w:val="24"/>
        </w:rPr>
        <w:t>1</w:t>
      </w:r>
      <w:r w:rsidRPr="00145E0F">
        <w:rPr>
          <w:rFonts w:ascii="Times New Roman" w:hAnsi="Times New Roman"/>
          <w:b/>
          <w:sz w:val="24"/>
          <w:szCs w:val="24"/>
        </w:rPr>
        <w:t xml:space="preserve"> год и плановый период 20</w:t>
      </w:r>
      <w:r w:rsidR="009F367D" w:rsidRPr="00145E0F">
        <w:rPr>
          <w:rFonts w:ascii="Times New Roman" w:hAnsi="Times New Roman"/>
          <w:b/>
          <w:sz w:val="24"/>
          <w:szCs w:val="24"/>
        </w:rPr>
        <w:t>2</w:t>
      </w:r>
      <w:r w:rsidR="00A957A8" w:rsidRPr="00145E0F">
        <w:rPr>
          <w:rFonts w:ascii="Times New Roman" w:hAnsi="Times New Roman"/>
          <w:b/>
          <w:sz w:val="24"/>
          <w:szCs w:val="24"/>
        </w:rPr>
        <w:t>2</w:t>
      </w:r>
      <w:r w:rsidR="009F367D" w:rsidRPr="00145E0F">
        <w:rPr>
          <w:rFonts w:ascii="Times New Roman" w:hAnsi="Times New Roman"/>
          <w:b/>
          <w:sz w:val="24"/>
          <w:szCs w:val="24"/>
        </w:rPr>
        <w:t xml:space="preserve"> и</w:t>
      </w:r>
      <w:r w:rsidRPr="00145E0F">
        <w:rPr>
          <w:rFonts w:ascii="Times New Roman" w:hAnsi="Times New Roman"/>
          <w:b/>
          <w:sz w:val="24"/>
          <w:szCs w:val="24"/>
        </w:rPr>
        <w:t xml:space="preserve"> 20</w:t>
      </w:r>
      <w:r w:rsidR="00E22255" w:rsidRPr="00145E0F">
        <w:rPr>
          <w:rFonts w:ascii="Times New Roman" w:hAnsi="Times New Roman"/>
          <w:b/>
          <w:sz w:val="24"/>
          <w:szCs w:val="24"/>
        </w:rPr>
        <w:t>2</w:t>
      </w:r>
      <w:r w:rsidR="00A957A8" w:rsidRPr="00145E0F">
        <w:rPr>
          <w:rFonts w:ascii="Times New Roman" w:hAnsi="Times New Roman"/>
          <w:b/>
          <w:sz w:val="24"/>
          <w:szCs w:val="24"/>
        </w:rPr>
        <w:t>3</w:t>
      </w:r>
      <w:r w:rsidR="00E22255" w:rsidRPr="00145E0F">
        <w:rPr>
          <w:rFonts w:ascii="Times New Roman" w:hAnsi="Times New Roman"/>
          <w:b/>
          <w:sz w:val="24"/>
          <w:szCs w:val="24"/>
        </w:rPr>
        <w:t xml:space="preserve"> </w:t>
      </w:r>
      <w:r w:rsidRPr="00145E0F">
        <w:rPr>
          <w:rFonts w:ascii="Times New Roman" w:hAnsi="Times New Roman"/>
          <w:b/>
          <w:sz w:val="24"/>
          <w:szCs w:val="24"/>
        </w:rPr>
        <w:t>годов</w:t>
      </w:r>
    </w:p>
    <w:p w:rsidR="0024525F" w:rsidRPr="00145E0F" w:rsidRDefault="0024525F" w:rsidP="004272BD">
      <w:pPr>
        <w:spacing w:after="0"/>
        <w:ind w:firstLine="709"/>
        <w:jc w:val="both"/>
        <w:rPr>
          <w:rFonts w:ascii="Times New Roman" w:hAnsi="Times New Roman"/>
          <w:sz w:val="24"/>
          <w:szCs w:val="24"/>
        </w:rPr>
      </w:pPr>
    </w:p>
    <w:p w:rsidR="00C317CD" w:rsidRPr="00145E0F" w:rsidRDefault="005A052E" w:rsidP="00862ECD">
      <w:pPr>
        <w:spacing w:after="0"/>
        <w:ind w:firstLine="709"/>
        <w:jc w:val="both"/>
        <w:rPr>
          <w:rFonts w:ascii="Times New Roman" w:hAnsi="Times New Roman"/>
          <w:sz w:val="24"/>
          <w:szCs w:val="24"/>
        </w:rPr>
      </w:pPr>
      <w:r w:rsidRPr="00145E0F">
        <w:rPr>
          <w:rFonts w:ascii="Times New Roman" w:hAnsi="Times New Roman"/>
          <w:sz w:val="24"/>
          <w:szCs w:val="24"/>
        </w:rPr>
        <w:t>Прогноз социально-экономического развития городского округа Тольятти на 20</w:t>
      </w:r>
      <w:r w:rsidR="004434AA" w:rsidRPr="00145E0F">
        <w:rPr>
          <w:rFonts w:ascii="Times New Roman" w:hAnsi="Times New Roman"/>
          <w:sz w:val="24"/>
          <w:szCs w:val="24"/>
        </w:rPr>
        <w:t>2</w:t>
      </w:r>
      <w:r w:rsidR="00221389" w:rsidRPr="00145E0F">
        <w:rPr>
          <w:rFonts w:ascii="Times New Roman" w:hAnsi="Times New Roman"/>
          <w:sz w:val="24"/>
          <w:szCs w:val="24"/>
        </w:rPr>
        <w:t>1</w:t>
      </w:r>
      <w:r w:rsidRPr="00145E0F">
        <w:rPr>
          <w:rFonts w:ascii="Times New Roman" w:hAnsi="Times New Roman"/>
          <w:sz w:val="24"/>
          <w:szCs w:val="24"/>
        </w:rPr>
        <w:t xml:space="preserve"> год и плановый период 20</w:t>
      </w:r>
      <w:r w:rsidR="004434AA" w:rsidRPr="00145E0F">
        <w:rPr>
          <w:rFonts w:ascii="Times New Roman" w:hAnsi="Times New Roman"/>
          <w:sz w:val="24"/>
          <w:szCs w:val="24"/>
        </w:rPr>
        <w:t>2</w:t>
      </w:r>
      <w:r w:rsidR="00221389" w:rsidRPr="00145E0F">
        <w:rPr>
          <w:rFonts w:ascii="Times New Roman" w:hAnsi="Times New Roman"/>
          <w:sz w:val="24"/>
          <w:szCs w:val="24"/>
        </w:rPr>
        <w:t>2</w:t>
      </w:r>
      <w:r w:rsidR="009F367D" w:rsidRPr="00145E0F">
        <w:rPr>
          <w:rFonts w:ascii="Times New Roman" w:hAnsi="Times New Roman"/>
          <w:sz w:val="24"/>
          <w:szCs w:val="24"/>
        </w:rPr>
        <w:t xml:space="preserve"> и </w:t>
      </w:r>
      <w:r w:rsidRPr="00145E0F">
        <w:rPr>
          <w:rFonts w:ascii="Times New Roman" w:hAnsi="Times New Roman"/>
          <w:sz w:val="24"/>
          <w:szCs w:val="24"/>
        </w:rPr>
        <w:t>202</w:t>
      </w:r>
      <w:r w:rsidR="00221389" w:rsidRPr="00145E0F">
        <w:rPr>
          <w:rFonts w:ascii="Times New Roman" w:hAnsi="Times New Roman"/>
          <w:sz w:val="24"/>
          <w:szCs w:val="24"/>
        </w:rPr>
        <w:t>3</w:t>
      </w:r>
      <w:r w:rsidRPr="00145E0F">
        <w:rPr>
          <w:rFonts w:ascii="Times New Roman" w:hAnsi="Times New Roman"/>
          <w:sz w:val="24"/>
          <w:szCs w:val="24"/>
        </w:rPr>
        <w:t xml:space="preserve"> годов (далее - </w:t>
      </w:r>
      <w:r w:rsidR="00F17610" w:rsidRPr="00145E0F">
        <w:rPr>
          <w:rFonts w:ascii="Times New Roman" w:hAnsi="Times New Roman"/>
          <w:sz w:val="24"/>
          <w:szCs w:val="24"/>
        </w:rPr>
        <w:t>п</w:t>
      </w:r>
      <w:r w:rsidRPr="00145E0F">
        <w:rPr>
          <w:rFonts w:ascii="Times New Roman" w:hAnsi="Times New Roman"/>
          <w:sz w:val="24"/>
          <w:szCs w:val="24"/>
        </w:rPr>
        <w:t xml:space="preserve">рогноз) </w:t>
      </w:r>
      <w:r w:rsidR="00E11BE7" w:rsidRPr="00145E0F">
        <w:rPr>
          <w:rFonts w:ascii="Times New Roman" w:hAnsi="Times New Roman"/>
          <w:sz w:val="24"/>
          <w:szCs w:val="24"/>
        </w:rPr>
        <w:t xml:space="preserve">разработан в соответствии с </w:t>
      </w:r>
      <w:r w:rsidR="00FF7D48" w:rsidRPr="00FF7D48">
        <w:rPr>
          <w:rFonts w:ascii="Times New Roman" w:hAnsi="Times New Roman"/>
          <w:sz w:val="24"/>
          <w:szCs w:val="24"/>
        </w:rPr>
        <w:t>постановлением мэрии городского округа Тольятти Самарской области от 24.08.2015 №</w:t>
      </w:r>
      <w:r w:rsidR="00FF7D48">
        <w:rPr>
          <w:rFonts w:ascii="Times New Roman" w:hAnsi="Times New Roman"/>
          <w:sz w:val="24"/>
          <w:szCs w:val="24"/>
        </w:rPr>
        <w:t> </w:t>
      </w:r>
      <w:r w:rsidR="00FF7D48" w:rsidRPr="00FF7D48">
        <w:rPr>
          <w:rFonts w:ascii="Times New Roman" w:hAnsi="Times New Roman"/>
          <w:sz w:val="24"/>
          <w:szCs w:val="24"/>
        </w:rPr>
        <w:t xml:space="preserve">2742-п/1 (ред. от 27.09.2019) </w:t>
      </w:r>
      <w:r w:rsidR="00FF7D48">
        <w:rPr>
          <w:rFonts w:ascii="Times New Roman" w:hAnsi="Times New Roman"/>
          <w:sz w:val="24"/>
          <w:szCs w:val="24"/>
        </w:rPr>
        <w:t>«</w:t>
      </w:r>
      <w:r w:rsidR="00FF7D48" w:rsidRPr="00FF7D48">
        <w:rPr>
          <w:rFonts w:ascii="Times New Roman" w:hAnsi="Times New Roman"/>
          <w:sz w:val="24"/>
          <w:szCs w:val="24"/>
        </w:rPr>
        <w:t>Об утверждении Порядка разработки прогноза социально-экономического развития городского округа Тольятти на очередной финансовый год и на плановый период</w:t>
      </w:r>
      <w:r w:rsidR="00FF7D48">
        <w:rPr>
          <w:rFonts w:ascii="Times New Roman" w:hAnsi="Times New Roman"/>
          <w:sz w:val="24"/>
          <w:szCs w:val="24"/>
        </w:rPr>
        <w:t>»</w:t>
      </w:r>
      <w:r w:rsidR="00FF7D48">
        <w:rPr>
          <w:i/>
          <w:color w:val="0000FF"/>
          <w:sz w:val="20"/>
        </w:rPr>
        <w:t xml:space="preserve"> </w:t>
      </w:r>
      <w:r w:rsidR="00CC4504" w:rsidRPr="00CC4504">
        <w:rPr>
          <w:rFonts w:ascii="Times New Roman" w:hAnsi="Times New Roman"/>
          <w:sz w:val="24"/>
          <w:szCs w:val="24"/>
        </w:rPr>
        <w:t>и</w:t>
      </w:r>
      <w:r w:rsidR="00CC4504">
        <w:rPr>
          <w:i/>
          <w:color w:val="0000FF"/>
          <w:sz w:val="20"/>
        </w:rPr>
        <w:t xml:space="preserve"> </w:t>
      </w:r>
      <w:r w:rsidR="00E11BE7" w:rsidRPr="00145E0F">
        <w:rPr>
          <w:rFonts w:ascii="Times New Roman" w:hAnsi="Times New Roman"/>
          <w:sz w:val="24"/>
          <w:szCs w:val="24"/>
        </w:rPr>
        <w:t>на основе</w:t>
      </w:r>
      <w:r w:rsidRPr="00145E0F">
        <w:rPr>
          <w:rFonts w:ascii="Times New Roman" w:hAnsi="Times New Roman"/>
          <w:sz w:val="24"/>
          <w:szCs w:val="24"/>
        </w:rPr>
        <w:t xml:space="preserve"> </w:t>
      </w:r>
      <w:r w:rsidR="0085402B" w:rsidRPr="00145E0F">
        <w:rPr>
          <w:rFonts w:ascii="Times New Roman" w:hAnsi="Times New Roman"/>
          <w:sz w:val="24"/>
          <w:szCs w:val="24"/>
        </w:rPr>
        <w:t>С</w:t>
      </w:r>
      <w:r w:rsidRPr="00145E0F">
        <w:rPr>
          <w:rFonts w:ascii="Times New Roman" w:hAnsi="Times New Roman"/>
          <w:sz w:val="24"/>
          <w:szCs w:val="24"/>
        </w:rPr>
        <w:t xml:space="preserve">ценарных условий </w:t>
      </w:r>
      <w:r w:rsidR="00DC5297" w:rsidRPr="00145E0F">
        <w:rPr>
          <w:rFonts w:ascii="Times New Roman" w:hAnsi="Times New Roman"/>
          <w:sz w:val="24"/>
          <w:szCs w:val="24"/>
        </w:rPr>
        <w:t>социально-экономического развития</w:t>
      </w:r>
      <w:r w:rsidRPr="00145E0F">
        <w:rPr>
          <w:rFonts w:ascii="Times New Roman" w:hAnsi="Times New Roman"/>
          <w:sz w:val="24"/>
          <w:szCs w:val="24"/>
        </w:rPr>
        <w:t xml:space="preserve"> Самарской области</w:t>
      </w:r>
      <w:r w:rsidR="00DC5297" w:rsidRPr="00145E0F">
        <w:rPr>
          <w:rFonts w:ascii="Times New Roman" w:hAnsi="Times New Roman"/>
          <w:sz w:val="24"/>
          <w:szCs w:val="24"/>
        </w:rPr>
        <w:t xml:space="preserve"> на 20</w:t>
      </w:r>
      <w:r w:rsidR="00EB2EFA" w:rsidRPr="00145E0F">
        <w:rPr>
          <w:rFonts w:ascii="Times New Roman" w:hAnsi="Times New Roman"/>
          <w:sz w:val="24"/>
          <w:szCs w:val="24"/>
        </w:rPr>
        <w:t>2</w:t>
      </w:r>
      <w:r w:rsidR="00221389" w:rsidRPr="00145E0F">
        <w:rPr>
          <w:rFonts w:ascii="Times New Roman" w:hAnsi="Times New Roman"/>
          <w:sz w:val="24"/>
          <w:szCs w:val="24"/>
        </w:rPr>
        <w:t>1</w:t>
      </w:r>
      <w:r w:rsidR="00DC5297" w:rsidRPr="00145E0F">
        <w:rPr>
          <w:rFonts w:ascii="Times New Roman" w:hAnsi="Times New Roman"/>
          <w:sz w:val="24"/>
          <w:szCs w:val="24"/>
        </w:rPr>
        <w:t xml:space="preserve"> год и плановый период 20</w:t>
      </w:r>
      <w:r w:rsidR="00221389" w:rsidRPr="00145E0F">
        <w:rPr>
          <w:rFonts w:ascii="Times New Roman" w:hAnsi="Times New Roman"/>
          <w:sz w:val="24"/>
          <w:szCs w:val="24"/>
        </w:rPr>
        <w:t>22</w:t>
      </w:r>
      <w:r w:rsidR="00DC5297" w:rsidRPr="00145E0F">
        <w:rPr>
          <w:rFonts w:ascii="Times New Roman" w:hAnsi="Times New Roman"/>
          <w:sz w:val="24"/>
          <w:szCs w:val="24"/>
        </w:rPr>
        <w:t xml:space="preserve"> и 202</w:t>
      </w:r>
      <w:r w:rsidR="00221389" w:rsidRPr="00145E0F">
        <w:rPr>
          <w:rFonts w:ascii="Times New Roman" w:hAnsi="Times New Roman"/>
          <w:sz w:val="24"/>
          <w:szCs w:val="24"/>
        </w:rPr>
        <w:t>3</w:t>
      </w:r>
      <w:r w:rsidR="00DC5297" w:rsidRPr="00145E0F">
        <w:rPr>
          <w:rFonts w:ascii="Times New Roman" w:hAnsi="Times New Roman"/>
          <w:sz w:val="24"/>
          <w:szCs w:val="24"/>
        </w:rPr>
        <w:t xml:space="preserve"> годов</w:t>
      </w:r>
      <w:r w:rsidR="0085402B" w:rsidRPr="00145E0F">
        <w:rPr>
          <w:rFonts w:ascii="Times New Roman" w:hAnsi="Times New Roman"/>
          <w:sz w:val="24"/>
          <w:szCs w:val="24"/>
        </w:rPr>
        <w:t>,</w:t>
      </w:r>
      <w:r w:rsidR="00C317CD" w:rsidRPr="00145E0F">
        <w:rPr>
          <w:rFonts w:ascii="Times New Roman" w:hAnsi="Times New Roman"/>
          <w:sz w:val="24"/>
          <w:szCs w:val="24"/>
        </w:rPr>
        <w:t xml:space="preserve"> </w:t>
      </w:r>
      <w:r w:rsidR="004A3EE1" w:rsidRPr="00145E0F">
        <w:rPr>
          <w:rFonts w:ascii="Times New Roman" w:hAnsi="Times New Roman"/>
          <w:sz w:val="24"/>
          <w:szCs w:val="24"/>
        </w:rPr>
        <w:t>разработанных</w:t>
      </w:r>
      <w:r w:rsidR="00E62254" w:rsidRPr="00145E0F">
        <w:rPr>
          <w:rFonts w:ascii="Times New Roman" w:hAnsi="Times New Roman"/>
          <w:sz w:val="24"/>
          <w:szCs w:val="24"/>
        </w:rPr>
        <w:t xml:space="preserve"> Министерством экономического развития и инвестиций Самарской области</w:t>
      </w:r>
      <w:r w:rsidR="0053652E" w:rsidRPr="00145E0F">
        <w:rPr>
          <w:rFonts w:ascii="Times New Roman" w:hAnsi="Times New Roman"/>
          <w:sz w:val="24"/>
          <w:szCs w:val="24"/>
        </w:rPr>
        <w:t xml:space="preserve"> (далее – Сценарные условия Самарской области)</w:t>
      </w:r>
      <w:r w:rsidR="00E62254" w:rsidRPr="00145E0F">
        <w:rPr>
          <w:rFonts w:ascii="Times New Roman" w:hAnsi="Times New Roman"/>
          <w:sz w:val="24"/>
          <w:szCs w:val="24"/>
        </w:rPr>
        <w:t xml:space="preserve">, </w:t>
      </w:r>
      <w:r w:rsidR="00CC4504">
        <w:rPr>
          <w:rFonts w:ascii="Times New Roman" w:hAnsi="Times New Roman"/>
          <w:sz w:val="24"/>
          <w:szCs w:val="24"/>
        </w:rPr>
        <w:t xml:space="preserve">а также </w:t>
      </w:r>
      <w:r w:rsidR="00C317CD" w:rsidRPr="00145E0F">
        <w:rPr>
          <w:rFonts w:ascii="Times New Roman" w:hAnsi="Times New Roman"/>
          <w:sz w:val="24"/>
          <w:szCs w:val="24"/>
        </w:rPr>
        <w:t>с учетом Предварительных итогов социально – экономического развития городского округа Тольятти за 1 полугодие 20</w:t>
      </w:r>
      <w:r w:rsidR="00221389" w:rsidRPr="00145E0F">
        <w:rPr>
          <w:rFonts w:ascii="Times New Roman" w:hAnsi="Times New Roman"/>
          <w:sz w:val="24"/>
          <w:szCs w:val="24"/>
        </w:rPr>
        <w:t>20</w:t>
      </w:r>
      <w:r w:rsidR="00C317CD" w:rsidRPr="00145E0F">
        <w:rPr>
          <w:rFonts w:ascii="Times New Roman" w:hAnsi="Times New Roman"/>
          <w:sz w:val="24"/>
          <w:szCs w:val="24"/>
        </w:rPr>
        <w:t xml:space="preserve"> года и ожидаемых итогов социально – экономического развития городского округа Тольятти за 20</w:t>
      </w:r>
      <w:r w:rsidR="00221389" w:rsidRPr="00145E0F">
        <w:rPr>
          <w:rFonts w:ascii="Times New Roman" w:hAnsi="Times New Roman"/>
          <w:sz w:val="24"/>
          <w:szCs w:val="24"/>
        </w:rPr>
        <w:t>20</w:t>
      </w:r>
      <w:r w:rsidR="00C317CD" w:rsidRPr="00145E0F">
        <w:rPr>
          <w:rFonts w:ascii="Times New Roman" w:hAnsi="Times New Roman"/>
          <w:sz w:val="24"/>
          <w:szCs w:val="24"/>
        </w:rPr>
        <w:t xml:space="preserve"> год.</w:t>
      </w:r>
    </w:p>
    <w:p w:rsidR="00221389" w:rsidRPr="00145E0F" w:rsidRDefault="00221389"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Прогноз разработан исходя из стратегических задач, сформулированных в Указе Президента Российской Федерации от </w:t>
      </w:r>
      <w:r w:rsidR="00CC4504">
        <w:rPr>
          <w:rFonts w:ascii="Times New Roman" w:hAnsi="Times New Roman"/>
          <w:sz w:val="24"/>
          <w:szCs w:val="24"/>
        </w:rPr>
        <w:t>07.05.2018 № 204</w:t>
      </w:r>
      <w:r w:rsidRPr="00145E0F">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sidR="00CE0AC9" w:rsidRPr="00145E0F">
        <w:rPr>
          <w:rFonts w:ascii="Times New Roman" w:hAnsi="Times New Roman"/>
          <w:sz w:val="24"/>
          <w:szCs w:val="24"/>
        </w:rPr>
        <w:t>15</w:t>
      </w:r>
      <w:r w:rsidRPr="00145E0F">
        <w:rPr>
          <w:rFonts w:ascii="Times New Roman" w:hAnsi="Times New Roman"/>
          <w:sz w:val="24"/>
          <w:szCs w:val="24"/>
        </w:rPr>
        <w:t xml:space="preserve"> </w:t>
      </w:r>
      <w:r w:rsidR="00CE0AC9" w:rsidRPr="00145E0F">
        <w:rPr>
          <w:rFonts w:ascii="Times New Roman" w:hAnsi="Times New Roman"/>
          <w:sz w:val="24"/>
          <w:szCs w:val="24"/>
        </w:rPr>
        <w:t>января</w:t>
      </w:r>
      <w:r w:rsidRPr="00145E0F">
        <w:rPr>
          <w:rFonts w:ascii="Times New Roman" w:hAnsi="Times New Roman"/>
          <w:sz w:val="24"/>
          <w:szCs w:val="24"/>
        </w:rPr>
        <w:t xml:space="preserve"> 20</w:t>
      </w:r>
      <w:r w:rsidR="00CE0AC9" w:rsidRPr="00145E0F">
        <w:rPr>
          <w:rFonts w:ascii="Times New Roman" w:hAnsi="Times New Roman"/>
          <w:sz w:val="24"/>
          <w:szCs w:val="24"/>
        </w:rPr>
        <w:t>20</w:t>
      </w:r>
      <w:r w:rsidRPr="00145E0F">
        <w:rPr>
          <w:rFonts w:ascii="Times New Roman" w:hAnsi="Times New Roman"/>
          <w:sz w:val="24"/>
          <w:szCs w:val="24"/>
        </w:rPr>
        <w:t xml:space="preserve"> года и Послания Губернатора Самарской области от </w:t>
      </w:r>
      <w:r w:rsidR="00CE0AC9" w:rsidRPr="00145E0F">
        <w:rPr>
          <w:rFonts w:ascii="Times New Roman" w:hAnsi="Times New Roman"/>
          <w:sz w:val="24"/>
          <w:szCs w:val="24"/>
        </w:rPr>
        <w:t>03</w:t>
      </w:r>
      <w:r w:rsidRPr="00145E0F">
        <w:rPr>
          <w:rFonts w:ascii="Times New Roman" w:hAnsi="Times New Roman"/>
          <w:sz w:val="24"/>
          <w:szCs w:val="24"/>
        </w:rPr>
        <w:t xml:space="preserve"> марта 20</w:t>
      </w:r>
      <w:r w:rsidR="00CE0AC9" w:rsidRPr="00145E0F">
        <w:rPr>
          <w:rFonts w:ascii="Times New Roman" w:hAnsi="Times New Roman"/>
          <w:sz w:val="24"/>
          <w:szCs w:val="24"/>
        </w:rPr>
        <w:t>20</w:t>
      </w:r>
      <w:r w:rsidRPr="00145E0F">
        <w:rPr>
          <w:rFonts w:ascii="Times New Roman" w:hAnsi="Times New Roman"/>
          <w:sz w:val="24"/>
          <w:szCs w:val="24"/>
        </w:rPr>
        <w:t xml:space="preserve"> года, документов стратегического планирования, утвержденных на федеральном, региональном и местном уровне.</w:t>
      </w:r>
    </w:p>
    <w:p w:rsidR="00221389" w:rsidRPr="00145E0F" w:rsidRDefault="00221389"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Основные параметры прогноза </w:t>
      </w:r>
      <w:r w:rsidR="00A8793C">
        <w:rPr>
          <w:rFonts w:ascii="Times New Roman" w:hAnsi="Times New Roman"/>
          <w:sz w:val="24"/>
          <w:szCs w:val="24"/>
        </w:rPr>
        <w:t xml:space="preserve">городского округа Тольятти </w:t>
      </w:r>
      <w:r w:rsidRPr="00145E0F">
        <w:rPr>
          <w:rFonts w:ascii="Times New Roman" w:hAnsi="Times New Roman"/>
          <w:sz w:val="24"/>
          <w:szCs w:val="24"/>
        </w:rPr>
        <w:t xml:space="preserve">согласно Сценарным </w:t>
      </w:r>
      <w:r w:rsidR="00A8793C">
        <w:rPr>
          <w:rFonts w:ascii="Times New Roman" w:hAnsi="Times New Roman"/>
          <w:sz w:val="24"/>
          <w:szCs w:val="24"/>
        </w:rPr>
        <w:t>ус</w:t>
      </w:r>
      <w:r w:rsidRPr="00145E0F">
        <w:rPr>
          <w:rFonts w:ascii="Times New Roman" w:hAnsi="Times New Roman"/>
          <w:sz w:val="24"/>
          <w:szCs w:val="24"/>
        </w:rPr>
        <w:t>ловиям Самарской области разработаны в двух вариантах – консервативном и базовом.</w:t>
      </w:r>
    </w:p>
    <w:p w:rsidR="00221389" w:rsidRPr="00145E0F" w:rsidRDefault="00221389" w:rsidP="00862ECD">
      <w:pPr>
        <w:spacing w:after="0"/>
        <w:ind w:firstLine="720"/>
        <w:jc w:val="both"/>
        <w:rPr>
          <w:rFonts w:ascii="Times New Roman" w:hAnsi="Times New Roman"/>
          <w:bCs/>
          <w:sz w:val="24"/>
          <w:szCs w:val="24"/>
        </w:rPr>
      </w:pPr>
      <w:r w:rsidRPr="00145E0F">
        <w:rPr>
          <w:rFonts w:ascii="Times New Roman" w:hAnsi="Times New Roman"/>
          <w:sz w:val="24"/>
          <w:szCs w:val="24"/>
        </w:rPr>
        <w:t>Отличия по вариантам состоят в р</w:t>
      </w:r>
      <w:r w:rsidRPr="00145E0F">
        <w:rPr>
          <w:rFonts w:ascii="Times New Roman" w:hAnsi="Times New Roman"/>
          <w:bCs/>
          <w:sz w:val="24"/>
          <w:szCs w:val="24"/>
        </w:rPr>
        <w:t>азличной степен</w:t>
      </w:r>
      <w:r w:rsidR="00706DC6" w:rsidRPr="00145E0F">
        <w:rPr>
          <w:rFonts w:ascii="Times New Roman" w:hAnsi="Times New Roman"/>
          <w:bCs/>
          <w:sz w:val="24"/>
          <w:szCs w:val="24"/>
        </w:rPr>
        <w:t>и</w:t>
      </w:r>
      <w:r w:rsidRPr="00145E0F">
        <w:rPr>
          <w:rFonts w:ascii="Times New Roman" w:hAnsi="Times New Roman"/>
          <w:bCs/>
          <w:sz w:val="24"/>
          <w:szCs w:val="24"/>
        </w:rPr>
        <w:t xml:space="preserve"> влияния последствий распространения коронавирусной инфекции</w:t>
      </w:r>
      <w:r w:rsidRPr="00145E0F">
        <w:rPr>
          <w:rFonts w:ascii="Times New Roman" w:hAnsi="Times New Roman"/>
          <w:sz w:val="24"/>
          <w:szCs w:val="24"/>
        </w:rPr>
        <w:t xml:space="preserve"> на экономику </w:t>
      </w:r>
      <w:r w:rsidR="00CC4504">
        <w:rPr>
          <w:rFonts w:ascii="Times New Roman" w:hAnsi="Times New Roman"/>
          <w:sz w:val="24"/>
          <w:szCs w:val="24"/>
        </w:rPr>
        <w:t>городского округа</w:t>
      </w:r>
      <w:r w:rsidR="00AC0D52">
        <w:rPr>
          <w:rFonts w:ascii="Times New Roman" w:hAnsi="Times New Roman"/>
          <w:sz w:val="24"/>
          <w:szCs w:val="24"/>
        </w:rPr>
        <w:t xml:space="preserve"> Тольятти </w:t>
      </w:r>
      <w:r w:rsidRPr="00145E0F">
        <w:rPr>
          <w:rFonts w:ascii="Times New Roman" w:hAnsi="Times New Roman"/>
          <w:sz w:val="24"/>
          <w:szCs w:val="24"/>
        </w:rPr>
        <w:t xml:space="preserve">и различной скоростью выхода экономики </w:t>
      </w:r>
      <w:r w:rsidR="00CC4504">
        <w:rPr>
          <w:rFonts w:ascii="Times New Roman" w:hAnsi="Times New Roman"/>
          <w:sz w:val="24"/>
          <w:szCs w:val="24"/>
        </w:rPr>
        <w:t xml:space="preserve">городского </w:t>
      </w:r>
      <w:r w:rsidR="00AC0D52">
        <w:rPr>
          <w:rFonts w:ascii="Times New Roman" w:hAnsi="Times New Roman"/>
          <w:sz w:val="24"/>
          <w:szCs w:val="24"/>
        </w:rPr>
        <w:t>округа Тольятти</w:t>
      </w:r>
      <w:r w:rsidRPr="00145E0F">
        <w:rPr>
          <w:rFonts w:ascii="Times New Roman" w:hAnsi="Times New Roman"/>
          <w:sz w:val="24"/>
          <w:szCs w:val="24"/>
        </w:rPr>
        <w:t xml:space="preserve"> из кризиса и перехода на ее посткризисное восстановление</w:t>
      </w:r>
      <w:r w:rsidR="00706DC6" w:rsidRPr="00145E0F">
        <w:rPr>
          <w:rFonts w:ascii="Times New Roman" w:hAnsi="Times New Roman"/>
          <w:sz w:val="24"/>
          <w:szCs w:val="24"/>
        </w:rPr>
        <w:t>,</w:t>
      </w:r>
      <w:r w:rsidRPr="00145E0F">
        <w:rPr>
          <w:rFonts w:ascii="Times New Roman" w:hAnsi="Times New Roman"/>
          <w:bCs/>
          <w:sz w:val="24"/>
          <w:szCs w:val="24"/>
        </w:rPr>
        <w:t xml:space="preserve"> масштабностью и эффективностью предпринимаемых государственных антикризисных мер по обеспечению устойчивого развития экономики и социальной стабильности. </w:t>
      </w:r>
    </w:p>
    <w:p w:rsidR="00221389" w:rsidRPr="00145E0F" w:rsidRDefault="00221389" w:rsidP="00862ECD">
      <w:pPr>
        <w:spacing w:after="0"/>
        <w:ind w:firstLine="684"/>
        <w:jc w:val="both"/>
        <w:rPr>
          <w:rFonts w:ascii="Times New Roman" w:hAnsi="Times New Roman"/>
          <w:bCs/>
          <w:sz w:val="24"/>
          <w:szCs w:val="24"/>
        </w:rPr>
      </w:pPr>
      <w:r w:rsidRPr="00145E0F">
        <w:rPr>
          <w:rFonts w:ascii="Times New Roman" w:hAnsi="Times New Roman"/>
          <w:bCs/>
          <w:sz w:val="24"/>
          <w:szCs w:val="24"/>
        </w:rPr>
        <w:t xml:space="preserve">Оба варианта сценарных условий исходят из того, что социально-экономическое развитие в среднесрочной перспективе будет определяться не только экономическими, но и эпидемиологическими факторами и в связи с этим характеризуется повышенной степенью неопределенности. Базовый вариант основан на предпосылке о более благоприятной санитарно-эпидемиологической ситуации по сравнению с консервативным вариантом. </w:t>
      </w:r>
    </w:p>
    <w:p w:rsidR="00221389" w:rsidRPr="00145E0F" w:rsidRDefault="00221389" w:rsidP="00862ECD">
      <w:pPr>
        <w:spacing w:after="0"/>
        <w:ind w:firstLine="709"/>
        <w:jc w:val="both"/>
        <w:rPr>
          <w:rFonts w:ascii="Times New Roman" w:hAnsi="Times New Roman"/>
          <w:sz w:val="24"/>
          <w:szCs w:val="24"/>
        </w:rPr>
      </w:pPr>
      <w:r w:rsidRPr="00145E0F">
        <w:rPr>
          <w:rFonts w:ascii="Times New Roman" w:hAnsi="Times New Roman"/>
          <w:bCs/>
          <w:sz w:val="24"/>
          <w:szCs w:val="24"/>
        </w:rPr>
        <w:t xml:space="preserve">Оба варианта развития базируются на единых целях и приоритетах государственной социально-экономической политики по выходу экономики на траекторию устойчивого развития, обеспечивающую реализацию национальных целей, но </w:t>
      </w:r>
      <w:r w:rsidRPr="00145E0F">
        <w:rPr>
          <w:rFonts w:ascii="Times New Roman" w:hAnsi="Times New Roman"/>
          <w:sz w:val="24"/>
          <w:szCs w:val="24"/>
        </w:rPr>
        <w:t xml:space="preserve">степень их достижения будет различной. Базовый вариант развития исходит из предпосылок полной реализации мер, направленных на восстановление экономики и обеспечение устойчивого экономического роста и социальной стабильности. Консервативный вариант предполагает наличие рисков не достижения поставленных задач. </w:t>
      </w:r>
    </w:p>
    <w:p w:rsidR="00706DC6" w:rsidRPr="00145E0F" w:rsidRDefault="00F17610" w:rsidP="00862ECD">
      <w:pPr>
        <w:spacing w:after="0"/>
        <w:ind w:firstLine="709"/>
        <w:jc w:val="both"/>
        <w:rPr>
          <w:rFonts w:ascii="Times New Roman" w:hAnsi="Times New Roman"/>
          <w:sz w:val="24"/>
          <w:szCs w:val="24"/>
        </w:rPr>
      </w:pPr>
      <w:r w:rsidRPr="00145E0F">
        <w:rPr>
          <w:rFonts w:ascii="Times New Roman" w:hAnsi="Times New Roman"/>
          <w:sz w:val="24"/>
          <w:szCs w:val="24"/>
        </w:rPr>
        <w:lastRenderedPageBreak/>
        <w:t>С</w:t>
      </w:r>
      <w:r w:rsidR="00706DC6" w:rsidRPr="00145E0F">
        <w:rPr>
          <w:rFonts w:ascii="Times New Roman" w:hAnsi="Times New Roman"/>
          <w:sz w:val="24"/>
          <w:szCs w:val="24"/>
        </w:rPr>
        <w:t xml:space="preserve">оциально-экономическое развитие </w:t>
      </w:r>
      <w:r w:rsidR="00CC4504">
        <w:rPr>
          <w:rFonts w:ascii="Times New Roman" w:hAnsi="Times New Roman"/>
          <w:sz w:val="24"/>
          <w:szCs w:val="24"/>
        </w:rPr>
        <w:t xml:space="preserve">городского </w:t>
      </w:r>
      <w:r w:rsidR="00AC0D52">
        <w:rPr>
          <w:rFonts w:ascii="Times New Roman" w:hAnsi="Times New Roman"/>
          <w:sz w:val="24"/>
          <w:szCs w:val="24"/>
        </w:rPr>
        <w:t>округа Тольятти</w:t>
      </w:r>
      <w:r w:rsidR="00706DC6" w:rsidRPr="00145E0F">
        <w:rPr>
          <w:rFonts w:ascii="Times New Roman" w:hAnsi="Times New Roman"/>
          <w:sz w:val="24"/>
          <w:szCs w:val="24"/>
        </w:rPr>
        <w:t xml:space="preserve"> в большей степени будут определять внутренние факторы: демографические тенденции, состояние рынка труда, уровень жизни населения и развитие человеческого капитала, эффективность использования экономического потенциала, инвестиционная активность, развитие малого и среднего предпринимательства, поддержка конкурентной среды, развитие инфраструктуры, </w:t>
      </w:r>
      <w:proofErr w:type="spellStart"/>
      <w:r w:rsidR="00706DC6" w:rsidRPr="00145E0F">
        <w:rPr>
          <w:rFonts w:ascii="Times New Roman" w:hAnsi="Times New Roman"/>
          <w:sz w:val="24"/>
          <w:szCs w:val="24"/>
        </w:rPr>
        <w:t>цифровизация</w:t>
      </w:r>
      <w:proofErr w:type="spellEnd"/>
      <w:r w:rsidR="00706DC6" w:rsidRPr="00145E0F">
        <w:rPr>
          <w:rFonts w:ascii="Times New Roman" w:hAnsi="Times New Roman"/>
          <w:sz w:val="24"/>
          <w:szCs w:val="24"/>
        </w:rPr>
        <w:t xml:space="preserve"> экономики, развитие импортозамещения, эффективность государственной антикризисной политики и другие факторы. </w:t>
      </w:r>
    </w:p>
    <w:p w:rsidR="00C905CE" w:rsidRPr="00145E0F" w:rsidRDefault="00C905CE" w:rsidP="00862ECD">
      <w:pPr>
        <w:widowControl w:val="0"/>
        <w:suppressAutoHyphens/>
        <w:spacing w:after="0"/>
        <w:ind w:firstLine="708"/>
        <w:jc w:val="both"/>
        <w:rPr>
          <w:rFonts w:ascii="Times New Roman" w:hAnsi="Times New Roman"/>
          <w:sz w:val="24"/>
          <w:szCs w:val="24"/>
        </w:rPr>
      </w:pPr>
      <w:r w:rsidRPr="00145E0F">
        <w:rPr>
          <w:rFonts w:ascii="Times New Roman" w:hAnsi="Times New Roman"/>
          <w:bCs/>
          <w:sz w:val="24"/>
          <w:szCs w:val="24"/>
        </w:rPr>
        <w:t xml:space="preserve">В прогнозном периоде ожидается постепенное восстановление экономики </w:t>
      </w:r>
      <w:r w:rsidR="00CC4504">
        <w:rPr>
          <w:rFonts w:ascii="Times New Roman" w:hAnsi="Times New Roman"/>
          <w:bCs/>
          <w:sz w:val="24"/>
          <w:szCs w:val="24"/>
        </w:rPr>
        <w:t xml:space="preserve">городского </w:t>
      </w:r>
      <w:r w:rsidR="00AC0D52">
        <w:rPr>
          <w:rFonts w:ascii="Times New Roman" w:hAnsi="Times New Roman"/>
          <w:bCs/>
          <w:sz w:val="24"/>
          <w:szCs w:val="24"/>
        </w:rPr>
        <w:t>округа Тольятти</w:t>
      </w:r>
      <w:r w:rsidRPr="00145E0F">
        <w:rPr>
          <w:rFonts w:ascii="Times New Roman" w:hAnsi="Times New Roman"/>
          <w:bCs/>
          <w:sz w:val="24"/>
          <w:szCs w:val="24"/>
        </w:rPr>
        <w:t xml:space="preserve"> вследствие улучшения ситуации в реальном секторе экономике, активизации экономической деятельности в пострадавших от распространения коронавирусной инфекции отраслях промышленности, транспорта, сферы услуг, восстановления и развития деятельности сектора малого и среднего предпринимательства, инвестиционного спроса, возобновления роста реальных доходов населения, занятости и платежеспособного спроса домашних хозяйств. </w:t>
      </w:r>
    </w:p>
    <w:p w:rsidR="00C905CE" w:rsidRPr="00145E0F" w:rsidRDefault="00C905CE" w:rsidP="00862ECD">
      <w:pPr>
        <w:widowControl w:val="0"/>
        <w:suppressAutoHyphens/>
        <w:spacing w:after="0"/>
        <w:ind w:firstLine="708"/>
        <w:jc w:val="both"/>
        <w:rPr>
          <w:rFonts w:ascii="Times New Roman" w:hAnsi="Times New Roman"/>
          <w:color w:val="000000"/>
          <w:sz w:val="24"/>
          <w:szCs w:val="24"/>
        </w:rPr>
      </w:pPr>
      <w:r w:rsidRPr="00145E0F">
        <w:rPr>
          <w:rFonts w:ascii="Times New Roman" w:hAnsi="Times New Roman"/>
          <w:color w:val="000000"/>
          <w:sz w:val="24"/>
          <w:szCs w:val="24"/>
        </w:rPr>
        <w:t xml:space="preserve">Ключевые возможности по стабилизации экономики и ускорению экономического роста будут связаны с реализацией национальных проектов, обеспечивающих восстановление занятости и доходов населения, рост экономики и долгосрочные структурные изменения. </w:t>
      </w:r>
    </w:p>
    <w:p w:rsidR="00CE0AC9" w:rsidRPr="00145E0F" w:rsidRDefault="00CE0AC9" w:rsidP="00862ECD">
      <w:pPr>
        <w:tabs>
          <w:tab w:val="left" w:pos="8208"/>
        </w:tabs>
        <w:spacing w:after="0"/>
        <w:ind w:firstLine="720"/>
        <w:jc w:val="both"/>
        <w:rPr>
          <w:rFonts w:ascii="Times New Roman" w:hAnsi="Times New Roman"/>
          <w:sz w:val="24"/>
          <w:szCs w:val="24"/>
        </w:rPr>
      </w:pPr>
      <w:r w:rsidRPr="00145E0F">
        <w:rPr>
          <w:rFonts w:ascii="Times New Roman" w:hAnsi="Times New Roman"/>
          <w:sz w:val="24"/>
          <w:szCs w:val="24"/>
        </w:rPr>
        <w:t xml:space="preserve">Основными ограничениями экономического роста в 2021 – 2023 годах могут стать ограничения, направленные на борьбу с распространением новой коронавирусной инфекции, внешние риски (рецессия мировой экономики, нестабильность на мировых рынках, усиление конкуренции на мировых и внутренних рынках, сохранение разрывов в глобальных цепочках создания добавленной стоимости),  недостаточные темпы роста производительности труда, масштабы теневой экономики, риски снижения конкурентоспособности продукции региональных товаропроизводителей, нехватка финансовых ресурсов, направляемых на инвестирование, в том числе бюджетных, высокая степень износа основных фондов, недостаточная инновационная активность, структурные диспропорции профессионально-квалификационного состава работников и другие факторы. </w:t>
      </w:r>
    </w:p>
    <w:p w:rsidR="001E11C3" w:rsidRPr="00145E0F" w:rsidRDefault="001E11C3" w:rsidP="000343FC">
      <w:pPr>
        <w:suppressAutoHyphens/>
        <w:spacing w:before="120" w:after="0"/>
        <w:ind w:firstLine="709"/>
        <w:jc w:val="both"/>
        <w:rPr>
          <w:rFonts w:ascii="Times New Roman" w:hAnsi="Times New Roman"/>
          <w:sz w:val="24"/>
          <w:szCs w:val="24"/>
        </w:rPr>
      </w:pPr>
      <w:r w:rsidRPr="00145E0F">
        <w:rPr>
          <w:rFonts w:ascii="Times New Roman" w:hAnsi="Times New Roman"/>
          <w:sz w:val="24"/>
          <w:szCs w:val="24"/>
        </w:rPr>
        <w:t>В качестве основного варианта для разработки параметров бюджета городского округа Тольятти на 2021 год и плановый период 2022 и 2023 годов предлагается базовый вариант прогноза.</w:t>
      </w:r>
    </w:p>
    <w:p w:rsidR="00D23964" w:rsidRPr="00E0127F" w:rsidRDefault="00D23964" w:rsidP="000343FC">
      <w:pPr>
        <w:pStyle w:val="1"/>
        <w:spacing w:before="120" w:after="240"/>
        <w:jc w:val="center"/>
        <w:rPr>
          <w:rFonts w:ascii="Times New Roman" w:hAnsi="Times New Roman" w:cs="Times New Roman"/>
          <w:b/>
          <w:color w:val="auto"/>
          <w:sz w:val="24"/>
          <w:szCs w:val="24"/>
        </w:rPr>
      </w:pPr>
      <w:r w:rsidRPr="00E0127F">
        <w:rPr>
          <w:rFonts w:ascii="Times New Roman" w:hAnsi="Times New Roman" w:cs="Times New Roman"/>
          <w:b/>
          <w:color w:val="auto"/>
          <w:sz w:val="24"/>
          <w:szCs w:val="24"/>
        </w:rPr>
        <w:t>Показатели инфляции</w:t>
      </w:r>
      <w:bookmarkStart w:id="0" w:name="инфляция"/>
      <w:bookmarkEnd w:id="0"/>
    </w:p>
    <w:p w:rsidR="00A23191" w:rsidRPr="00145E0F" w:rsidRDefault="00A23191"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 xml:space="preserve">Согласно Сценарным условиям </w:t>
      </w:r>
      <w:r w:rsidR="00B9397F" w:rsidRPr="00145E0F">
        <w:rPr>
          <w:rFonts w:ascii="Times New Roman" w:hAnsi="Times New Roman"/>
          <w:sz w:val="24"/>
          <w:szCs w:val="24"/>
          <w:lang w:eastAsia="ar-SA"/>
        </w:rPr>
        <w:t>Самарской области</w:t>
      </w:r>
      <w:r w:rsidRPr="00145E0F">
        <w:rPr>
          <w:rFonts w:ascii="Times New Roman" w:hAnsi="Times New Roman"/>
          <w:sz w:val="24"/>
          <w:szCs w:val="24"/>
          <w:lang w:eastAsia="ar-SA"/>
        </w:rPr>
        <w:t xml:space="preserve"> </w:t>
      </w:r>
      <w:r w:rsidR="00B9397F" w:rsidRPr="00145E0F">
        <w:rPr>
          <w:rFonts w:ascii="Times New Roman" w:hAnsi="Times New Roman"/>
          <w:sz w:val="24"/>
          <w:szCs w:val="24"/>
          <w:lang w:eastAsia="ar-SA"/>
        </w:rPr>
        <w:t>п</w:t>
      </w:r>
      <w:r w:rsidRPr="00145E0F">
        <w:rPr>
          <w:rFonts w:ascii="Times New Roman" w:hAnsi="Times New Roman"/>
          <w:sz w:val="24"/>
          <w:szCs w:val="24"/>
          <w:lang w:eastAsia="ar-SA"/>
        </w:rPr>
        <w:t>о консервативному варианту прогноза уровень инфляции в 2021 году составит 103,5% к декабрю 2020 года (104,0% среднегодовой) вследствие более слабого курса рубля и увеличения материальных издержек, особенно в видах экономической деятельности с высокой импортозависимостью при одновременном сдерживании затрат на оплату труда. С 2022 года уровень инфляции планируется на уровне базового варианта - 104,0% к декабрю предыдущего года, также и среднегодовой.</w:t>
      </w:r>
    </w:p>
    <w:p w:rsidR="00A23191" w:rsidRPr="00145E0F" w:rsidRDefault="00A23191"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 xml:space="preserve">По базовому варианту развития в 2021 году ожидается рост индекса потребительских цен </w:t>
      </w:r>
      <w:r w:rsidRPr="00742143">
        <w:rPr>
          <w:rFonts w:ascii="Times New Roman" w:hAnsi="Times New Roman"/>
          <w:sz w:val="24"/>
          <w:szCs w:val="24"/>
          <w:lang w:eastAsia="ar-SA"/>
        </w:rPr>
        <w:t>до 103,</w:t>
      </w:r>
      <w:r w:rsidR="00742143">
        <w:rPr>
          <w:rFonts w:ascii="Times New Roman" w:hAnsi="Times New Roman"/>
          <w:sz w:val="24"/>
          <w:szCs w:val="24"/>
          <w:lang w:eastAsia="ar-SA"/>
        </w:rPr>
        <w:t>6</w:t>
      </w:r>
      <w:r w:rsidRPr="00145E0F">
        <w:rPr>
          <w:rFonts w:ascii="Times New Roman" w:hAnsi="Times New Roman"/>
          <w:sz w:val="24"/>
          <w:szCs w:val="24"/>
          <w:lang w:eastAsia="ar-SA"/>
        </w:rPr>
        <w:t>% (104,0% среднегодовой), а с 2022 года показатель прогнозируется на уровне 104,0% (среднегодовой на том же уровне)</w:t>
      </w:r>
    </w:p>
    <w:p w:rsidR="00F31877" w:rsidRPr="00145E0F" w:rsidRDefault="00F31877"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lastRenderedPageBreak/>
        <w:t>В соответствии со Сценарными условиями Самарской области индексация регулируемых тарифов сетевых организаций для всех категорий потребителей, исключая население, с 1 июля 2021 года составит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2022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2023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Дополнительный рост на регулируемые тарифы сетевых организаций может оказать инвестиционная составляющая.</w:t>
      </w:r>
    </w:p>
    <w:p w:rsidR="00F31877" w:rsidRPr="00145E0F" w:rsidRDefault="00F31877"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Индексация тарифов на электрическую энергию для населения с 1 июля 2021 года составит 5</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2022 года – 5</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2023 года – 5</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Однако, учитывая методику расчета тарифов на электрическую энергию для населения, рост тарифов, дифференцированных по зонам суток, может превышать указанные значения.</w:t>
      </w:r>
    </w:p>
    <w:p w:rsidR="00F31877" w:rsidRPr="00145E0F" w:rsidRDefault="00F31877"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Рост тарифов на тепловую энергию по регулируемым периодам составит с 1 июля 2021 года – 4</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2022 года – 4</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2023 года – 4</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xml:space="preserve">%. Дополнительными факторами </w:t>
      </w:r>
      <w:proofErr w:type="spellStart"/>
      <w:r w:rsidRPr="00145E0F">
        <w:rPr>
          <w:rFonts w:ascii="Times New Roman" w:hAnsi="Times New Roman"/>
          <w:sz w:val="24"/>
          <w:szCs w:val="24"/>
          <w:lang w:eastAsia="ar-SA"/>
        </w:rPr>
        <w:t>сверхпрогнозного</w:t>
      </w:r>
      <w:proofErr w:type="spellEnd"/>
      <w:r w:rsidRPr="00145E0F">
        <w:rPr>
          <w:rFonts w:ascii="Times New Roman" w:hAnsi="Times New Roman"/>
          <w:sz w:val="24"/>
          <w:szCs w:val="24"/>
          <w:lang w:eastAsia="ar-SA"/>
        </w:rPr>
        <w:t xml:space="preserve"> роста могут послужить переход к ценовым зонам теплоснабжения, необходимость реализации инвестиционных программ теплоснабжающих организаций.</w:t>
      </w:r>
    </w:p>
    <w:p w:rsidR="00F31877" w:rsidRPr="00145E0F" w:rsidRDefault="00F31877"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Рост розничных цен на природный газ для населения составит с 1 июля 2021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2022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2023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w:t>
      </w:r>
    </w:p>
    <w:p w:rsidR="00F31877" w:rsidRPr="00145E0F" w:rsidRDefault="00F31877"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Рост розничных цен на природный газ для всех категорий потребителей, исключая население</w:t>
      </w:r>
      <w:r w:rsidR="00D4056C">
        <w:rPr>
          <w:rFonts w:ascii="Times New Roman" w:hAnsi="Times New Roman"/>
          <w:sz w:val="24"/>
          <w:szCs w:val="24"/>
          <w:lang w:eastAsia="ar-SA"/>
        </w:rPr>
        <w:t>,</w:t>
      </w:r>
      <w:r w:rsidRPr="00145E0F">
        <w:rPr>
          <w:rFonts w:ascii="Times New Roman" w:hAnsi="Times New Roman"/>
          <w:sz w:val="24"/>
          <w:szCs w:val="24"/>
          <w:lang w:eastAsia="ar-SA"/>
        </w:rPr>
        <w:t xml:space="preserve"> составит с 1 июля 2021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2022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с 1 июля 2023 года – 3</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xml:space="preserve">%. Однако, учитывая </w:t>
      </w:r>
      <w:proofErr w:type="spellStart"/>
      <w:r w:rsidRPr="00145E0F">
        <w:rPr>
          <w:rFonts w:ascii="Times New Roman" w:hAnsi="Times New Roman"/>
          <w:sz w:val="24"/>
          <w:szCs w:val="24"/>
          <w:lang w:eastAsia="ar-SA"/>
        </w:rPr>
        <w:t>сверхпрогнозные</w:t>
      </w:r>
      <w:proofErr w:type="spellEnd"/>
      <w:r w:rsidRPr="00145E0F">
        <w:rPr>
          <w:rFonts w:ascii="Times New Roman" w:hAnsi="Times New Roman"/>
          <w:sz w:val="24"/>
          <w:szCs w:val="24"/>
          <w:lang w:eastAsia="ar-SA"/>
        </w:rPr>
        <w:t xml:space="preserve"> изменения долгосрочных тарифов на транспортировку газа, а также сохранение убыточности реализации природного газа населению, рост цен по отдельным направлениям его потребления может превышать указанные значения.</w:t>
      </w:r>
    </w:p>
    <w:p w:rsidR="00F31877" w:rsidRPr="00145E0F" w:rsidRDefault="00F31877"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Рост тарифов в сферах водоснабжения, водоотведения и обращения с твердыми коммунальными отходами может составить с 1 июля 2021 года</w:t>
      </w:r>
      <w:r w:rsidR="00D40332" w:rsidRPr="00145E0F">
        <w:rPr>
          <w:rFonts w:ascii="Times New Roman" w:hAnsi="Times New Roman"/>
          <w:sz w:val="24"/>
          <w:szCs w:val="24"/>
          <w:lang w:eastAsia="ar-SA"/>
        </w:rPr>
        <w:t xml:space="preserve"> – 4</w:t>
      </w:r>
      <w:r w:rsidR="00F17610" w:rsidRPr="00145E0F">
        <w:rPr>
          <w:rFonts w:ascii="Times New Roman" w:hAnsi="Times New Roman"/>
          <w:sz w:val="24"/>
          <w:szCs w:val="24"/>
          <w:lang w:eastAsia="ar-SA"/>
        </w:rPr>
        <w:t>,0</w:t>
      </w:r>
      <w:r w:rsidR="00D40332" w:rsidRPr="00145E0F">
        <w:rPr>
          <w:rFonts w:ascii="Times New Roman" w:hAnsi="Times New Roman"/>
          <w:sz w:val="24"/>
          <w:szCs w:val="24"/>
          <w:lang w:eastAsia="ar-SA"/>
        </w:rPr>
        <w:t>%, с 1 июля 2022 года – 4</w:t>
      </w:r>
      <w:r w:rsidR="00F17610" w:rsidRPr="00145E0F">
        <w:rPr>
          <w:rFonts w:ascii="Times New Roman" w:hAnsi="Times New Roman"/>
          <w:sz w:val="24"/>
          <w:szCs w:val="24"/>
          <w:lang w:eastAsia="ar-SA"/>
        </w:rPr>
        <w:t>,0</w:t>
      </w:r>
      <w:r w:rsidR="00D40332" w:rsidRPr="00145E0F">
        <w:rPr>
          <w:rFonts w:ascii="Times New Roman" w:hAnsi="Times New Roman"/>
          <w:sz w:val="24"/>
          <w:szCs w:val="24"/>
          <w:lang w:eastAsia="ar-SA"/>
        </w:rPr>
        <w:t xml:space="preserve">%, </w:t>
      </w:r>
      <w:r w:rsidRPr="00145E0F">
        <w:rPr>
          <w:rFonts w:ascii="Times New Roman" w:hAnsi="Times New Roman"/>
          <w:sz w:val="24"/>
          <w:szCs w:val="24"/>
          <w:lang w:eastAsia="ar-SA"/>
        </w:rPr>
        <w:t>с 1 июля 2023 года – 4</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xml:space="preserve">%. Дополнительными факторами </w:t>
      </w:r>
      <w:proofErr w:type="spellStart"/>
      <w:r w:rsidRPr="00145E0F">
        <w:rPr>
          <w:rFonts w:ascii="Times New Roman" w:hAnsi="Times New Roman"/>
          <w:sz w:val="24"/>
          <w:szCs w:val="24"/>
          <w:lang w:eastAsia="ar-SA"/>
        </w:rPr>
        <w:t>сверхпрогнозного</w:t>
      </w:r>
      <w:proofErr w:type="spellEnd"/>
      <w:r w:rsidRPr="00145E0F">
        <w:rPr>
          <w:rFonts w:ascii="Times New Roman" w:hAnsi="Times New Roman"/>
          <w:sz w:val="24"/>
          <w:szCs w:val="24"/>
          <w:lang w:eastAsia="ar-SA"/>
        </w:rPr>
        <w:t xml:space="preserve"> роста может послужить необходимость учета инвестиционных программ, концессионных соглашений.</w:t>
      </w:r>
    </w:p>
    <w:p w:rsidR="00F31877" w:rsidRPr="00145E0F" w:rsidRDefault="00F31877" w:rsidP="000343FC">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Индексация совокупного платежа граждан за коммунальные услуги (размеры индексации) в 2021 – 2023 годах составит ежегодно 4</w:t>
      </w:r>
      <w:r w:rsidR="00F17610" w:rsidRPr="00145E0F">
        <w:rPr>
          <w:rFonts w:ascii="Times New Roman" w:hAnsi="Times New Roman"/>
          <w:sz w:val="24"/>
          <w:szCs w:val="24"/>
          <w:lang w:eastAsia="ar-SA"/>
        </w:rPr>
        <w:t>,0</w:t>
      </w:r>
      <w:r w:rsidRPr="00145E0F">
        <w:rPr>
          <w:rFonts w:ascii="Times New Roman" w:hAnsi="Times New Roman"/>
          <w:sz w:val="24"/>
          <w:szCs w:val="24"/>
          <w:lang w:eastAsia="ar-SA"/>
        </w:rPr>
        <w:t xml:space="preserve">%. Вместе с тем распоряжением Правительства Российской Федерации от 15.11.2018 № 2490-р для Самарской области утверждено предельно допустимое отклонение индекса изменения вносимой гражданами платы за коммунальные услуги в размере 2,0%. </w:t>
      </w:r>
    </w:p>
    <w:p w:rsidR="00F31877" w:rsidRDefault="00F31877" w:rsidP="000343FC">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Величина тарифа на проезд пассажиров в муниципальном транспорте будет определяться с учетом оптимизации деятельности муниципальных предприятий, показателей бюджета городского округа Тольятти и анализа изменения пассажиропотока.</w:t>
      </w:r>
    </w:p>
    <w:p w:rsidR="003D3198" w:rsidRPr="00B56045" w:rsidRDefault="003D3198" w:rsidP="000343FC">
      <w:pPr>
        <w:suppressAutoHyphens/>
        <w:spacing w:before="120" w:after="0"/>
        <w:jc w:val="center"/>
        <w:outlineLvl w:val="0"/>
        <w:rPr>
          <w:rFonts w:ascii="Times New Roman" w:eastAsiaTheme="majorEastAsia" w:hAnsi="Times New Roman"/>
          <w:b/>
          <w:sz w:val="24"/>
          <w:szCs w:val="24"/>
        </w:rPr>
      </w:pPr>
      <w:r w:rsidRPr="00B56045">
        <w:rPr>
          <w:rFonts w:ascii="Times New Roman" w:eastAsiaTheme="majorEastAsia" w:hAnsi="Times New Roman"/>
          <w:b/>
          <w:sz w:val="24"/>
          <w:szCs w:val="24"/>
        </w:rPr>
        <w:t xml:space="preserve">Промышленное производство </w:t>
      </w:r>
      <w:bookmarkStart w:id="1" w:name="промышл"/>
      <w:bookmarkEnd w:id="1"/>
      <w:r w:rsidRPr="00B56045">
        <w:rPr>
          <w:rFonts w:ascii="Times New Roman" w:eastAsiaTheme="majorEastAsia" w:hAnsi="Times New Roman"/>
          <w:b/>
          <w:sz w:val="24"/>
          <w:szCs w:val="24"/>
        </w:rPr>
        <w:t xml:space="preserve">                                                                     </w:t>
      </w:r>
      <w:proofErr w:type="gramStart"/>
      <w:r w:rsidRPr="00B56045">
        <w:rPr>
          <w:rFonts w:ascii="Times New Roman" w:eastAsiaTheme="majorEastAsia" w:hAnsi="Times New Roman"/>
          <w:b/>
          <w:sz w:val="24"/>
          <w:szCs w:val="24"/>
        </w:rPr>
        <w:t xml:space="preserve">   (</w:t>
      </w:r>
      <w:proofErr w:type="gramEnd"/>
      <w:r w:rsidRPr="00B56045">
        <w:rPr>
          <w:rFonts w:ascii="Times New Roman" w:eastAsiaTheme="majorEastAsia" w:hAnsi="Times New Roman"/>
          <w:b/>
          <w:sz w:val="24"/>
          <w:szCs w:val="24"/>
        </w:rPr>
        <w:t>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AF7BA3" w:rsidRPr="00145E0F" w:rsidRDefault="00AF7BA3" w:rsidP="000343FC">
      <w:pPr>
        <w:tabs>
          <w:tab w:val="left" w:pos="720"/>
        </w:tabs>
        <w:spacing w:before="120" w:after="0"/>
        <w:ind w:firstLine="709"/>
        <w:jc w:val="both"/>
        <w:rPr>
          <w:rFonts w:ascii="Times New Roman" w:hAnsi="Times New Roman"/>
          <w:sz w:val="24"/>
          <w:szCs w:val="24"/>
        </w:rPr>
      </w:pPr>
      <w:r w:rsidRPr="00145E0F">
        <w:rPr>
          <w:rFonts w:ascii="Times New Roman" w:hAnsi="Times New Roman"/>
          <w:sz w:val="24"/>
          <w:szCs w:val="24"/>
        </w:rPr>
        <w:t xml:space="preserve">Развитие промышленного комплекса городского округа </w:t>
      </w:r>
      <w:r w:rsidR="00F17610" w:rsidRPr="00145E0F">
        <w:rPr>
          <w:rFonts w:ascii="Times New Roman" w:hAnsi="Times New Roman"/>
          <w:sz w:val="24"/>
          <w:szCs w:val="24"/>
        </w:rPr>
        <w:t xml:space="preserve">Тольятти </w:t>
      </w:r>
      <w:r w:rsidRPr="00145E0F">
        <w:rPr>
          <w:rFonts w:ascii="Times New Roman" w:hAnsi="Times New Roman"/>
          <w:sz w:val="24"/>
          <w:szCs w:val="24"/>
        </w:rPr>
        <w:t xml:space="preserve">в прогнозном периоде будет происходить в условиях влияния последствий эпидемиологического кризиса. </w:t>
      </w:r>
    </w:p>
    <w:p w:rsidR="00CE0AC9" w:rsidRPr="00145E0F" w:rsidRDefault="00AF7BA3" w:rsidP="00862ECD">
      <w:pPr>
        <w:tabs>
          <w:tab w:val="left" w:pos="720"/>
        </w:tabs>
        <w:spacing w:after="0"/>
        <w:ind w:firstLine="709"/>
        <w:jc w:val="both"/>
        <w:rPr>
          <w:rFonts w:ascii="Times New Roman" w:hAnsi="Times New Roman"/>
          <w:sz w:val="24"/>
          <w:szCs w:val="24"/>
        </w:rPr>
      </w:pPr>
      <w:r w:rsidRPr="00145E0F">
        <w:rPr>
          <w:rFonts w:ascii="Times New Roman" w:hAnsi="Times New Roman"/>
          <w:sz w:val="24"/>
          <w:szCs w:val="24"/>
        </w:rPr>
        <w:t xml:space="preserve">Ускорению темпов роста в 2021-2023 годах будут способствовать постепенное ослабление ограничительных мероприятий, восстановление платежеспособного спроса со </w:t>
      </w:r>
      <w:r w:rsidRPr="00145E0F">
        <w:rPr>
          <w:rFonts w:ascii="Times New Roman" w:hAnsi="Times New Roman"/>
          <w:sz w:val="24"/>
          <w:szCs w:val="24"/>
        </w:rPr>
        <w:lastRenderedPageBreak/>
        <w:t>стороны населения, эффективная реализация мер, направленных на восстановление и развитие пострадавших отраслей.</w:t>
      </w:r>
      <w:r w:rsidR="00B56045">
        <w:rPr>
          <w:rFonts w:ascii="Times New Roman" w:hAnsi="Times New Roman"/>
          <w:sz w:val="24"/>
          <w:szCs w:val="24"/>
        </w:rPr>
        <w:t xml:space="preserve"> </w:t>
      </w:r>
      <w:r w:rsidR="00CE0AC9" w:rsidRPr="00145E0F">
        <w:rPr>
          <w:rFonts w:ascii="Times New Roman" w:hAnsi="Times New Roman"/>
          <w:sz w:val="24"/>
          <w:szCs w:val="24"/>
        </w:rPr>
        <w:t xml:space="preserve">На развитие обрабатывающих производств в </w:t>
      </w:r>
      <w:r w:rsidR="00CE0AC9" w:rsidRPr="00145E0F">
        <w:rPr>
          <w:rFonts w:ascii="Times New Roman" w:hAnsi="Times New Roman"/>
          <w:bCs/>
          <w:sz w:val="24"/>
          <w:szCs w:val="24"/>
        </w:rPr>
        <w:t xml:space="preserve">2021 – 2023 годах будут оказывать влияние </w:t>
      </w:r>
      <w:r w:rsidR="00CE0AC9" w:rsidRPr="00145E0F">
        <w:rPr>
          <w:rFonts w:ascii="Times New Roman" w:hAnsi="Times New Roman"/>
          <w:sz w:val="24"/>
          <w:szCs w:val="24"/>
        </w:rPr>
        <w:t>следующие факторы:</w:t>
      </w:r>
    </w:p>
    <w:p w:rsidR="00041EE4" w:rsidRPr="00145E0F" w:rsidRDefault="00041EE4" w:rsidP="00041EE4">
      <w:pPr>
        <w:spacing w:after="0"/>
        <w:ind w:firstLine="708"/>
        <w:jc w:val="both"/>
        <w:rPr>
          <w:rFonts w:ascii="Times New Roman" w:hAnsi="Times New Roman"/>
          <w:sz w:val="24"/>
          <w:szCs w:val="24"/>
        </w:rPr>
      </w:pPr>
      <w:r>
        <w:rPr>
          <w:rFonts w:ascii="Times New Roman" w:hAnsi="Times New Roman"/>
          <w:sz w:val="24"/>
          <w:szCs w:val="24"/>
        </w:rPr>
        <w:t>- </w:t>
      </w:r>
      <w:r w:rsidRPr="00145E0F">
        <w:rPr>
          <w:rFonts w:ascii="Times New Roman" w:hAnsi="Times New Roman"/>
          <w:sz w:val="24"/>
          <w:szCs w:val="24"/>
        </w:rPr>
        <w:t>реализация государственных программ поддержки автомобиле- и машиностроения;</w:t>
      </w:r>
    </w:p>
    <w:p w:rsidR="00041EE4" w:rsidRDefault="00041EE4" w:rsidP="00041EE4">
      <w:pPr>
        <w:spacing w:after="0"/>
        <w:ind w:firstLine="708"/>
        <w:jc w:val="both"/>
        <w:outlineLvl w:val="0"/>
        <w:rPr>
          <w:rFonts w:ascii="Times New Roman" w:hAnsi="Times New Roman"/>
          <w:sz w:val="24"/>
          <w:szCs w:val="24"/>
        </w:rPr>
      </w:pPr>
      <w:r w:rsidRPr="00145E0F">
        <w:rPr>
          <w:rFonts w:ascii="Times New Roman" w:hAnsi="Times New Roman"/>
          <w:sz w:val="24"/>
          <w:szCs w:val="24"/>
        </w:rPr>
        <w:t>- увеличение доли продукции отечественных производителей автокомпонентов в формировании добавленной стоимости готовых автомобилей;</w:t>
      </w:r>
    </w:p>
    <w:p w:rsidR="00CE0AC9" w:rsidRDefault="00F17610" w:rsidP="00862ECD">
      <w:pPr>
        <w:spacing w:after="0"/>
        <w:ind w:firstLine="708"/>
        <w:jc w:val="both"/>
        <w:rPr>
          <w:rFonts w:ascii="Times New Roman" w:hAnsi="Times New Roman"/>
          <w:sz w:val="24"/>
          <w:szCs w:val="24"/>
        </w:rPr>
      </w:pPr>
      <w:r w:rsidRPr="00145E0F">
        <w:rPr>
          <w:rFonts w:ascii="Times New Roman" w:hAnsi="Times New Roman"/>
          <w:sz w:val="24"/>
          <w:szCs w:val="24"/>
        </w:rPr>
        <w:t>-</w:t>
      </w:r>
      <w:r w:rsidR="00CE0AC9" w:rsidRPr="00145E0F">
        <w:rPr>
          <w:rFonts w:ascii="Times New Roman" w:hAnsi="Times New Roman"/>
          <w:sz w:val="24"/>
          <w:szCs w:val="24"/>
        </w:rPr>
        <w:t xml:space="preserve"> наращивание объема реализации производимой химической продукции при сохранении потребительского спроса на внутреннем и мировом рынках;</w:t>
      </w:r>
    </w:p>
    <w:p w:rsidR="00041EE4" w:rsidRPr="00145E0F" w:rsidRDefault="00041EE4" w:rsidP="00041EE4">
      <w:pPr>
        <w:spacing w:after="0"/>
        <w:ind w:firstLine="708"/>
        <w:jc w:val="both"/>
        <w:rPr>
          <w:rFonts w:ascii="Times New Roman" w:hAnsi="Times New Roman"/>
          <w:sz w:val="24"/>
          <w:szCs w:val="24"/>
        </w:rPr>
      </w:pPr>
      <w:r w:rsidRPr="00145E0F">
        <w:rPr>
          <w:rFonts w:ascii="Times New Roman" w:hAnsi="Times New Roman"/>
          <w:sz w:val="24"/>
          <w:szCs w:val="24"/>
        </w:rPr>
        <w:t xml:space="preserve">- развитие инвестиционной инфраструктуры </w:t>
      </w:r>
      <w:r>
        <w:rPr>
          <w:rFonts w:ascii="Times New Roman" w:hAnsi="Times New Roman"/>
          <w:sz w:val="24"/>
          <w:szCs w:val="24"/>
        </w:rPr>
        <w:t xml:space="preserve">(особая экономическая зона промышленно-производственного типа </w:t>
      </w:r>
      <w:r w:rsidRPr="00145E0F">
        <w:rPr>
          <w:rFonts w:ascii="Times New Roman" w:hAnsi="Times New Roman"/>
          <w:sz w:val="24"/>
          <w:szCs w:val="24"/>
        </w:rPr>
        <w:t>«Тольятти»</w:t>
      </w:r>
      <w:r>
        <w:rPr>
          <w:rFonts w:ascii="Times New Roman" w:hAnsi="Times New Roman"/>
          <w:sz w:val="24"/>
          <w:szCs w:val="24"/>
        </w:rPr>
        <w:t xml:space="preserve"> (далее - ОЭЗ ППТ «Тольятти»)</w:t>
      </w:r>
      <w:r w:rsidRPr="00145E0F">
        <w:rPr>
          <w:rFonts w:ascii="Times New Roman" w:hAnsi="Times New Roman"/>
          <w:sz w:val="24"/>
          <w:szCs w:val="24"/>
        </w:rPr>
        <w:t>, индустриальны</w:t>
      </w:r>
      <w:r>
        <w:rPr>
          <w:rFonts w:ascii="Times New Roman" w:hAnsi="Times New Roman"/>
          <w:sz w:val="24"/>
          <w:szCs w:val="24"/>
        </w:rPr>
        <w:t>е</w:t>
      </w:r>
      <w:r w:rsidRPr="00145E0F">
        <w:rPr>
          <w:rFonts w:ascii="Times New Roman" w:hAnsi="Times New Roman"/>
          <w:sz w:val="24"/>
          <w:szCs w:val="24"/>
        </w:rPr>
        <w:t xml:space="preserve"> парки, территори</w:t>
      </w:r>
      <w:r>
        <w:rPr>
          <w:rFonts w:ascii="Times New Roman" w:hAnsi="Times New Roman"/>
          <w:sz w:val="24"/>
          <w:szCs w:val="24"/>
        </w:rPr>
        <w:t>я</w:t>
      </w:r>
      <w:r w:rsidRPr="00145E0F">
        <w:rPr>
          <w:rFonts w:ascii="Times New Roman" w:hAnsi="Times New Roman"/>
          <w:sz w:val="24"/>
          <w:szCs w:val="24"/>
        </w:rPr>
        <w:t xml:space="preserve"> опережающего социально-экономического развития «Тольятти»</w:t>
      </w:r>
      <w:r>
        <w:rPr>
          <w:rFonts w:ascii="Times New Roman" w:hAnsi="Times New Roman"/>
          <w:sz w:val="24"/>
          <w:szCs w:val="24"/>
        </w:rPr>
        <w:t xml:space="preserve"> (далее – ТОСЭР «Тольятти»</w:t>
      </w:r>
      <w:r w:rsidRPr="00145E0F">
        <w:rPr>
          <w:rFonts w:ascii="Times New Roman" w:hAnsi="Times New Roman"/>
          <w:sz w:val="24"/>
          <w:szCs w:val="24"/>
        </w:rPr>
        <w:t xml:space="preserve">); </w:t>
      </w:r>
    </w:p>
    <w:p w:rsidR="00CE0AC9" w:rsidRPr="00145E0F" w:rsidRDefault="00041EE4" w:rsidP="00862ECD">
      <w:pPr>
        <w:spacing w:after="0"/>
        <w:ind w:firstLine="708"/>
        <w:jc w:val="both"/>
        <w:rPr>
          <w:rFonts w:ascii="Times New Roman" w:hAnsi="Times New Roman"/>
          <w:sz w:val="24"/>
          <w:szCs w:val="24"/>
        </w:rPr>
      </w:pPr>
      <w:r>
        <w:rPr>
          <w:rFonts w:ascii="Times New Roman" w:hAnsi="Times New Roman"/>
          <w:sz w:val="24"/>
          <w:szCs w:val="24"/>
        </w:rPr>
        <w:t>- </w:t>
      </w:r>
      <w:r w:rsidR="00CE0AC9" w:rsidRPr="00145E0F">
        <w:rPr>
          <w:rFonts w:ascii="Times New Roman" w:hAnsi="Times New Roman"/>
          <w:sz w:val="24"/>
          <w:szCs w:val="24"/>
        </w:rPr>
        <w:t>развитие экспортного потенциала предприятий конкурентоспособной промышленной продукции, в том числе в результате создания новых ниш;</w:t>
      </w:r>
    </w:p>
    <w:p w:rsidR="00CE0AC9" w:rsidRPr="00145E0F" w:rsidRDefault="00041EE4" w:rsidP="00862ECD">
      <w:pPr>
        <w:spacing w:after="0"/>
        <w:ind w:firstLine="708"/>
        <w:jc w:val="both"/>
        <w:rPr>
          <w:rFonts w:ascii="Times New Roman" w:hAnsi="Times New Roman"/>
          <w:sz w:val="24"/>
          <w:szCs w:val="24"/>
          <w:lang w:eastAsia="en-US"/>
        </w:rPr>
      </w:pPr>
      <w:r>
        <w:rPr>
          <w:rFonts w:ascii="Times New Roman" w:hAnsi="Times New Roman"/>
          <w:sz w:val="24"/>
          <w:szCs w:val="24"/>
        </w:rPr>
        <w:t>- </w:t>
      </w:r>
      <w:r w:rsidR="00CE0AC9" w:rsidRPr="00145E0F">
        <w:rPr>
          <w:rFonts w:ascii="Times New Roman" w:hAnsi="Times New Roman"/>
          <w:sz w:val="24"/>
          <w:szCs w:val="24"/>
          <w:lang w:eastAsia="en-US"/>
        </w:rPr>
        <w:t>модернизация и техническое перевооружение предприятий, оптимизация производственных процессов на базе современных технологий и оборудования;</w:t>
      </w:r>
    </w:p>
    <w:p w:rsidR="00CE0AC9" w:rsidRPr="00145E0F" w:rsidRDefault="00CE0AC9" w:rsidP="00862ECD">
      <w:pPr>
        <w:spacing w:after="0"/>
        <w:ind w:firstLine="708"/>
        <w:jc w:val="both"/>
        <w:rPr>
          <w:rFonts w:ascii="Times New Roman" w:hAnsi="Times New Roman"/>
          <w:sz w:val="24"/>
          <w:szCs w:val="24"/>
          <w:lang w:eastAsia="en-US"/>
        </w:rPr>
      </w:pPr>
      <w:r w:rsidRPr="00145E0F">
        <w:rPr>
          <w:rFonts w:ascii="Times New Roman" w:hAnsi="Times New Roman"/>
          <w:sz w:val="24"/>
          <w:szCs w:val="24"/>
        </w:rPr>
        <w:t>-  расширение продуктового портфеля за счет выпуска товаров с высоким уровнем качества, применением инновационных технологий разработки продуктов и процессов;</w:t>
      </w:r>
    </w:p>
    <w:p w:rsidR="00CE0AC9" w:rsidRPr="00145E0F" w:rsidRDefault="00CE0AC9" w:rsidP="00862ECD">
      <w:pPr>
        <w:spacing w:after="0"/>
        <w:ind w:firstLine="708"/>
        <w:jc w:val="both"/>
        <w:rPr>
          <w:rFonts w:ascii="Times New Roman" w:hAnsi="Times New Roman"/>
          <w:sz w:val="24"/>
          <w:szCs w:val="24"/>
        </w:rPr>
      </w:pPr>
      <w:r w:rsidRPr="00145E0F">
        <w:rPr>
          <w:rFonts w:ascii="Times New Roman" w:hAnsi="Times New Roman"/>
          <w:sz w:val="24"/>
          <w:szCs w:val="24"/>
        </w:rPr>
        <w:t xml:space="preserve">- повышение производительности труда и внедрение принципов бережливого производства на предприятиях </w:t>
      </w:r>
      <w:r w:rsidR="00D4056C">
        <w:rPr>
          <w:rFonts w:ascii="Times New Roman" w:hAnsi="Times New Roman"/>
          <w:sz w:val="24"/>
          <w:szCs w:val="24"/>
        </w:rPr>
        <w:t>городского округа</w:t>
      </w:r>
      <w:r w:rsidR="00862ECD">
        <w:rPr>
          <w:rFonts w:ascii="Times New Roman" w:hAnsi="Times New Roman"/>
          <w:sz w:val="24"/>
          <w:szCs w:val="24"/>
        </w:rPr>
        <w:t xml:space="preserve"> Тольятти</w:t>
      </w:r>
      <w:r w:rsidRPr="00145E0F">
        <w:rPr>
          <w:rFonts w:ascii="Times New Roman" w:hAnsi="Times New Roman"/>
          <w:sz w:val="24"/>
          <w:szCs w:val="24"/>
        </w:rPr>
        <w:t>;</w:t>
      </w:r>
    </w:p>
    <w:p w:rsidR="00041EE4" w:rsidRPr="00145E0F" w:rsidRDefault="00041EE4" w:rsidP="00041EE4">
      <w:pPr>
        <w:spacing w:after="0"/>
        <w:ind w:firstLine="708"/>
        <w:jc w:val="both"/>
        <w:rPr>
          <w:rFonts w:ascii="Times New Roman" w:hAnsi="Times New Roman"/>
          <w:sz w:val="24"/>
          <w:szCs w:val="24"/>
        </w:rPr>
      </w:pPr>
      <w:r w:rsidRPr="00145E0F">
        <w:rPr>
          <w:rFonts w:ascii="Times New Roman" w:hAnsi="Times New Roman"/>
          <w:sz w:val="24"/>
          <w:szCs w:val="24"/>
        </w:rPr>
        <w:t xml:space="preserve">- увеличение потребления населением продовольственных товаров, произведенных в </w:t>
      </w:r>
      <w:r>
        <w:rPr>
          <w:rFonts w:ascii="Times New Roman" w:hAnsi="Times New Roman"/>
          <w:sz w:val="24"/>
          <w:szCs w:val="24"/>
        </w:rPr>
        <w:t>городского округа Тольятти</w:t>
      </w:r>
      <w:r w:rsidRPr="00145E0F">
        <w:rPr>
          <w:rFonts w:ascii="Times New Roman" w:hAnsi="Times New Roman"/>
          <w:sz w:val="24"/>
          <w:szCs w:val="24"/>
        </w:rPr>
        <w:t xml:space="preserve">; </w:t>
      </w:r>
    </w:p>
    <w:p w:rsidR="00041EE4" w:rsidRPr="00145E0F" w:rsidRDefault="00041EE4" w:rsidP="00041EE4">
      <w:pPr>
        <w:spacing w:after="0"/>
        <w:ind w:firstLine="708"/>
        <w:jc w:val="both"/>
        <w:rPr>
          <w:rFonts w:ascii="Times New Roman" w:hAnsi="Times New Roman"/>
          <w:sz w:val="24"/>
          <w:szCs w:val="24"/>
        </w:rPr>
      </w:pPr>
      <w:r w:rsidRPr="00145E0F">
        <w:rPr>
          <w:rFonts w:ascii="Times New Roman" w:hAnsi="Times New Roman"/>
          <w:sz w:val="24"/>
          <w:szCs w:val="24"/>
        </w:rPr>
        <w:t>- развитие импортозамещающих производств, обеспеченных бесперебойными поставками сырья и материалов, в связи с рисками временной приостановки работы производителей в других странах;</w:t>
      </w:r>
    </w:p>
    <w:p w:rsidR="00CE0AC9" w:rsidRPr="00145E0F" w:rsidRDefault="00CE0AC9" w:rsidP="00862ECD">
      <w:pPr>
        <w:spacing w:after="0"/>
        <w:ind w:firstLine="708"/>
        <w:jc w:val="both"/>
        <w:outlineLvl w:val="0"/>
        <w:rPr>
          <w:rFonts w:ascii="Times New Roman" w:hAnsi="Times New Roman"/>
          <w:sz w:val="24"/>
          <w:szCs w:val="24"/>
        </w:rPr>
      </w:pPr>
      <w:r w:rsidRPr="00145E0F">
        <w:rPr>
          <w:rFonts w:ascii="Times New Roman" w:hAnsi="Times New Roman"/>
          <w:sz w:val="24"/>
          <w:szCs w:val="24"/>
        </w:rPr>
        <w:t>- реализация мер государственной политики в рамках государственной программы Самарской области «Развитие промышленности Самарской области и повышение ее конкурентоспособности»;</w:t>
      </w:r>
    </w:p>
    <w:p w:rsidR="00CE0AC9" w:rsidRPr="00145E0F" w:rsidRDefault="00CE0AC9" w:rsidP="00862ECD">
      <w:pPr>
        <w:spacing w:after="0"/>
        <w:ind w:firstLine="708"/>
        <w:jc w:val="both"/>
        <w:outlineLvl w:val="0"/>
        <w:rPr>
          <w:rFonts w:ascii="Times New Roman" w:hAnsi="Times New Roman"/>
          <w:sz w:val="24"/>
          <w:szCs w:val="24"/>
        </w:rPr>
      </w:pPr>
      <w:r w:rsidRPr="00145E0F">
        <w:rPr>
          <w:rFonts w:ascii="Times New Roman" w:hAnsi="Times New Roman"/>
          <w:sz w:val="24"/>
          <w:szCs w:val="24"/>
        </w:rPr>
        <w:t>- предоставление государственной поддержки предприятиям Самарской области в рамках деятельности Фонда развития промышленности.</w:t>
      </w:r>
    </w:p>
    <w:p w:rsidR="00CE0AC9" w:rsidRPr="00145E0F" w:rsidRDefault="00AF2438" w:rsidP="00862ECD">
      <w:pPr>
        <w:spacing w:after="0"/>
        <w:ind w:firstLine="709"/>
        <w:jc w:val="both"/>
        <w:outlineLvl w:val="0"/>
        <w:rPr>
          <w:rFonts w:ascii="Times New Roman" w:hAnsi="Times New Roman"/>
          <w:sz w:val="24"/>
          <w:szCs w:val="24"/>
        </w:rPr>
      </w:pPr>
      <w:r w:rsidRPr="00145E0F">
        <w:rPr>
          <w:rFonts w:ascii="Times New Roman" w:hAnsi="Times New Roman"/>
          <w:sz w:val="24"/>
          <w:szCs w:val="24"/>
        </w:rPr>
        <w:t>При этом существенное влияние на промышленный сектор оказывают риски, которые не позволят достичь высоких темпов экономического роста</w:t>
      </w:r>
      <w:r w:rsidR="00CE0AC9" w:rsidRPr="00145E0F">
        <w:rPr>
          <w:rFonts w:ascii="Times New Roman" w:hAnsi="Times New Roman"/>
          <w:sz w:val="24"/>
          <w:szCs w:val="24"/>
        </w:rPr>
        <w:t>:</w:t>
      </w:r>
    </w:p>
    <w:p w:rsidR="00CE0AC9" w:rsidRPr="00145E0F" w:rsidRDefault="00CE0AC9" w:rsidP="00862ECD">
      <w:pPr>
        <w:spacing w:after="0"/>
        <w:ind w:firstLine="709"/>
        <w:contextualSpacing/>
        <w:jc w:val="both"/>
        <w:rPr>
          <w:rFonts w:ascii="Times New Roman" w:hAnsi="Times New Roman"/>
          <w:sz w:val="24"/>
          <w:szCs w:val="24"/>
        </w:rPr>
      </w:pPr>
      <w:r w:rsidRPr="00145E0F">
        <w:rPr>
          <w:rFonts w:ascii="Times New Roman" w:hAnsi="Times New Roman"/>
          <w:sz w:val="24"/>
          <w:szCs w:val="24"/>
        </w:rPr>
        <w:t>- ослабление национального валютного курса;</w:t>
      </w:r>
    </w:p>
    <w:p w:rsidR="00CE0AC9" w:rsidRPr="00145E0F" w:rsidRDefault="00CE0AC9" w:rsidP="00862ECD">
      <w:pPr>
        <w:spacing w:after="0"/>
        <w:ind w:firstLine="709"/>
        <w:contextualSpacing/>
        <w:jc w:val="both"/>
        <w:rPr>
          <w:rFonts w:ascii="Times New Roman" w:hAnsi="Times New Roman"/>
          <w:sz w:val="24"/>
          <w:szCs w:val="24"/>
        </w:rPr>
      </w:pPr>
      <w:r w:rsidRPr="00145E0F">
        <w:rPr>
          <w:rFonts w:ascii="Times New Roman" w:hAnsi="Times New Roman"/>
          <w:sz w:val="24"/>
          <w:szCs w:val="24"/>
        </w:rPr>
        <w:t>- временные нарушения сформировавшихся производственных цепочек;</w:t>
      </w:r>
    </w:p>
    <w:p w:rsidR="00CE0AC9" w:rsidRPr="00145E0F" w:rsidRDefault="00CE0AC9" w:rsidP="00862ECD">
      <w:pPr>
        <w:spacing w:after="0"/>
        <w:ind w:firstLine="709"/>
        <w:contextualSpacing/>
        <w:jc w:val="both"/>
        <w:rPr>
          <w:rFonts w:ascii="Times New Roman" w:hAnsi="Times New Roman"/>
          <w:sz w:val="24"/>
          <w:szCs w:val="24"/>
        </w:rPr>
      </w:pPr>
      <w:r w:rsidRPr="00145E0F">
        <w:rPr>
          <w:rFonts w:ascii="Times New Roman" w:hAnsi="Times New Roman"/>
          <w:sz w:val="24"/>
          <w:szCs w:val="24"/>
        </w:rPr>
        <w:t xml:space="preserve">- нарушение непрерывной работы предприятий-поставщиков и доставки материалов до предприятий-производителей;  </w:t>
      </w:r>
    </w:p>
    <w:p w:rsidR="00CE0AC9" w:rsidRPr="00145E0F" w:rsidRDefault="00CE0AC9" w:rsidP="00862ECD">
      <w:pPr>
        <w:spacing w:after="0"/>
        <w:ind w:firstLine="709"/>
        <w:contextualSpacing/>
        <w:jc w:val="both"/>
        <w:rPr>
          <w:rFonts w:ascii="Times New Roman" w:hAnsi="Times New Roman"/>
          <w:sz w:val="24"/>
          <w:szCs w:val="24"/>
        </w:rPr>
      </w:pPr>
      <w:r w:rsidRPr="00145E0F">
        <w:rPr>
          <w:rFonts w:ascii="Times New Roman" w:hAnsi="Times New Roman"/>
          <w:sz w:val="24"/>
          <w:szCs w:val="24"/>
        </w:rPr>
        <w:t xml:space="preserve">- существенное повышение тарифов на транспортные услуги;   </w:t>
      </w:r>
    </w:p>
    <w:p w:rsidR="00CE0AC9" w:rsidRPr="00145E0F" w:rsidRDefault="00CE0AC9" w:rsidP="00862ECD">
      <w:pPr>
        <w:spacing w:after="0"/>
        <w:ind w:firstLine="567"/>
        <w:jc w:val="both"/>
        <w:rPr>
          <w:rFonts w:ascii="Times New Roman" w:hAnsi="Times New Roman"/>
          <w:sz w:val="24"/>
          <w:szCs w:val="24"/>
        </w:rPr>
      </w:pPr>
      <w:r w:rsidRPr="00145E0F">
        <w:rPr>
          <w:rFonts w:ascii="Times New Roman" w:hAnsi="Times New Roman"/>
          <w:sz w:val="24"/>
          <w:szCs w:val="24"/>
        </w:rPr>
        <w:t>- сокращение экспорта товаров из-за снижения потребительского спроса со стороны иностранных компаний;</w:t>
      </w:r>
    </w:p>
    <w:p w:rsidR="00CE0AC9" w:rsidRPr="00145E0F" w:rsidRDefault="00CE0AC9" w:rsidP="00862ECD">
      <w:pPr>
        <w:spacing w:after="0"/>
        <w:ind w:firstLine="708"/>
        <w:jc w:val="both"/>
        <w:outlineLvl w:val="0"/>
        <w:rPr>
          <w:rFonts w:ascii="Times New Roman" w:hAnsi="Times New Roman"/>
          <w:sz w:val="24"/>
          <w:szCs w:val="24"/>
        </w:rPr>
      </w:pPr>
      <w:r w:rsidRPr="00145E0F">
        <w:rPr>
          <w:rFonts w:ascii="Times New Roman" w:hAnsi="Times New Roman"/>
          <w:sz w:val="24"/>
          <w:szCs w:val="24"/>
        </w:rPr>
        <w:t xml:space="preserve">- недостаточный уровень платежеспособного спроса на продукцию со стороны основных потребителей – населения и отраслей промышленности; </w:t>
      </w:r>
    </w:p>
    <w:p w:rsidR="00CE0AC9" w:rsidRPr="00145E0F" w:rsidRDefault="00CE0AC9"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 сохранение действия финансовых и экономических санкций и </w:t>
      </w:r>
      <w:proofErr w:type="spellStart"/>
      <w:r w:rsidRPr="00145E0F">
        <w:rPr>
          <w:rFonts w:ascii="Times New Roman" w:hAnsi="Times New Roman"/>
          <w:sz w:val="24"/>
          <w:szCs w:val="24"/>
        </w:rPr>
        <w:t>контрсанкций</w:t>
      </w:r>
      <w:proofErr w:type="spellEnd"/>
      <w:r w:rsidRPr="00145E0F">
        <w:rPr>
          <w:rFonts w:ascii="Times New Roman" w:hAnsi="Times New Roman"/>
          <w:sz w:val="24"/>
          <w:szCs w:val="24"/>
        </w:rPr>
        <w:t>;</w:t>
      </w:r>
    </w:p>
    <w:p w:rsidR="00CE0AC9" w:rsidRPr="00145E0F" w:rsidRDefault="00CE0AC9" w:rsidP="00862ECD">
      <w:pPr>
        <w:spacing w:after="0"/>
        <w:ind w:firstLine="708"/>
        <w:jc w:val="both"/>
        <w:outlineLvl w:val="0"/>
        <w:rPr>
          <w:rFonts w:ascii="Times New Roman" w:hAnsi="Times New Roman"/>
          <w:sz w:val="24"/>
          <w:szCs w:val="24"/>
        </w:rPr>
      </w:pPr>
      <w:r w:rsidRPr="00145E0F">
        <w:rPr>
          <w:rFonts w:ascii="Times New Roman" w:hAnsi="Times New Roman"/>
          <w:sz w:val="24"/>
          <w:szCs w:val="24"/>
        </w:rPr>
        <w:t>- высокий уровень материальных издержек в видах экономической деятельности с высокой импортозависимостью;</w:t>
      </w:r>
    </w:p>
    <w:p w:rsidR="00CE0AC9" w:rsidRPr="00145E0F" w:rsidRDefault="00CE0AC9" w:rsidP="00862ECD">
      <w:pPr>
        <w:spacing w:after="0"/>
        <w:ind w:firstLine="708"/>
        <w:jc w:val="both"/>
        <w:outlineLvl w:val="0"/>
        <w:rPr>
          <w:rFonts w:ascii="Times New Roman" w:hAnsi="Times New Roman"/>
          <w:sz w:val="24"/>
          <w:szCs w:val="24"/>
        </w:rPr>
      </w:pPr>
      <w:r w:rsidRPr="00145E0F">
        <w:rPr>
          <w:rFonts w:ascii="Times New Roman" w:hAnsi="Times New Roman"/>
          <w:sz w:val="24"/>
          <w:szCs w:val="24"/>
        </w:rPr>
        <w:lastRenderedPageBreak/>
        <w:t>- низкая степень загрузки производственных мощностей вследствие недостаточной покупательской активности населения</w:t>
      </w:r>
      <w:r w:rsidR="00AF2438" w:rsidRPr="00145E0F">
        <w:rPr>
          <w:rFonts w:ascii="Times New Roman" w:hAnsi="Times New Roman"/>
          <w:sz w:val="24"/>
          <w:szCs w:val="24"/>
        </w:rPr>
        <w:t>.</w:t>
      </w:r>
    </w:p>
    <w:p w:rsidR="00AF7BA3" w:rsidRPr="00145E0F" w:rsidRDefault="00AF7BA3" w:rsidP="00862ECD">
      <w:pPr>
        <w:spacing w:after="0"/>
        <w:ind w:firstLine="709"/>
        <w:jc w:val="both"/>
        <w:outlineLvl w:val="0"/>
        <w:rPr>
          <w:rFonts w:ascii="Times New Roman" w:hAnsi="Times New Roman"/>
          <w:sz w:val="24"/>
          <w:szCs w:val="24"/>
        </w:rPr>
      </w:pPr>
      <w:r w:rsidRPr="00145E0F">
        <w:rPr>
          <w:rFonts w:ascii="Times New Roman" w:hAnsi="Times New Roman"/>
          <w:sz w:val="24"/>
          <w:szCs w:val="24"/>
        </w:rPr>
        <w:t xml:space="preserve">В случае реализации консервативного варианта прогноза индекс промышленного производства относительно предыдущего года составит: в 2021 году – </w:t>
      </w:r>
      <w:r w:rsidR="00F8081D" w:rsidRPr="00145E0F">
        <w:rPr>
          <w:rFonts w:ascii="Times New Roman" w:hAnsi="Times New Roman"/>
          <w:sz w:val="24"/>
          <w:szCs w:val="24"/>
        </w:rPr>
        <w:t>98,8</w:t>
      </w:r>
      <w:r w:rsidRPr="00145E0F">
        <w:rPr>
          <w:rFonts w:ascii="Times New Roman" w:hAnsi="Times New Roman"/>
          <w:sz w:val="24"/>
          <w:szCs w:val="24"/>
        </w:rPr>
        <w:t xml:space="preserve">%, в 2022 году – </w:t>
      </w:r>
      <w:r w:rsidR="00F8081D" w:rsidRPr="00145E0F">
        <w:rPr>
          <w:rFonts w:ascii="Times New Roman" w:hAnsi="Times New Roman"/>
          <w:sz w:val="24"/>
          <w:szCs w:val="24"/>
        </w:rPr>
        <w:t>101,4</w:t>
      </w:r>
      <w:r w:rsidRPr="00145E0F">
        <w:rPr>
          <w:rFonts w:ascii="Times New Roman" w:hAnsi="Times New Roman"/>
          <w:sz w:val="24"/>
          <w:szCs w:val="24"/>
        </w:rPr>
        <w:t xml:space="preserve">%, в 2023 году – </w:t>
      </w:r>
      <w:r w:rsidR="00F8081D" w:rsidRPr="00145E0F">
        <w:rPr>
          <w:rFonts w:ascii="Times New Roman" w:hAnsi="Times New Roman"/>
          <w:sz w:val="24"/>
          <w:szCs w:val="24"/>
        </w:rPr>
        <w:t>102,0</w:t>
      </w:r>
      <w:r w:rsidRPr="00145E0F">
        <w:rPr>
          <w:rFonts w:ascii="Times New Roman" w:hAnsi="Times New Roman"/>
          <w:sz w:val="24"/>
          <w:szCs w:val="24"/>
        </w:rPr>
        <w:t xml:space="preserve">%. </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Индекс производства относительно предыдущего года по базовому варианту будет расти умеренными темпами и составит: в 2021 году </w:t>
      </w:r>
      <w:r w:rsidR="00F8081D" w:rsidRPr="00145E0F">
        <w:rPr>
          <w:rFonts w:ascii="Times New Roman" w:hAnsi="Times New Roman"/>
          <w:sz w:val="24"/>
          <w:szCs w:val="24"/>
        </w:rPr>
        <w:t>–</w:t>
      </w:r>
      <w:r w:rsidRPr="00145E0F">
        <w:rPr>
          <w:rFonts w:ascii="Times New Roman" w:hAnsi="Times New Roman"/>
          <w:sz w:val="24"/>
          <w:szCs w:val="24"/>
        </w:rPr>
        <w:t xml:space="preserve"> </w:t>
      </w:r>
      <w:r w:rsidR="00F8081D" w:rsidRPr="00145E0F">
        <w:rPr>
          <w:rFonts w:ascii="Times New Roman" w:hAnsi="Times New Roman"/>
          <w:sz w:val="24"/>
          <w:szCs w:val="24"/>
        </w:rPr>
        <w:t>102,0</w:t>
      </w:r>
      <w:r w:rsidRPr="00145E0F">
        <w:rPr>
          <w:rFonts w:ascii="Times New Roman" w:hAnsi="Times New Roman"/>
          <w:sz w:val="24"/>
          <w:szCs w:val="24"/>
        </w:rPr>
        <w:t xml:space="preserve">%, в 2022 году – </w:t>
      </w:r>
      <w:r w:rsidR="00F8081D" w:rsidRPr="00145E0F">
        <w:rPr>
          <w:rFonts w:ascii="Times New Roman" w:hAnsi="Times New Roman"/>
          <w:sz w:val="24"/>
          <w:szCs w:val="24"/>
        </w:rPr>
        <w:t>105,1</w:t>
      </w:r>
      <w:r w:rsidRPr="00145E0F">
        <w:rPr>
          <w:rFonts w:ascii="Times New Roman" w:hAnsi="Times New Roman"/>
          <w:sz w:val="24"/>
          <w:szCs w:val="24"/>
        </w:rPr>
        <w:t xml:space="preserve">%, в 2023 году – </w:t>
      </w:r>
      <w:r w:rsidR="00F8081D" w:rsidRPr="00145E0F">
        <w:rPr>
          <w:rFonts w:ascii="Times New Roman" w:hAnsi="Times New Roman"/>
          <w:sz w:val="24"/>
          <w:szCs w:val="24"/>
        </w:rPr>
        <w:t>105,7</w:t>
      </w:r>
      <w:r w:rsidRPr="00145E0F">
        <w:rPr>
          <w:rFonts w:ascii="Times New Roman" w:hAnsi="Times New Roman"/>
          <w:sz w:val="24"/>
          <w:szCs w:val="24"/>
        </w:rPr>
        <w:t xml:space="preserve">%. </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Объем отгруженной промышленной продукции в 2021–2023 годах также будет расти и составит: </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 в 2021 году - по консервативному варианту – </w:t>
      </w:r>
      <w:r w:rsidR="00F8081D" w:rsidRPr="00145E0F">
        <w:rPr>
          <w:rFonts w:ascii="Times New Roman" w:hAnsi="Times New Roman"/>
          <w:sz w:val="24"/>
          <w:szCs w:val="24"/>
        </w:rPr>
        <w:t>526 423,4</w:t>
      </w:r>
      <w:r w:rsidRPr="00145E0F">
        <w:rPr>
          <w:rFonts w:ascii="Times New Roman" w:hAnsi="Times New Roman"/>
          <w:sz w:val="24"/>
          <w:szCs w:val="24"/>
        </w:rPr>
        <w:t xml:space="preserve"> млн.</w:t>
      </w:r>
      <w:r w:rsidR="00AF2438" w:rsidRPr="00145E0F">
        <w:rPr>
          <w:rFonts w:ascii="Times New Roman" w:hAnsi="Times New Roman"/>
          <w:sz w:val="24"/>
          <w:szCs w:val="24"/>
        </w:rPr>
        <w:t xml:space="preserve"> </w:t>
      </w:r>
      <w:r w:rsidRPr="00145E0F">
        <w:rPr>
          <w:rFonts w:ascii="Times New Roman" w:hAnsi="Times New Roman"/>
          <w:sz w:val="24"/>
          <w:szCs w:val="24"/>
        </w:rPr>
        <w:t xml:space="preserve">рублей, по базовому варианту прогноза – </w:t>
      </w:r>
      <w:r w:rsidR="00F8081D" w:rsidRPr="00145E0F">
        <w:rPr>
          <w:rFonts w:ascii="Times New Roman" w:hAnsi="Times New Roman"/>
          <w:sz w:val="24"/>
          <w:szCs w:val="24"/>
        </w:rPr>
        <w:t xml:space="preserve">537 294,0 </w:t>
      </w:r>
      <w:r w:rsidRPr="00145E0F">
        <w:rPr>
          <w:rFonts w:ascii="Times New Roman" w:hAnsi="Times New Roman"/>
          <w:sz w:val="24"/>
          <w:szCs w:val="24"/>
        </w:rPr>
        <w:t>млн.</w:t>
      </w:r>
      <w:r w:rsidR="00AF2438" w:rsidRPr="00145E0F">
        <w:rPr>
          <w:rFonts w:ascii="Times New Roman" w:hAnsi="Times New Roman"/>
          <w:sz w:val="24"/>
          <w:szCs w:val="24"/>
        </w:rPr>
        <w:t xml:space="preserve"> </w:t>
      </w:r>
      <w:r w:rsidRPr="00145E0F">
        <w:rPr>
          <w:rFonts w:ascii="Times New Roman" w:hAnsi="Times New Roman"/>
          <w:sz w:val="24"/>
          <w:szCs w:val="24"/>
        </w:rPr>
        <w:t>рублей;</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 в 2022 году - по консервативному варианту – </w:t>
      </w:r>
      <w:r w:rsidR="00F8081D" w:rsidRPr="00145E0F">
        <w:rPr>
          <w:rFonts w:ascii="Times New Roman" w:hAnsi="Times New Roman"/>
          <w:sz w:val="24"/>
          <w:szCs w:val="24"/>
        </w:rPr>
        <w:t>560 667,0</w:t>
      </w:r>
      <w:r w:rsidRPr="00145E0F">
        <w:rPr>
          <w:rFonts w:ascii="Times New Roman" w:hAnsi="Times New Roman"/>
          <w:sz w:val="24"/>
          <w:szCs w:val="24"/>
        </w:rPr>
        <w:t xml:space="preserve"> млн.</w:t>
      </w:r>
      <w:r w:rsidR="00AF2438" w:rsidRPr="00145E0F">
        <w:rPr>
          <w:rFonts w:ascii="Times New Roman" w:hAnsi="Times New Roman"/>
          <w:sz w:val="24"/>
          <w:szCs w:val="24"/>
        </w:rPr>
        <w:t xml:space="preserve"> </w:t>
      </w:r>
      <w:r w:rsidRPr="00145E0F">
        <w:rPr>
          <w:rFonts w:ascii="Times New Roman" w:hAnsi="Times New Roman"/>
          <w:sz w:val="24"/>
          <w:szCs w:val="24"/>
        </w:rPr>
        <w:t>рублей, по базовому варианту прогноза –</w:t>
      </w:r>
      <w:r w:rsidR="00CE0AC9" w:rsidRPr="00145E0F">
        <w:rPr>
          <w:rFonts w:ascii="Times New Roman" w:hAnsi="Times New Roman"/>
          <w:sz w:val="24"/>
          <w:szCs w:val="24"/>
        </w:rPr>
        <w:t xml:space="preserve"> </w:t>
      </w:r>
      <w:r w:rsidR="00F8081D" w:rsidRPr="00145E0F">
        <w:rPr>
          <w:rFonts w:ascii="Times New Roman" w:hAnsi="Times New Roman"/>
          <w:sz w:val="24"/>
          <w:szCs w:val="24"/>
        </w:rPr>
        <w:t>589 867,0</w:t>
      </w:r>
      <w:r w:rsidRPr="00145E0F">
        <w:rPr>
          <w:rFonts w:ascii="Times New Roman" w:hAnsi="Times New Roman"/>
          <w:sz w:val="24"/>
          <w:szCs w:val="24"/>
        </w:rPr>
        <w:t xml:space="preserve"> млн.</w:t>
      </w:r>
      <w:r w:rsidR="00AF2438" w:rsidRPr="00145E0F">
        <w:rPr>
          <w:rFonts w:ascii="Times New Roman" w:hAnsi="Times New Roman"/>
          <w:sz w:val="24"/>
          <w:szCs w:val="24"/>
        </w:rPr>
        <w:t xml:space="preserve"> </w:t>
      </w:r>
      <w:r w:rsidRPr="00145E0F">
        <w:rPr>
          <w:rFonts w:ascii="Times New Roman" w:hAnsi="Times New Roman"/>
          <w:sz w:val="24"/>
          <w:szCs w:val="24"/>
        </w:rPr>
        <w:t>рублей;</w:t>
      </w:r>
    </w:p>
    <w:p w:rsidR="00AF7BA3"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 в 2023 году - по консервативному варианту – </w:t>
      </w:r>
      <w:r w:rsidR="00F8081D" w:rsidRPr="00145E0F">
        <w:rPr>
          <w:rFonts w:ascii="Times New Roman" w:hAnsi="Times New Roman"/>
          <w:sz w:val="24"/>
          <w:szCs w:val="24"/>
        </w:rPr>
        <w:t>600 476,2</w:t>
      </w:r>
      <w:r w:rsidRPr="00145E0F">
        <w:rPr>
          <w:rFonts w:ascii="Times New Roman" w:hAnsi="Times New Roman"/>
          <w:sz w:val="24"/>
          <w:szCs w:val="24"/>
        </w:rPr>
        <w:t xml:space="preserve"> млн.</w:t>
      </w:r>
      <w:r w:rsidR="00AF2438" w:rsidRPr="00145E0F">
        <w:rPr>
          <w:rFonts w:ascii="Times New Roman" w:hAnsi="Times New Roman"/>
          <w:sz w:val="24"/>
          <w:szCs w:val="24"/>
        </w:rPr>
        <w:t xml:space="preserve"> </w:t>
      </w:r>
      <w:r w:rsidRPr="00145E0F">
        <w:rPr>
          <w:rFonts w:ascii="Times New Roman" w:hAnsi="Times New Roman"/>
          <w:sz w:val="24"/>
          <w:szCs w:val="24"/>
        </w:rPr>
        <w:t xml:space="preserve">рублей, по базовому варианту прогноза – </w:t>
      </w:r>
      <w:r w:rsidR="00F8081D" w:rsidRPr="00145E0F">
        <w:rPr>
          <w:rFonts w:ascii="Times New Roman" w:hAnsi="Times New Roman"/>
          <w:sz w:val="24"/>
          <w:szCs w:val="24"/>
        </w:rPr>
        <w:t>651 069,8</w:t>
      </w:r>
      <w:r w:rsidRPr="00145E0F">
        <w:rPr>
          <w:rFonts w:ascii="Times New Roman" w:hAnsi="Times New Roman"/>
          <w:sz w:val="24"/>
          <w:szCs w:val="24"/>
        </w:rPr>
        <w:t xml:space="preserve"> млн.</w:t>
      </w:r>
      <w:r w:rsidR="00AF2438" w:rsidRPr="00145E0F">
        <w:rPr>
          <w:rFonts w:ascii="Times New Roman" w:hAnsi="Times New Roman"/>
          <w:sz w:val="24"/>
          <w:szCs w:val="24"/>
        </w:rPr>
        <w:t xml:space="preserve"> </w:t>
      </w:r>
      <w:r w:rsidRPr="00145E0F">
        <w:rPr>
          <w:rFonts w:ascii="Times New Roman" w:hAnsi="Times New Roman"/>
          <w:sz w:val="24"/>
          <w:szCs w:val="24"/>
        </w:rPr>
        <w:t>рублей.</w:t>
      </w:r>
    </w:p>
    <w:p w:rsidR="00C5284F" w:rsidRPr="00145E0F" w:rsidRDefault="00C5284F" w:rsidP="00C5284F">
      <w:pPr>
        <w:pStyle w:val="aa"/>
        <w:widowControl w:val="0"/>
        <w:numPr>
          <w:ilvl w:val="0"/>
          <w:numId w:val="2"/>
        </w:numPr>
        <w:tabs>
          <w:tab w:val="clear" w:pos="0"/>
          <w:tab w:val="num" w:pos="720"/>
        </w:tabs>
        <w:spacing w:before="0" w:after="0" w:line="276" w:lineRule="auto"/>
        <w:ind w:left="0" w:firstLine="709"/>
        <w:jc w:val="both"/>
      </w:pPr>
      <w:r w:rsidRPr="00145E0F">
        <w:t xml:space="preserve">Прогнозные значения </w:t>
      </w:r>
      <w:r>
        <w:t xml:space="preserve">в промышленном секторе экономики городского округа Тольятти </w:t>
      </w:r>
      <w:r w:rsidRPr="00145E0F">
        <w:t xml:space="preserve">на 2021 и 2022 годы корректируются в сторону </w:t>
      </w:r>
      <w:proofErr w:type="gramStart"/>
      <w:r w:rsidRPr="00145E0F">
        <w:t>снижения  с</w:t>
      </w:r>
      <w:proofErr w:type="gramEnd"/>
      <w:r w:rsidRPr="00145E0F">
        <w:t xml:space="preserve"> учётом фактических за </w:t>
      </w:r>
      <w:r>
        <w:t>1</w:t>
      </w:r>
      <w:r w:rsidRPr="00145E0F">
        <w:t xml:space="preserve"> полугодие 2020 года, сложившихся в размере значительно ниже, чем прогнозировались годом ранее, за счет ограничительных мер, принятых в мире в связи с распространением новой коронавирусной инфекции. </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Существенный вклад в формирование динамики объемов производства внесет эффективная деятельность основных крупных промышленных предприятий автомобилестроения и химической отрасли.</w:t>
      </w:r>
    </w:p>
    <w:p w:rsidR="00AF7BA3" w:rsidRPr="00145E0F" w:rsidRDefault="00AF7BA3" w:rsidP="00837A2A">
      <w:pPr>
        <w:spacing w:after="0"/>
        <w:ind w:firstLine="709"/>
        <w:jc w:val="both"/>
        <w:rPr>
          <w:rFonts w:ascii="Times New Roman" w:hAnsi="Times New Roman"/>
          <w:sz w:val="24"/>
          <w:szCs w:val="24"/>
        </w:rPr>
      </w:pPr>
      <w:r w:rsidRPr="00145E0F">
        <w:rPr>
          <w:rFonts w:ascii="Times New Roman" w:hAnsi="Times New Roman"/>
          <w:sz w:val="24"/>
          <w:szCs w:val="24"/>
        </w:rPr>
        <w:t xml:space="preserve">На дальнейшее развитие автомобилестроения в прогнозном периоде окажут влияние спрос на отечественные автомобили на внутреннем и внешнем рынках; разработка и постановка на конвейер новых моделей и силовых агрегатов АО «АВТОВАЗ» в сотрудничестве с Альянсом Renault-Nissan; расширение продаж автомобилей производства АО «АВТОВАЗ» за счет экспорта; </w:t>
      </w:r>
      <w:proofErr w:type="spellStart"/>
      <w:r w:rsidRPr="00145E0F">
        <w:rPr>
          <w:rFonts w:ascii="Times New Roman" w:hAnsi="Times New Roman"/>
          <w:sz w:val="24"/>
          <w:szCs w:val="24"/>
        </w:rPr>
        <w:t>импортозамещение</w:t>
      </w:r>
      <w:proofErr w:type="spellEnd"/>
      <w:r w:rsidRPr="00145E0F">
        <w:rPr>
          <w:rFonts w:ascii="Times New Roman" w:hAnsi="Times New Roman"/>
          <w:sz w:val="24"/>
          <w:szCs w:val="24"/>
        </w:rPr>
        <w:t xml:space="preserve"> автокомпонентов для производства АО «АВТОВАЗ»; меры по стимулированию российского рынка легковых автомобилей.</w:t>
      </w:r>
    </w:p>
    <w:p w:rsidR="00AF7BA3" w:rsidRDefault="00742143" w:rsidP="00837A2A">
      <w:pPr>
        <w:spacing w:after="0"/>
        <w:ind w:firstLine="709"/>
        <w:jc w:val="both"/>
        <w:outlineLvl w:val="0"/>
        <w:rPr>
          <w:rFonts w:ascii="Times New Roman" w:hAnsi="Times New Roman"/>
          <w:sz w:val="24"/>
          <w:szCs w:val="24"/>
        </w:rPr>
      </w:pPr>
      <w:r>
        <w:rPr>
          <w:rFonts w:ascii="Times New Roman" w:hAnsi="Times New Roman"/>
          <w:sz w:val="24"/>
          <w:szCs w:val="24"/>
        </w:rPr>
        <w:t xml:space="preserve">В случае </w:t>
      </w:r>
      <w:r w:rsidRPr="00C1254F">
        <w:rPr>
          <w:rFonts w:ascii="Times New Roman" w:hAnsi="Times New Roman"/>
          <w:sz w:val="24"/>
          <w:szCs w:val="24"/>
        </w:rPr>
        <w:t>вве</w:t>
      </w:r>
      <w:r>
        <w:rPr>
          <w:rFonts w:ascii="Times New Roman" w:hAnsi="Times New Roman"/>
          <w:sz w:val="24"/>
          <w:szCs w:val="24"/>
        </w:rPr>
        <w:t>дения в 2021 году на градообразующем предприятии АО «АВТОВАЗ»</w:t>
      </w:r>
      <w:r w:rsidRPr="00C1254F">
        <w:rPr>
          <w:rFonts w:ascii="Times New Roman" w:hAnsi="Times New Roman"/>
          <w:sz w:val="24"/>
          <w:szCs w:val="24"/>
        </w:rPr>
        <w:t xml:space="preserve"> неполн</w:t>
      </w:r>
      <w:r>
        <w:rPr>
          <w:rFonts w:ascii="Times New Roman" w:hAnsi="Times New Roman"/>
          <w:sz w:val="24"/>
          <w:szCs w:val="24"/>
        </w:rPr>
        <w:t>ой</w:t>
      </w:r>
      <w:r w:rsidRPr="00C1254F">
        <w:rPr>
          <w:rFonts w:ascii="Times New Roman" w:hAnsi="Times New Roman"/>
          <w:sz w:val="24"/>
          <w:szCs w:val="24"/>
        </w:rPr>
        <w:t xml:space="preserve"> четырехдневн</w:t>
      </w:r>
      <w:r>
        <w:rPr>
          <w:rFonts w:ascii="Times New Roman" w:hAnsi="Times New Roman"/>
          <w:sz w:val="24"/>
          <w:szCs w:val="24"/>
        </w:rPr>
        <w:t>ой</w:t>
      </w:r>
      <w:r w:rsidRPr="00C1254F">
        <w:rPr>
          <w:rFonts w:ascii="Times New Roman" w:hAnsi="Times New Roman"/>
          <w:sz w:val="24"/>
          <w:szCs w:val="24"/>
        </w:rPr>
        <w:t xml:space="preserve"> рабоч</w:t>
      </w:r>
      <w:r>
        <w:rPr>
          <w:rFonts w:ascii="Times New Roman" w:hAnsi="Times New Roman"/>
          <w:sz w:val="24"/>
          <w:szCs w:val="24"/>
        </w:rPr>
        <w:t>ей</w:t>
      </w:r>
      <w:r w:rsidRPr="00C1254F">
        <w:rPr>
          <w:rFonts w:ascii="Times New Roman" w:hAnsi="Times New Roman"/>
          <w:sz w:val="24"/>
          <w:szCs w:val="24"/>
        </w:rPr>
        <w:t xml:space="preserve"> недел</w:t>
      </w:r>
      <w:r>
        <w:rPr>
          <w:rFonts w:ascii="Times New Roman" w:hAnsi="Times New Roman"/>
          <w:sz w:val="24"/>
          <w:szCs w:val="24"/>
        </w:rPr>
        <w:t>и</w:t>
      </w:r>
      <w:r w:rsidRPr="00C1254F">
        <w:rPr>
          <w:rFonts w:ascii="Times New Roman" w:hAnsi="Times New Roman"/>
          <w:sz w:val="24"/>
          <w:szCs w:val="24"/>
        </w:rPr>
        <w:t xml:space="preserve"> </w:t>
      </w:r>
      <w:r>
        <w:rPr>
          <w:rFonts w:ascii="Times New Roman" w:hAnsi="Times New Roman"/>
          <w:sz w:val="24"/>
          <w:szCs w:val="24"/>
        </w:rPr>
        <w:t>в связи с негативными прогнозами развития российского автомобильного рынка</w:t>
      </w:r>
      <w:r w:rsidRPr="00145E0F">
        <w:rPr>
          <w:rFonts w:ascii="Times New Roman" w:hAnsi="Times New Roman"/>
          <w:sz w:val="24"/>
          <w:szCs w:val="24"/>
        </w:rPr>
        <w:t xml:space="preserve"> </w:t>
      </w:r>
      <w:r w:rsidR="00837A2A">
        <w:rPr>
          <w:rFonts w:ascii="Times New Roman" w:hAnsi="Times New Roman"/>
          <w:sz w:val="24"/>
          <w:szCs w:val="24"/>
        </w:rPr>
        <w:t>по консервативному варианту прогноза ожидается снижение показателей в 2021 году п</w:t>
      </w:r>
      <w:r w:rsidR="00AF7BA3" w:rsidRPr="00145E0F">
        <w:rPr>
          <w:rFonts w:ascii="Times New Roman" w:hAnsi="Times New Roman"/>
          <w:sz w:val="24"/>
          <w:szCs w:val="24"/>
        </w:rPr>
        <w:t>о виду экономической деятельности «Производство автотранспортных средств, прицепов и полуприцепов»</w:t>
      </w:r>
      <w:r w:rsidR="00837A2A">
        <w:rPr>
          <w:rFonts w:ascii="Times New Roman" w:hAnsi="Times New Roman"/>
          <w:sz w:val="24"/>
          <w:szCs w:val="24"/>
        </w:rPr>
        <w:t xml:space="preserve"> и по промышленности городского округа Тольятти в целом.</w:t>
      </w:r>
      <w:r w:rsidR="00AF7BA3" w:rsidRPr="00145E0F">
        <w:rPr>
          <w:rFonts w:ascii="Times New Roman" w:hAnsi="Times New Roman"/>
          <w:sz w:val="24"/>
          <w:szCs w:val="24"/>
        </w:rPr>
        <w:t xml:space="preserve"> </w:t>
      </w:r>
    </w:p>
    <w:p w:rsidR="00837A2A" w:rsidRPr="00145E0F" w:rsidRDefault="00837A2A" w:rsidP="00837A2A">
      <w:pPr>
        <w:spacing w:after="0"/>
        <w:ind w:firstLine="709"/>
        <w:jc w:val="both"/>
        <w:outlineLvl w:val="0"/>
        <w:rPr>
          <w:rFonts w:ascii="Times New Roman" w:hAnsi="Times New Roman"/>
          <w:sz w:val="24"/>
          <w:szCs w:val="24"/>
        </w:rPr>
      </w:pPr>
      <w:r>
        <w:rPr>
          <w:rFonts w:ascii="Times New Roman" w:hAnsi="Times New Roman"/>
          <w:sz w:val="24"/>
          <w:szCs w:val="24"/>
        </w:rPr>
        <w:t>Базовый вариант основывается на более благоприятной ситуации на автомобильном рынке страны и стабильной работе предприятий городского округа Тольятти.</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Всего по городскому округу Тольятти по консервативному и базовому вариантам прогноза в 2023 году будет произведено легковых автомобилей: </w:t>
      </w:r>
      <w:r w:rsidR="00F8081D" w:rsidRPr="00145E0F">
        <w:rPr>
          <w:rFonts w:ascii="Times New Roman" w:hAnsi="Times New Roman"/>
          <w:sz w:val="24"/>
          <w:szCs w:val="24"/>
        </w:rPr>
        <w:t>342,5</w:t>
      </w:r>
      <w:r w:rsidRPr="00145E0F">
        <w:rPr>
          <w:rFonts w:ascii="Times New Roman" w:hAnsi="Times New Roman"/>
          <w:sz w:val="24"/>
          <w:szCs w:val="24"/>
        </w:rPr>
        <w:t xml:space="preserve"> тыс. штук (на </w:t>
      </w:r>
      <w:r w:rsidR="00103EBB" w:rsidRPr="00145E0F">
        <w:rPr>
          <w:rFonts w:ascii="Times New Roman" w:hAnsi="Times New Roman"/>
          <w:sz w:val="24"/>
          <w:szCs w:val="24"/>
        </w:rPr>
        <w:t>5,1</w:t>
      </w:r>
      <w:r w:rsidRPr="00145E0F">
        <w:rPr>
          <w:rFonts w:ascii="Times New Roman" w:hAnsi="Times New Roman"/>
          <w:sz w:val="24"/>
          <w:szCs w:val="24"/>
        </w:rPr>
        <w:t xml:space="preserve">% </w:t>
      </w:r>
      <w:r w:rsidR="00CE0AC9" w:rsidRPr="00145E0F">
        <w:rPr>
          <w:rFonts w:ascii="Times New Roman" w:hAnsi="Times New Roman"/>
          <w:sz w:val="24"/>
          <w:szCs w:val="24"/>
        </w:rPr>
        <w:t>больше</w:t>
      </w:r>
      <w:r w:rsidRPr="00145E0F">
        <w:rPr>
          <w:rFonts w:ascii="Times New Roman" w:hAnsi="Times New Roman"/>
          <w:sz w:val="24"/>
          <w:szCs w:val="24"/>
        </w:rPr>
        <w:t xml:space="preserve"> 20</w:t>
      </w:r>
      <w:r w:rsidR="00CE0AC9" w:rsidRPr="00145E0F">
        <w:rPr>
          <w:rFonts w:ascii="Times New Roman" w:hAnsi="Times New Roman"/>
          <w:sz w:val="24"/>
          <w:szCs w:val="24"/>
        </w:rPr>
        <w:t>20</w:t>
      </w:r>
      <w:r w:rsidRPr="00145E0F">
        <w:rPr>
          <w:rFonts w:ascii="Times New Roman" w:hAnsi="Times New Roman"/>
          <w:sz w:val="24"/>
          <w:szCs w:val="24"/>
        </w:rPr>
        <w:t xml:space="preserve"> года) и </w:t>
      </w:r>
      <w:r w:rsidR="00103EBB" w:rsidRPr="00145E0F">
        <w:rPr>
          <w:rFonts w:ascii="Times New Roman" w:hAnsi="Times New Roman"/>
          <w:sz w:val="24"/>
          <w:szCs w:val="24"/>
        </w:rPr>
        <w:t>383,0</w:t>
      </w:r>
      <w:r w:rsidRPr="00145E0F">
        <w:rPr>
          <w:rFonts w:ascii="Times New Roman" w:hAnsi="Times New Roman"/>
          <w:sz w:val="24"/>
          <w:szCs w:val="24"/>
        </w:rPr>
        <w:t xml:space="preserve"> тыс. штук (на </w:t>
      </w:r>
      <w:r w:rsidR="00103EBB" w:rsidRPr="00145E0F">
        <w:rPr>
          <w:rFonts w:ascii="Times New Roman" w:hAnsi="Times New Roman"/>
          <w:sz w:val="24"/>
          <w:szCs w:val="24"/>
        </w:rPr>
        <w:t>17,5</w:t>
      </w:r>
      <w:r w:rsidRPr="00145E0F">
        <w:rPr>
          <w:rFonts w:ascii="Times New Roman" w:hAnsi="Times New Roman"/>
          <w:sz w:val="24"/>
          <w:szCs w:val="24"/>
        </w:rPr>
        <w:t>% больше 20</w:t>
      </w:r>
      <w:r w:rsidR="00CE0AC9" w:rsidRPr="00145E0F">
        <w:rPr>
          <w:rFonts w:ascii="Times New Roman" w:hAnsi="Times New Roman"/>
          <w:sz w:val="24"/>
          <w:szCs w:val="24"/>
        </w:rPr>
        <w:t>20</w:t>
      </w:r>
      <w:r w:rsidRPr="00145E0F">
        <w:rPr>
          <w:rFonts w:ascii="Times New Roman" w:hAnsi="Times New Roman"/>
          <w:sz w:val="24"/>
          <w:szCs w:val="24"/>
        </w:rPr>
        <w:t xml:space="preserve"> года) соответственно. </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Объем отгруженной продукции автомобильной промышленности к 2023 году достигнет: по консервативному варианту прогноза – </w:t>
      </w:r>
      <w:r w:rsidR="00103EBB" w:rsidRPr="00145E0F">
        <w:rPr>
          <w:rFonts w:ascii="Times New Roman" w:hAnsi="Times New Roman"/>
          <w:sz w:val="24"/>
          <w:szCs w:val="24"/>
        </w:rPr>
        <w:t>365 794,6</w:t>
      </w:r>
      <w:r w:rsidRPr="00145E0F">
        <w:rPr>
          <w:rFonts w:ascii="Times New Roman" w:hAnsi="Times New Roman"/>
          <w:sz w:val="24"/>
          <w:szCs w:val="24"/>
        </w:rPr>
        <w:t xml:space="preserve"> млн. рублей, по базовому варианту – </w:t>
      </w:r>
      <w:r w:rsidR="00103EBB" w:rsidRPr="00145E0F">
        <w:rPr>
          <w:rFonts w:ascii="Times New Roman" w:hAnsi="Times New Roman"/>
          <w:sz w:val="24"/>
          <w:szCs w:val="24"/>
        </w:rPr>
        <w:t>400 480,0</w:t>
      </w:r>
      <w:r w:rsidRPr="00145E0F">
        <w:rPr>
          <w:rFonts w:ascii="Times New Roman" w:hAnsi="Times New Roman"/>
          <w:sz w:val="24"/>
          <w:szCs w:val="24"/>
        </w:rPr>
        <w:t xml:space="preserve"> млн. рублей.  </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Согласно среднесрочному плану развития до 2026 года АО «АВТОВАЗ» выпустит две новые модели и обновит четыре.  Всего к 2026 году предприятие планирует запустить 12 новых моделей и 11 </w:t>
      </w:r>
      <w:proofErr w:type="spellStart"/>
      <w:r w:rsidRPr="00145E0F">
        <w:rPr>
          <w:rFonts w:ascii="Times New Roman" w:hAnsi="Times New Roman"/>
          <w:sz w:val="24"/>
          <w:szCs w:val="24"/>
        </w:rPr>
        <w:t>фейслифтов</w:t>
      </w:r>
      <w:proofErr w:type="spellEnd"/>
      <w:r w:rsidRPr="00145E0F">
        <w:rPr>
          <w:rFonts w:ascii="Times New Roman" w:hAnsi="Times New Roman"/>
          <w:sz w:val="24"/>
          <w:szCs w:val="24"/>
        </w:rPr>
        <w:t>.</w:t>
      </w:r>
    </w:p>
    <w:p w:rsidR="00C47241" w:rsidRPr="00145E0F" w:rsidRDefault="00C47241" w:rsidP="00862ECD">
      <w:pPr>
        <w:spacing w:after="0"/>
        <w:ind w:firstLine="709"/>
        <w:jc w:val="both"/>
        <w:rPr>
          <w:rFonts w:ascii="Times New Roman" w:hAnsi="Times New Roman"/>
          <w:iCs/>
          <w:sz w:val="24"/>
          <w:szCs w:val="24"/>
        </w:rPr>
      </w:pPr>
      <w:r w:rsidRPr="00145E0F">
        <w:rPr>
          <w:rFonts w:ascii="Times New Roman" w:hAnsi="Times New Roman"/>
          <w:sz w:val="24"/>
          <w:szCs w:val="24"/>
        </w:rPr>
        <w:t>Положительная динамика в автомобилестроении обеспечит в прогнозном периоде рост объемов смежных производств: производства текстильных изделий</w:t>
      </w:r>
      <w:r w:rsidRPr="00145E0F">
        <w:rPr>
          <w:rFonts w:ascii="Times New Roman" w:hAnsi="Times New Roman"/>
          <w:iCs/>
          <w:sz w:val="24"/>
          <w:szCs w:val="24"/>
        </w:rPr>
        <w:t xml:space="preserve"> и </w:t>
      </w:r>
      <w:r w:rsidRPr="00145E0F">
        <w:rPr>
          <w:rFonts w:ascii="Times New Roman" w:hAnsi="Times New Roman"/>
          <w:sz w:val="24"/>
          <w:szCs w:val="24"/>
        </w:rPr>
        <w:t>резиновых и пластмассовых изделий будут демонстрировать умеренный, но стабильный рост</w:t>
      </w:r>
      <w:r w:rsidRPr="00145E0F">
        <w:rPr>
          <w:rFonts w:ascii="Times New Roman" w:hAnsi="Times New Roman"/>
          <w:iCs/>
          <w:sz w:val="24"/>
          <w:szCs w:val="24"/>
        </w:rPr>
        <w:t>.</w:t>
      </w:r>
    </w:p>
    <w:p w:rsidR="00C47241" w:rsidRPr="00145E0F" w:rsidRDefault="00C47241" w:rsidP="00862ECD">
      <w:pPr>
        <w:spacing w:after="0"/>
        <w:ind w:firstLine="709"/>
        <w:jc w:val="both"/>
        <w:rPr>
          <w:rFonts w:ascii="Times New Roman" w:hAnsi="Times New Roman"/>
          <w:sz w:val="24"/>
          <w:szCs w:val="24"/>
        </w:rPr>
      </w:pPr>
      <w:r w:rsidRPr="00145E0F">
        <w:rPr>
          <w:rFonts w:ascii="Times New Roman" w:hAnsi="Times New Roman"/>
          <w:sz w:val="24"/>
          <w:szCs w:val="24"/>
        </w:rPr>
        <w:t>С учетом низкой базы предыдущих периодов на основании планов по техническому перевооружению и модернизации производственных мощностей, освоению новых видов продукции увеличится производство: прочей неметаллической минеральной продукции, металлургическое производство, производство электрического оборудования и производстве готовых металлических изделий.</w:t>
      </w:r>
    </w:p>
    <w:p w:rsidR="00923300" w:rsidRDefault="00C47241" w:rsidP="00862ECD">
      <w:pPr>
        <w:spacing w:after="0"/>
        <w:ind w:firstLine="709"/>
        <w:jc w:val="both"/>
        <w:rPr>
          <w:rFonts w:ascii="Times New Roman" w:hAnsi="Times New Roman"/>
          <w:iCs/>
          <w:sz w:val="24"/>
          <w:szCs w:val="24"/>
        </w:rPr>
      </w:pPr>
      <w:r w:rsidRPr="00145E0F">
        <w:rPr>
          <w:rFonts w:ascii="Times New Roman" w:hAnsi="Times New Roman"/>
          <w:sz w:val="24"/>
          <w:szCs w:val="24"/>
        </w:rPr>
        <w:t xml:space="preserve">На динамику промышленного производства окажет влияние реализация инвестиционных проектов </w:t>
      </w:r>
      <w:r w:rsidR="00B56045">
        <w:rPr>
          <w:rFonts w:ascii="Times New Roman" w:hAnsi="Times New Roman"/>
          <w:sz w:val="24"/>
          <w:szCs w:val="24"/>
        </w:rPr>
        <w:t>резидентами ТОСЭР «Тольятти», благодаря которой на территории</w:t>
      </w:r>
      <w:r w:rsidR="00B56045">
        <w:rPr>
          <w:rFonts w:ascii="Times New Roman" w:hAnsi="Times New Roman"/>
          <w:iCs/>
          <w:sz w:val="24"/>
          <w:szCs w:val="24"/>
        </w:rPr>
        <w:t xml:space="preserve"> городского </w:t>
      </w:r>
      <w:r w:rsidR="00AC0D52">
        <w:rPr>
          <w:rFonts w:ascii="Times New Roman" w:hAnsi="Times New Roman"/>
          <w:iCs/>
          <w:sz w:val="24"/>
          <w:szCs w:val="24"/>
        </w:rPr>
        <w:t>округа Тольятти</w:t>
      </w:r>
      <w:r w:rsidR="00B56045">
        <w:rPr>
          <w:rFonts w:ascii="Times New Roman" w:hAnsi="Times New Roman"/>
          <w:iCs/>
          <w:sz w:val="24"/>
          <w:szCs w:val="24"/>
        </w:rPr>
        <w:t xml:space="preserve"> </w:t>
      </w:r>
      <w:r w:rsidRPr="00145E0F">
        <w:rPr>
          <w:rFonts w:ascii="Times New Roman" w:hAnsi="Times New Roman"/>
          <w:iCs/>
          <w:sz w:val="24"/>
          <w:szCs w:val="24"/>
        </w:rPr>
        <w:t xml:space="preserve">открываются новые предприятия. </w:t>
      </w:r>
    </w:p>
    <w:p w:rsidR="00C47241" w:rsidRPr="00145E0F" w:rsidRDefault="00C47241" w:rsidP="00862ECD">
      <w:pPr>
        <w:spacing w:after="0"/>
        <w:ind w:firstLine="709"/>
        <w:jc w:val="both"/>
        <w:rPr>
          <w:rFonts w:ascii="Times New Roman" w:hAnsi="Times New Roman"/>
          <w:iCs/>
          <w:sz w:val="24"/>
          <w:szCs w:val="24"/>
        </w:rPr>
      </w:pPr>
      <w:r w:rsidRPr="00145E0F">
        <w:rPr>
          <w:rFonts w:ascii="Times New Roman" w:hAnsi="Times New Roman"/>
          <w:iCs/>
          <w:sz w:val="24"/>
          <w:szCs w:val="24"/>
        </w:rPr>
        <w:t xml:space="preserve">Большинство резидентов ТОСЭР «Тольятти» приступили к реализации проектов в различных видах промышленной деятельности (производство пищевых продуктов, кожгалантерейных изделий, вентиляционного оборудования, светодиодного оборудования, радиаторов отопления, мебели и т.д.), что будет способствовать росту объемов и разнообразию видов производимой в </w:t>
      </w:r>
      <w:r w:rsidR="00B56045">
        <w:rPr>
          <w:rFonts w:ascii="Times New Roman" w:hAnsi="Times New Roman"/>
          <w:iCs/>
          <w:sz w:val="24"/>
          <w:szCs w:val="24"/>
        </w:rPr>
        <w:t>городском округе</w:t>
      </w:r>
      <w:r w:rsidRPr="00145E0F">
        <w:rPr>
          <w:rFonts w:ascii="Times New Roman" w:hAnsi="Times New Roman"/>
          <w:iCs/>
          <w:sz w:val="24"/>
          <w:szCs w:val="24"/>
        </w:rPr>
        <w:t xml:space="preserve"> </w:t>
      </w:r>
      <w:r w:rsidR="00862ECD">
        <w:rPr>
          <w:rFonts w:ascii="Times New Roman" w:hAnsi="Times New Roman"/>
          <w:iCs/>
          <w:sz w:val="24"/>
          <w:szCs w:val="24"/>
        </w:rPr>
        <w:t xml:space="preserve">Тольятти </w:t>
      </w:r>
      <w:r w:rsidRPr="00145E0F">
        <w:rPr>
          <w:rFonts w:ascii="Times New Roman" w:hAnsi="Times New Roman"/>
          <w:iCs/>
          <w:sz w:val="24"/>
          <w:szCs w:val="24"/>
        </w:rPr>
        <w:t>продукции.</w:t>
      </w:r>
    </w:p>
    <w:p w:rsidR="00C47241" w:rsidRPr="00145E0F" w:rsidRDefault="00C47241"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 xml:space="preserve">В производстве строительных материалов резидент ТОСЭР «Тольятти» ООО «Завод ЖБИ ФЛОРКОН» намерен реализовать проект по созданию быстроразвертываемого высокотехнологичного производства железобетонных изделий. </w:t>
      </w:r>
    </w:p>
    <w:p w:rsidR="00C47241" w:rsidRPr="00145E0F" w:rsidRDefault="00C47241"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В производстве электрического оборудования АО «АКОМ» планирует организовать производство промышленных свинцовых аккумуляторных батарей. Еще один резидент ТОСЭР «Тольятти» – ООО «Валео Технолоджи Рус» – намерен реализовать проект по</w:t>
      </w:r>
      <w:r w:rsidRPr="00145E0F">
        <w:rPr>
          <w:rFonts w:ascii="Times New Roman" w:hAnsi="Times New Roman"/>
          <w:sz w:val="24"/>
          <w:szCs w:val="24"/>
        </w:rPr>
        <w:t xml:space="preserve"> </w:t>
      </w:r>
      <w:r w:rsidRPr="00145E0F">
        <w:rPr>
          <w:rFonts w:ascii="Times New Roman" w:hAnsi="Times New Roman"/>
          <w:spacing w:val="-2"/>
          <w:sz w:val="24"/>
          <w:szCs w:val="24"/>
        </w:rPr>
        <w:t xml:space="preserve">производству компонентов и систем для автомобильной индустрии.  </w:t>
      </w:r>
    </w:p>
    <w:p w:rsidR="00AF7BA3" w:rsidRPr="00145E0F" w:rsidRDefault="00AF7BA3" w:rsidP="00862ECD">
      <w:pPr>
        <w:spacing w:after="0"/>
        <w:ind w:firstLine="709"/>
        <w:jc w:val="both"/>
        <w:rPr>
          <w:rFonts w:ascii="Times New Roman" w:hAnsi="Times New Roman"/>
          <w:bCs/>
          <w:sz w:val="24"/>
          <w:szCs w:val="24"/>
        </w:rPr>
      </w:pPr>
      <w:r w:rsidRPr="00145E0F">
        <w:rPr>
          <w:rFonts w:ascii="Times New Roman" w:hAnsi="Times New Roman"/>
          <w:sz w:val="24"/>
          <w:szCs w:val="24"/>
        </w:rPr>
        <w:t>Ситуация в химическом комплексе</w:t>
      </w:r>
      <w:r w:rsidRPr="00145E0F">
        <w:rPr>
          <w:rFonts w:ascii="Times New Roman" w:hAnsi="Times New Roman"/>
          <w:bCs/>
          <w:sz w:val="24"/>
          <w:szCs w:val="24"/>
        </w:rPr>
        <w:t xml:space="preserve"> </w:t>
      </w:r>
      <w:r w:rsidR="00CC4504">
        <w:rPr>
          <w:rFonts w:ascii="Times New Roman" w:hAnsi="Times New Roman"/>
          <w:bCs/>
          <w:sz w:val="24"/>
          <w:szCs w:val="24"/>
        </w:rPr>
        <w:t xml:space="preserve">городского </w:t>
      </w:r>
      <w:r w:rsidR="00AC0D52">
        <w:rPr>
          <w:rFonts w:ascii="Times New Roman" w:hAnsi="Times New Roman"/>
          <w:bCs/>
          <w:sz w:val="24"/>
          <w:szCs w:val="24"/>
        </w:rPr>
        <w:t>округа Тольятти</w:t>
      </w:r>
      <w:r w:rsidRPr="00145E0F">
        <w:rPr>
          <w:rFonts w:ascii="Times New Roman" w:hAnsi="Times New Roman"/>
          <w:bCs/>
          <w:sz w:val="24"/>
          <w:szCs w:val="24"/>
        </w:rPr>
        <w:t xml:space="preserve"> будет определяться макроэкономическими условиями, влияющими на инвестиционную активность предприятий, колебанием цен и усилением конкуренции на мировом рынке химической продукции. </w:t>
      </w:r>
    </w:p>
    <w:p w:rsidR="00AF7BA3" w:rsidRPr="00145E0F" w:rsidRDefault="00AF7BA3" w:rsidP="00862ECD">
      <w:pPr>
        <w:widowControl w:val="0"/>
        <w:spacing w:after="0"/>
        <w:ind w:firstLine="709"/>
        <w:jc w:val="both"/>
        <w:rPr>
          <w:rFonts w:ascii="Times New Roman" w:hAnsi="Times New Roman"/>
          <w:bCs/>
          <w:sz w:val="24"/>
          <w:szCs w:val="24"/>
        </w:rPr>
      </w:pPr>
      <w:r w:rsidRPr="00145E0F">
        <w:rPr>
          <w:rFonts w:ascii="Times New Roman" w:hAnsi="Times New Roman"/>
          <w:bCs/>
          <w:sz w:val="24"/>
          <w:szCs w:val="24"/>
        </w:rPr>
        <w:t xml:space="preserve">Дальнейшее развитие химического производства обусловлено реализацией инвестиционных проектов на </w:t>
      </w:r>
      <w:r w:rsidR="00AF2438" w:rsidRPr="00145E0F">
        <w:rPr>
          <w:rFonts w:ascii="Times New Roman" w:hAnsi="Times New Roman"/>
          <w:bCs/>
          <w:sz w:val="24"/>
          <w:szCs w:val="24"/>
        </w:rPr>
        <w:t xml:space="preserve">крупнейших </w:t>
      </w:r>
      <w:r w:rsidRPr="00145E0F">
        <w:rPr>
          <w:rFonts w:ascii="Times New Roman" w:hAnsi="Times New Roman"/>
          <w:bCs/>
          <w:sz w:val="24"/>
          <w:szCs w:val="24"/>
        </w:rPr>
        <w:t xml:space="preserve">предприятиях городского округа Тольятти, а также развитием промышленной площадки индустриального парка </w:t>
      </w:r>
      <w:r w:rsidR="00B56045">
        <w:rPr>
          <w:rFonts w:ascii="Times New Roman" w:hAnsi="Times New Roman"/>
          <w:bCs/>
          <w:sz w:val="24"/>
          <w:szCs w:val="24"/>
        </w:rPr>
        <w:t xml:space="preserve">АО </w:t>
      </w:r>
      <w:r w:rsidRPr="00145E0F">
        <w:rPr>
          <w:rFonts w:ascii="Times New Roman" w:hAnsi="Times New Roman"/>
          <w:bCs/>
          <w:sz w:val="24"/>
          <w:szCs w:val="24"/>
        </w:rPr>
        <w:t>«Тольяттисинтез».</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Химическое производств</w:t>
      </w:r>
      <w:r w:rsidR="001634C4" w:rsidRPr="00145E0F">
        <w:rPr>
          <w:rFonts w:ascii="Times New Roman" w:hAnsi="Times New Roman"/>
          <w:sz w:val="24"/>
          <w:szCs w:val="24"/>
        </w:rPr>
        <w:t>о</w:t>
      </w:r>
      <w:r w:rsidRPr="00145E0F">
        <w:rPr>
          <w:rFonts w:ascii="Times New Roman" w:hAnsi="Times New Roman"/>
          <w:sz w:val="24"/>
          <w:szCs w:val="24"/>
        </w:rPr>
        <w:t xml:space="preserve"> будет расти и максимальное его значение </w:t>
      </w:r>
      <w:r w:rsidR="00FD4D0C" w:rsidRPr="00145E0F">
        <w:rPr>
          <w:rFonts w:ascii="Times New Roman" w:hAnsi="Times New Roman"/>
          <w:sz w:val="24"/>
          <w:szCs w:val="24"/>
        </w:rPr>
        <w:t xml:space="preserve">за трехлетний период </w:t>
      </w:r>
      <w:r w:rsidRPr="00145E0F">
        <w:rPr>
          <w:rFonts w:ascii="Times New Roman" w:hAnsi="Times New Roman"/>
          <w:sz w:val="24"/>
          <w:szCs w:val="24"/>
        </w:rPr>
        <w:t>прогнозируется в 202</w:t>
      </w:r>
      <w:r w:rsidR="001634C4" w:rsidRPr="00145E0F">
        <w:rPr>
          <w:rFonts w:ascii="Times New Roman" w:hAnsi="Times New Roman"/>
          <w:sz w:val="24"/>
          <w:szCs w:val="24"/>
        </w:rPr>
        <w:t>1</w:t>
      </w:r>
      <w:r w:rsidRPr="00145E0F">
        <w:rPr>
          <w:rFonts w:ascii="Times New Roman" w:hAnsi="Times New Roman"/>
          <w:sz w:val="24"/>
          <w:szCs w:val="24"/>
        </w:rPr>
        <w:t xml:space="preserve"> году (</w:t>
      </w:r>
      <w:r w:rsidR="00103EBB" w:rsidRPr="00145E0F">
        <w:rPr>
          <w:rFonts w:ascii="Times New Roman" w:hAnsi="Times New Roman"/>
          <w:sz w:val="24"/>
          <w:szCs w:val="24"/>
        </w:rPr>
        <w:t>104,8</w:t>
      </w:r>
      <w:r w:rsidRPr="00145E0F">
        <w:rPr>
          <w:rFonts w:ascii="Times New Roman" w:hAnsi="Times New Roman"/>
          <w:sz w:val="24"/>
          <w:szCs w:val="24"/>
        </w:rPr>
        <w:t xml:space="preserve">% по базовому варианту) в соответствии с производственными планами крупнейших химических предприятий </w:t>
      </w:r>
      <w:r w:rsidR="00CC4504">
        <w:rPr>
          <w:rFonts w:ascii="Times New Roman" w:hAnsi="Times New Roman"/>
          <w:sz w:val="24"/>
          <w:szCs w:val="24"/>
        </w:rPr>
        <w:t xml:space="preserve">городского </w:t>
      </w:r>
      <w:r w:rsidR="00AC0D52">
        <w:rPr>
          <w:rFonts w:ascii="Times New Roman" w:hAnsi="Times New Roman"/>
          <w:sz w:val="24"/>
          <w:szCs w:val="24"/>
        </w:rPr>
        <w:t>округа Тольятти</w:t>
      </w:r>
      <w:r w:rsidRPr="00145E0F">
        <w:rPr>
          <w:rFonts w:ascii="Times New Roman" w:hAnsi="Times New Roman"/>
          <w:sz w:val="24"/>
          <w:szCs w:val="24"/>
        </w:rPr>
        <w:t>.</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На ПАО «КуйбышевАзот» в прогнозном периоде в результате завершения инвестиционных проектов планируется наращивание производства минеральных удобрений, капролактама, карбамида, полиамида-6, аммиачной селитры и другое. </w:t>
      </w:r>
    </w:p>
    <w:p w:rsidR="00AF7BA3" w:rsidRPr="00145E0F" w:rsidRDefault="00AF7BA3" w:rsidP="00862ECD">
      <w:pPr>
        <w:widowControl w:val="0"/>
        <w:spacing w:after="0"/>
        <w:ind w:firstLine="709"/>
        <w:jc w:val="both"/>
        <w:rPr>
          <w:rFonts w:ascii="Times New Roman" w:hAnsi="Times New Roman"/>
          <w:sz w:val="24"/>
          <w:szCs w:val="24"/>
        </w:rPr>
      </w:pPr>
      <w:r w:rsidRPr="00145E0F">
        <w:rPr>
          <w:rFonts w:ascii="Times New Roman" w:hAnsi="Times New Roman"/>
          <w:sz w:val="24"/>
          <w:szCs w:val="24"/>
        </w:rPr>
        <w:t>ПАО «Тольяттиазот» построит третий агрегат карбамида, который позволит увеличить производство до 2200 тонн/сутки (в среднем в год – 3,5 тыс. тонн аммиака), продолжит модернизировать установки производства аммиака.</w:t>
      </w:r>
    </w:p>
    <w:p w:rsidR="00AF7BA3" w:rsidRPr="00145E0F" w:rsidRDefault="00AF7BA3" w:rsidP="00862ECD">
      <w:pPr>
        <w:widowControl w:val="0"/>
        <w:spacing w:after="0"/>
        <w:ind w:firstLine="709"/>
        <w:jc w:val="both"/>
        <w:rPr>
          <w:rFonts w:ascii="Times New Roman" w:hAnsi="Times New Roman"/>
          <w:sz w:val="24"/>
          <w:szCs w:val="24"/>
        </w:rPr>
      </w:pPr>
      <w:r w:rsidRPr="00145E0F">
        <w:rPr>
          <w:rFonts w:ascii="Times New Roman" w:hAnsi="Times New Roman"/>
          <w:sz w:val="24"/>
          <w:szCs w:val="24"/>
        </w:rPr>
        <w:t>Резиденты ТОСЭР «Тольятти» ООО «</w:t>
      </w:r>
      <w:proofErr w:type="spellStart"/>
      <w:r w:rsidRPr="00145E0F">
        <w:rPr>
          <w:rFonts w:ascii="Times New Roman" w:hAnsi="Times New Roman"/>
          <w:sz w:val="24"/>
          <w:szCs w:val="24"/>
        </w:rPr>
        <w:t>Волгатехноол</w:t>
      </w:r>
      <w:proofErr w:type="spellEnd"/>
      <w:r w:rsidRPr="00145E0F">
        <w:rPr>
          <w:rFonts w:ascii="Times New Roman" w:hAnsi="Times New Roman"/>
          <w:sz w:val="24"/>
          <w:szCs w:val="24"/>
        </w:rPr>
        <w:t xml:space="preserve">» и ООО «ВОЛГАФЕРТ» приступили к реализации крупных инвестиционных проектов по строительству установки по производству серной кислоты марки </w:t>
      </w:r>
      <w:r w:rsidR="00923300">
        <w:rPr>
          <w:rFonts w:ascii="Times New Roman" w:hAnsi="Times New Roman"/>
          <w:sz w:val="24"/>
          <w:szCs w:val="24"/>
        </w:rPr>
        <w:t>«</w:t>
      </w:r>
      <w:r w:rsidRPr="00145E0F">
        <w:rPr>
          <w:rFonts w:ascii="Times New Roman" w:hAnsi="Times New Roman"/>
          <w:sz w:val="24"/>
          <w:szCs w:val="24"/>
        </w:rPr>
        <w:t>К</w:t>
      </w:r>
      <w:r w:rsidR="00923300">
        <w:rPr>
          <w:rFonts w:ascii="Times New Roman" w:hAnsi="Times New Roman"/>
          <w:sz w:val="24"/>
          <w:szCs w:val="24"/>
        </w:rPr>
        <w:t>»</w:t>
      </w:r>
      <w:r w:rsidRPr="00145E0F">
        <w:rPr>
          <w:rFonts w:ascii="Times New Roman" w:hAnsi="Times New Roman"/>
          <w:sz w:val="24"/>
          <w:szCs w:val="24"/>
        </w:rPr>
        <w:t xml:space="preserve"> и улучшенного олеума суммарной мощностью 500 000 т/год в перерасчете на моногидрат и строительству установки гранулированного карбамида мощностью 1500 </w:t>
      </w:r>
      <w:proofErr w:type="spellStart"/>
      <w:r w:rsidRPr="00145E0F">
        <w:rPr>
          <w:rFonts w:ascii="Times New Roman" w:hAnsi="Times New Roman"/>
          <w:sz w:val="24"/>
          <w:szCs w:val="24"/>
        </w:rPr>
        <w:t>тн</w:t>
      </w:r>
      <w:proofErr w:type="spellEnd"/>
      <w:r w:rsidRPr="00145E0F">
        <w:rPr>
          <w:rFonts w:ascii="Times New Roman" w:hAnsi="Times New Roman"/>
          <w:sz w:val="24"/>
          <w:szCs w:val="24"/>
        </w:rPr>
        <w:t xml:space="preserve">/сутки. </w:t>
      </w:r>
    </w:p>
    <w:p w:rsidR="00AF7BA3" w:rsidRPr="00145E0F" w:rsidRDefault="00AF7BA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К 2023 году объем отгруженной химической продукции составит </w:t>
      </w:r>
      <w:r w:rsidR="00BA1B3D" w:rsidRPr="00145E0F">
        <w:rPr>
          <w:rFonts w:ascii="Times New Roman" w:hAnsi="Times New Roman"/>
          <w:sz w:val="24"/>
          <w:szCs w:val="24"/>
        </w:rPr>
        <w:t>137 638,0</w:t>
      </w:r>
      <w:r w:rsidRPr="00145E0F">
        <w:rPr>
          <w:rFonts w:ascii="Times New Roman" w:hAnsi="Times New Roman"/>
          <w:sz w:val="24"/>
          <w:szCs w:val="24"/>
        </w:rPr>
        <w:t xml:space="preserve"> млн. рублей и </w:t>
      </w:r>
      <w:r w:rsidR="00BA1B3D" w:rsidRPr="00145E0F">
        <w:rPr>
          <w:rFonts w:ascii="Times New Roman" w:hAnsi="Times New Roman"/>
          <w:sz w:val="24"/>
          <w:szCs w:val="24"/>
        </w:rPr>
        <w:t>147 264,7</w:t>
      </w:r>
      <w:r w:rsidRPr="00145E0F">
        <w:rPr>
          <w:rFonts w:ascii="Times New Roman" w:hAnsi="Times New Roman"/>
          <w:sz w:val="24"/>
          <w:szCs w:val="24"/>
        </w:rPr>
        <w:t xml:space="preserve"> млн. рублей по вариантам прогноза соответственно. </w:t>
      </w:r>
    </w:p>
    <w:p w:rsidR="00BA1B3D" w:rsidRPr="00145E0F" w:rsidRDefault="00BA1B3D" w:rsidP="00862ECD">
      <w:pPr>
        <w:spacing w:after="0"/>
        <w:ind w:firstLine="709"/>
        <w:jc w:val="both"/>
        <w:rPr>
          <w:rFonts w:ascii="Times New Roman" w:hAnsi="Times New Roman"/>
          <w:sz w:val="24"/>
          <w:szCs w:val="24"/>
        </w:rPr>
      </w:pPr>
      <w:r w:rsidRPr="00145E0F">
        <w:rPr>
          <w:rFonts w:ascii="Times New Roman" w:hAnsi="Times New Roman"/>
          <w:sz w:val="24"/>
          <w:szCs w:val="24"/>
        </w:rPr>
        <w:t>В 2021-2023 годах по базовому варианту прогноза развитие производства пищевой промышленности характеризуется умеренным ростом</w:t>
      </w:r>
      <w:r w:rsidR="00FD4D0C" w:rsidRPr="00145E0F">
        <w:rPr>
          <w:rFonts w:ascii="Times New Roman" w:hAnsi="Times New Roman"/>
          <w:sz w:val="24"/>
          <w:szCs w:val="24"/>
        </w:rPr>
        <w:t>, который за три года по базовому варианту составит 114,9%</w:t>
      </w:r>
      <w:r w:rsidRPr="00145E0F">
        <w:rPr>
          <w:rFonts w:ascii="Times New Roman" w:hAnsi="Times New Roman"/>
          <w:sz w:val="24"/>
          <w:szCs w:val="24"/>
        </w:rPr>
        <w:t xml:space="preserve">. Конкурентоспособность продуктов пищевого производства по-прежнему будет определять ценовой фактор и наличие спроса населения на продукты питания. По консервативному варианту возможно небольшое снижение производства </w:t>
      </w:r>
      <w:r w:rsidR="00923300">
        <w:rPr>
          <w:rFonts w:ascii="Times New Roman" w:hAnsi="Times New Roman"/>
          <w:sz w:val="24"/>
          <w:szCs w:val="24"/>
        </w:rPr>
        <w:t xml:space="preserve">три прогнозных года </w:t>
      </w:r>
      <w:r w:rsidRPr="00145E0F">
        <w:rPr>
          <w:rFonts w:ascii="Times New Roman" w:hAnsi="Times New Roman"/>
          <w:sz w:val="24"/>
          <w:szCs w:val="24"/>
        </w:rPr>
        <w:t>к высокой базе 2020 года – на 1,5%.</w:t>
      </w:r>
    </w:p>
    <w:p w:rsidR="00AF7BA3" w:rsidRPr="00145E0F" w:rsidRDefault="00AF7BA3" w:rsidP="00862ECD">
      <w:pPr>
        <w:autoSpaceDE w:val="0"/>
        <w:autoSpaceDN w:val="0"/>
        <w:adjustRightInd w:val="0"/>
        <w:spacing w:after="0"/>
        <w:ind w:firstLine="709"/>
        <w:jc w:val="both"/>
        <w:rPr>
          <w:rFonts w:ascii="Times New Roman" w:hAnsi="Times New Roman"/>
          <w:color w:val="000000"/>
          <w:sz w:val="24"/>
          <w:szCs w:val="24"/>
        </w:rPr>
      </w:pPr>
      <w:r w:rsidRPr="00145E0F">
        <w:rPr>
          <w:rFonts w:ascii="Times New Roman" w:hAnsi="Times New Roman"/>
          <w:color w:val="000000"/>
          <w:sz w:val="24"/>
          <w:szCs w:val="24"/>
        </w:rPr>
        <w:t>За счёт расширения ассортимента и качества производимой продукции, а также технического перевооружения и модернизации производства в прогнозном периоде прогнозируется рост</w:t>
      </w:r>
      <w:r w:rsidR="00FD4D0C" w:rsidRPr="00145E0F">
        <w:rPr>
          <w:rFonts w:ascii="Times New Roman" w:hAnsi="Times New Roman"/>
          <w:color w:val="000000"/>
          <w:sz w:val="24"/>
          <w:szCs w:val="24"/>
        </w:rPr>
        <w:t xml:space="preserve"> производства пищевых продуктов:</w:t>
      </w:r>
      <w:r w:rsidRPr="00145E0F">
        <w:rPr>
          <w:rFonts w:ascii="Times New Roman" w:hAnsi="Times New Roman"/>
          <w:color w:val="000000"/>
          <w:sz w:val="24"/>
          <w:szCs w:val="24"/>
        </w:rPr>
        <w:t xml:space="preserve"> </w:t>
      </w:r>
      <w:r w:rsidR="00FD4D0C" w:rsidRPr="00145E0F">
        <w:rPr>
          <w:rFonts w:ascii="Times New Roman" w:hAnsi="Times New Roman"/>
          <w:color w:val="000000"/>
          <w:sz w:val="24"/>
          <w:szCs w:val="24"/>
        </w:rPr>
        <w:t>п</w:t>
      </w:r>
      <w:r w:rsidRPr="00145E0F">
        <w:rPr>
          <w:rFonts w:ascii="Times New Roman" w:hAnsi="Times New Roman"/>
          <w:color w:val="000000"/>
          <w:sz w:val="24"/>
          <w:szCs w:val="24"/>
        </w:rPr>
        <w:t>рогнозируется увеличение выпуска колбасных изделий, полуфабрикатов мясных, хлеба и хлебобулочных изделий, кондитерских изделий.</w:t>
      </w:r>
    </w:p>
    <w:p w:rsidR="00AF7BA3" w:rsidRPr="00145E0F" w:rsidRDefault="00AF7BA3" w:rsidP="00862ECD">
      <w:pPr>
        <w:autoSpaceDE w:val="0"/>
        <w:autoSpaceDN w:val="0"/>
        <w:adjustRightInd w:val="0"/>
        <w:spacing w:after="0"/>
        <w:ind w:firstLine="709"/>
        <w:jc w:val="both"/>
        <w:rPr>
          <w:rFonts w:ascii="Times New Roman" w:hAnsi="Times New Roman"/>
          <w:color w:val="000000"/>
          <w:sz w:val="24"/>
          <w:szCs w:val="24"/>
        </w:rPr>
      </w:pPr>
      <w:r w:rsidRPr="00145E0F">
        <w:rPr>
          <w:rFonts w:ascii="Times New Roman" w:hAnsi="Times New Roman"/>
          <w:color w:val="000000"/>
          <w:sz w:val="24"/>
          <w:szCs w:val="24"/>
        </w:rPr>
        <w:t>Для развития пищевой промышленности необходимо развитие мелких производств. Это позволит не только расширить конкурентную среду, но и насытить рынок продовольствия продуктами питания расширенного ассортимента по более низким ценам.</w:t>
      </w:r>
    </w:p>
    <w:p w:rsidR="00AF7BA3" w:rsidRPr="00145E0F" w:rsidRDefault="00BA1B3D" w:rsidP="00862ECD">
      <w:pPr>
        <w:widowControl w:val="0"/>
        <w:spacing w:after="0"/>
        <w:ind w:right="2" w:firstLine="708"/>
        <w:jc w:val="both"/>
        <w:rPr>
          <w:rFonts w:ascii="Times New Roman" w:hAnsi="Times New Roman"/>
          <w:sz w:val="24"/>
          <w:szCs w:val="24"/>
        </w:rPr>
      </w:pPr>
      <w:r w:rsidRPr="00145E0F">
        <w:rPr>
          <w:rFonts w:ascii="Times New Roman" w:hAnsi="Times New Roman"/>
          <w:spacing w:val="-2"/>
          <w:sz w:val="24"/>
          <w:szCs w:val="24"/>
        </w:rPr>
        <w:t>Р</w:t>
      </w:r>
      <w:r w:rsidR="00AF7BA3" w:rsidRPr="00145E0F">
        <w:rPr>
          <w:rFonts w:ascii="Times New Roman" w:hAnsi="Times New Roman"/>
          <w:spacing w:val="-2"/>
          <w:sz w:val="24"/>
          <w:szCs w:val="24"/>
        </w:rPr>
        <w:t xml:space="preserve">езидентом ТОСЭР «Тольятти» ОАО «КАРАТ-Тольятти» реализуется крупный проект по строительству завода по производству твердых, сливочных, творожных и других типов сыров (9 тыс. тонн продукции в год). ООО Мясокомбинат «Лада» осуществляет проект по Модернизации производства полного цикла </w:t>
      </w:r>
      <w:r w:rsidR="007A25C7">
        <w:rPr>
          <w:rFonts w:ascii="Times New Roman" w:hAnsi="Times New Roman"/>
          <w:spacing w:val="-2"/>
          <w:sz w:val="24"/>
          <w:szCs w:val="24"/>
        </w:rPr>
        <w:t xml:space="preserve">переработки и выпуска продукции </w:t>
      </w:r>
      <w:r w:rsidR="00AF7BA3" w:rsidRPr="00145E0F">
        <w:rPr>
          <w:rFonts w:ascii="Times New Roman" w:hAnsi="Times New Roman"/>
          <w:spacing w:val="-2"/>
          <w:sz w:val="24"/>
          <w:szCs w:val="24"/>
        </w:rPr>
        <w:t xml:space="preserve">(2 тыс. тонн продукции в год). ООО «ФАБРИКА БИСКВИТА» с проектом по строительству фабрики по производству бисквитных мучных изделий (22 тыс. тонн продукции в год).  </w:t>
      </w:r>
      <w:r w:rsidR="00AF7BA3" w:rsidRPr="00145E0F">
        <w:rPr>
          <w:rFonts w:ascii="Times New Roman" w:hAnsi="Times New Roman"/>
          <w:sz w:val="24"/>
          <w:szCs w:val="24"/>
        </w:rPr>
        <w:t>Основной производитель кондитерских изделий в Тольятти - ООО «КФ «</w:t>
      </w:r>
      <w:r w:rsidR="007A25C7" w:rsidRPr="00145E0F">
        <w:rPr>
          <w:rFonts w:ascii="Times New Roman" w:hAnsi="Times New Roman"/>
          <w:sz w:val="24"/>
          <w:szCs w:val="24"/>
        </w:rPr>
        <w:t>СЛАСТИ» расширяет</w:t>
      </w:r>
      <w:r w:rsidR="00AF7BA3" w:rsidRPr="00145E0F">
        <w:rPr>
          <w:rFonts w:ascii="Times New Roman" w:hAnsi="Times New Roman"/>
          <w:sz w:val="24"/>
          <w:szCs w:val="24"/>
        </w:rPr>
        <w:t xml:space="preserve"> действующее производство кондитерских изделий, в том числе за счет мучных и кондитерских изделий (2,4 тыс. тонн продукции в год). ООО «БИСКО ТТИ» и ООО «ПАРМА» реализуют проекты по созданию производства макарон и мучных кондитерских изделий (77 тон продукции в год и 800 тонн продукции в год соответственно).</w:t>
      </w:r>
    </w:p>
    <w:p w:rsidR="00C47241" w:rsidRPr="00145E0F" w:rsidRDefault="003510D5" w:rsidP="00862ECD">
      <w:pPr>
        <w:spacing w:after="0"/>
        <w:ind w:firstLine="709"/>
        <w:jc w:val="both"/>
        <w:rPr>
          <w:rFonts w:ascii="Times New Roman" w:hAnsi="Times New Roman"/>
          <w:iCs/>
          <w:sz w:val="24"/>
          <w:szCs w:val="24"/>
        </w:rPr>
      </w:pPr>
      <w:r w:rsidRPr="00145E0F">
        <w:rPr>
          <w:rFonts w:ascii="Times New Roman" w:hAnsi="Times New Roman"/>
          <w:sz w:val="24"/>
          <w:szCs w:val="24"/>
        </w:rPr>
        <w:t>Прир</w:t>
      </w:r>
      <w:r w:rsidR="00C47241" w:rsidRPr="00145E0F">
        <w:rPr>
          <w:rFonts w:ascii="Times New Roman" w:hAnsi="Times New Roman"/>
          <w:sz w:val="24"/>
          <w:szCs w:val="24"/>
        </w:rPr>
        <w:t xml:space="preserve">ост производства по виду деятельности «Обеспечение электрической энергией, газом и паром; кондиционирование воздуха» к концу прогнозного периода составит 0,8% и 8,9% к уровню 2020 года по двум вариантам прогноза соответственно и будет обусловлен различной степенью восстановления обрабатывающего сектора промышленности </w:t>
      </w:r>
      <w:r w:rsidR="00CC4504">
        <w:rPr>
          <w:rFonts w:ascii="Times New Roman" w:hAnsi="Times New Roman"/>
          <w:sz w:val="24"/>
          <w:szCs w:val="24"/>
        </w:rPr>
        <w:t xml:space="preserve">городского </w:t>
      </w:r>
      <w:r w:rsidR="00AC0D52">
        <w:rPr>
          <w:rFonts w:ascii="Times New Roman" w:hAnsi="Times New Roman"/>
          <w:sz w:val="24"/>
          <w:szCs w:val="24"/>
        </w:rPr>
        <w:t>округа Тольятти</w:t>
      </w:r>
      <w:r w:rsidR="00C47241" w:rsidRPr="00145E0F">
        <w:rPr>
          <w:rFonts w:ascii="Times New Roman" w:hAnsi="Times New Roman"/>
          <w:sz w:val="24"/>
          <w:szCs w:val="24"/>
        </w:rPr>
        <w:t xml:space="preserve">. </w:t>
      </w:r>
    </w:p>
    <w:p w:rsidR="00C47241" w:rsidRPr="00145E0F" w:rsidRDefault="00C47241" w:rsidP="00862ECD">
      <w:pPr>
        <w:spacing w:after="0"/>
        <w:ind w:firstLine="709"/>
        <w:jc w:val="both"/>
        <w:rPr>
          <w:rFonts w:ascii="Times New Roman" w:hAnsi="Times New Roman"/>
          <w:iCs/>
          <w:sz w:val="24"/>
          <w:szCs w:val="24"/>
        </w:rPr>
      </w:pPr>
      <w:r w:rsidRPr="00145E0F">
        <w:rPr>
          <w:rFonts w:ascii="Times New Roman" w:hAnsi="Times New Roman"/>
          <w:iCs/>
          <w:sz w:val="24"/>
          <w:szCs w:val="24"/>
        </w:rPr>
        <w:t xml:space="preserve">По виду деятельности «Водоснабжение; водоотведение, организация сбора и утилизации отходов, деятельность по ликвидации загрязнений» объемы производства расти не будут с учетом снижения численности постоянного населения и умеренных темпов роста промышленного производства. К факторам, определяющим тенденции развития данного вида деятельности, можно отнести продолжение предприятиями модернизации и реконструкции водопроводных и канализационных сетей, очистных сооружений, а также уровень объемов сбора и переработки отходов производства и потребления. </w:t>
      </w:r>
    </w:p>
    <w:p w:rsidR="00AF7BA3" w:rsidRPr="00145E0F" w:rsidRDefault="00AF7BA3" w:rsidP="00862ECD">
      <w:pPr>
        <w:spacing w:after="0"/>
        <w:ind w:right="-1" w:firstLine="709"/>
        <w:jc w:val="both"/>
        <w:rPr>
          <w:rFonts w:ascii="Times New Roman" w:eastAsia="Calibri" w:hAnsi="Times New Roman"/>
          <w:sz w:val="24"/>
          <w:szCs w:val="24"/>
          <w:lang w:eastAsia="en-US"/>
        </w:rPr>
      </w:pPr>
      <w:r w:rsidRPr="00145E0F">
        <w:rPr>
          <w:rFonts w:ascii="Times New Roman" w:eastAsia="Calibri" w:hAnsi="Times New Roman"/>
          <w:sz w:val="24"/>
          <w:szCs w:val="24"/>
          <w:lang w:eastAsia="en-US"/>
        </w:rPr>
        <w:t xml:space="preserve">Одним из важных факторов экономического роста является увеличение производительности труда, основанное на технологической модернизации производств, внедрении принципов бережливого производства, цифровых технологий, стимулировании инновационной деятельности, повышении квалификации персонала. Росту производительности труда будет способствовать реализация региональной составляющей национального проекта «Производительность труда и поддержка занятости».  </w:t>
      </w:r>
    </w:p>
    <w:p w:rsidR="00AF7BA3" w:rsidRPr="00145E0F" w:rsidRDefault="00AF7BA3" w:rsidP="000343FC">
      <w:pPr>
        <w:spacing w:before="120" w:after="0"/>
        <w:ind w:right="-1" w:firstLine="709"/>
        <w:jc w:val="both"/>
        <w:rPr>
          <w:rFonts w:ascii="Times New Roman" w:eastAsia="Calibri" w:hAnsi="Times New Roman"/>
          <w:sz w:val="24"/>
          <w:szCs w:val="24"/>
          <w:lang w:eastAsia="en-US"/>
        </w:rPr>
      </w:pPr>
      <w:r w:rsidRPr="00145E0F">
        <w:rPr>
          <w:rFonts w:ascii="Times New Roman" w:eastAsia="Calibri" w:hAnsi="Times New Roman"/>
          <w:sz w:val="24"/>
          <w:szCs w:val="24"/>
          <w:lang w:eastAsia="en-US"/>
        </w:rPr>
        <w:t xml:space="preserve">В </w:t>
      </w:r>
      <w:r w:rsidR="00837A2A">
        <w:rPr>
          <w:rFonts w:ascii="Times New Roman" w:eastAsia="Calibri" w:hAnsi="Times New Roman"/>
          <w:sz w:val="24"/>
          <w:szCs w:val="24"/>
          <w:lang w:eastAsia="en-US"/>
        </w:rPr>
        <w:t>текущем году</w:t>
      </w:r>
      <w:r w:rsidRPr="00145E0F">
        <w:rPr>
          <w:rFonts w:ascii="Times New Roman" w:eastAsia="Calibri" w:hAnsi="Times New Roman"/>
          <w:sz w:val="24"/>
          <w:szCs w:val="24"/>
          <w:lang w:eastAsia="en-US"/>
        </w:rPr>
        <w:t xml:space="preserve"> участниками национального проекта стали 25 тольяттинских организаций</w:t>
      </w:r>
      <w:r w:rsidR="00C47241" w:rsidRPr="00145E0F">
        <w:rPr>
          <w:rFonts w:ascii="Times New Roman" w:eastAsia="Calibri" w:hAnsi="Times New Roman"/>
          <w:sz w:val="24"/>
          <w:szCs w:val="24"/>
          <w:lang w:eastAsia="en-US"/>
        </w:rPr>
        <w:t xml:space="preserve"> (более 30% от предприятий Самарской области – участников национального проекта)</w:t>
      </w:r>
      <w:r w:rsidRPr="00145E0F">
        <w:rPr>
          <w:rFonts w:ascii="Times New Roman" w:eastAsia="Calibri" w:hAnsi="Times New Roman"/>
          <w:sz w:val="24"/>
          <w:szCs w:val="24"/>
          <w:lang w:eastAsia="en-US"/>
        </w:rPr>
        <w:t>, которые должны повысить производительность труда не менее, чем на 30% за 3 года.</w:t>
      </w:r>
    </w:p>
    <w:p w:rsidR="003D3198" w:rsidRPr="00E0127F" w:rsidRDefault="003D3198" w:rsidP="000343FC">
      <w:pPr>
        <w:pStyle w:val="a8"/>
        <w:spacing w:before="120" w:after="240" w:line="276" w:lineRule="auto"/>
        <w:jc w:val="center"/>
        <w:rPr>
          <w:rFonts w:ascii="Times New Roman" w:eastAsiaTheme="majorEastAsia" w:hAnsi="Times New Roman" w:cs="Times New Roman"/>
          <w:b/>
          <w:sz w:val="24"/>
          <w:szCs w:val="24"/>
          <w:lang w:eastAsia="ru-RU"/>
        </w:rPr>
      </w:pPr>
      <w:r w:rsidRPr="00E0127F">
        <w:rPr>
          <w:rFonts w:ascii="Times New Roman" w:eastAsiaTheme="majorEastAsia" w:hAnsi="Times New Roman" w:cs="Times New Roman"/>
          <w:b/>
          <w:sz w:val="24"/>
          <w:szCs w:val="24"/>
          <w:lang w:eastAsia="ru-RU"/>
        </w:rPr>
        <w:t>Малое и среднее предпринимательство</w:t>
      </w:r>
      <w:bookmarkStart w:id="2" w:name="предприним"/>
      <w:bookmarkEnd w:id="2"/>
    </w:p>
    <w:p w:rsidR="005F7BC9" w:rsidRPr="00145E0F" w:rsidRDefault="003D3198" w:rsidP="00862ECD">
      <w:pPr>
        <w:spacing w:after="0"/>
        <w:ind w:right="-1" w:firstLine="709"/>
        <w:jc w:val="both"/>
        <w:rPr>
          <w:rFonts w:ascii="Times New Roman" w:eastAsia="Calibri" w:hAnsi="Times New Roman"/>
          <w:sz w:val="24"/>
          <w:szCs w:val="24"/>
          <w:lang w:eastAsia="en-US"/>
        </w:rPr>
      </w:pPr>
      <w:r w:rsidRPr="00145E0F">
        <w:rPr>
          <w:rFonts w:ascii="Times New Roman" w:eastAsia="Calibri" w:hAnsi="Times New Roman"/>
          <w:sz w:val="24"/>
          <w:szCs w:val="24"/>
          <w:lang w:eastAsia="en-US"/>
        </w:rPr>
        <w:t>Прогноз развития малого и среднего предпринимательства по городскому округу Тольятти на 20</w:t>
      </w:r>
      <w:r w:rsidR="00730526" w:rsidRPr="00145E0F">
        <w:rPr>
          <w:rFonts w:ascii="Times New Roman" w:eastAsia="Calibri" w:hAnsi="Times New Roman"/>
          <w:sz w:val="24"/>
          <w:szCs w:val="24"/>
          <w:lang w:eastAsia="en-US"/>
        </w:rPr>
        <w:t>2</w:t>
      </w:r>
      <w:r w:rsidR="00AF7BA3" w:rsidRPr="00145E0F">
        <w:rPr>
          <w:rFonts w:ascii="Times New Roman" w:eastAsia="Calibri" w:hAnsi="Times New Roman"/>
          <w:sz w:val="24"/>
          <w:szCs w:val="24"/>
          <w:lang w:eastAsia="en-US"/>
        </w:rPr>
        <w:t>1</w:t>
      </w:r>
      <w:r w:rsidR="00730526" w:rsidRPr="00145E0F">
        <w:rPr>
          <w:rFonts w:ascii="Times New Roman" w:eastAsia="Calibri" w:hAnsi="Times New Roman"/>
          <w:sz w:val="24"/>
          <w:szCs w:val="24"/>
          <w:lang w:eastAsia="en-US"/>
        </w:rPr>
        <w:t xml:space="preserve"> </w:t>
      </w:r>
      <w:r w:rsidRPr="00145E0F">
        <w:rPr>
          <w:rFonts w:ascii="Times New Roman" w:eastAsia="Calibri" w:hAnsi="Times New Roman"/>
          <w:sz w:val="24"/>
          <w:szCs w:val="24"/>
          <w:lang w:eastAsia="en-US"/>
        </w:rPr>
        <w:t>-</w:t>
      </w:r>
      <w:r w:rsidR="00730526" w:rsidRPr="00145E0F">
        <w:rPr>
          <w:rFonts w:ascii="Times New Roman" w:eastAsia="Calibri" w:hAnsi="Times New Roman"/>
          <w:sz w:val="24"/>
          <w:szCs w:val="24"/>
          <w:lang w:eastAsia="en-US"/>
        </w:rPr>
        <w:t xml:space="preserve"> </w:t>
      </w:r>
      <w:r w:rsidRPr="00145E0F">
        <w:rPr>
          <w:rFonts w:ascii="Times New Roman" w:eastAsia="Calibri" w:hAnsi="Times New Roman"/>
          <w:sz w:val="24"/>
          <w:szCs w:val="24"/>
          <w:lang w:eastAsia="en-US"/>
        </w:rPr>
        <w:t>202</w:t>
      </w:r>
      <w:r w:rsidR="00AF7BA3" w:rsidRPr="00145E0F">
        <w:rPr>
          <w:rFonts w:ascii="Times New Roman" w:eastAsia="Calibri" w:hAnsi="Times New Roman"/>
          <w:sz w:val="24"/>
          <w:szCs w:val="24"/>
          <w:lang w:eastAsia="en-US"/>
        </w:rPr>
        <w:t>3</w:t>
      </w:r>
      <w:r w:rsidRPr="00145E0F">
        <w:rPr>
          <w:rFonts w:ascii="Times New Roman" w:eastAsia="Calibri" w:hAnsi="Times New Roman"/>
          <w:sz w:val="24"/>
          <w:szCs w:val="24"/>
          <w:lang w:eastAsia="en-US"/>
        </w:rPr>
        <w:t xml:space="preserve"> годы составлен на основе сведений, содержащихся в Едином реестре субъектов малого и среднего предпринимательства, размещенном в свободном доступе на официальном сайте </w:t>
      </w:r>
      <w:r w:rsidR="00C125EA" w:rsidRPr="00145E0F">
        <w:rPr>
          <w:rFonts w:ascii="Times New Roman" w:eastAsia="Calibri" w:hAnsi="Times New Roman"/>
          <w:sz w:val="24"/>
          <w:szCs w:val="24"/>
          <w:lang w:eastAsia="en-US"/>
        </w:rPr>
        <w:t>Федеральной налоговой службы</w:t>
      </w:r>
      <w:r w:rsidR="00730526" w:rsidRPr="00145E0F">
        <w:rPr>
          <w:rFonts w:ascii="Times New Roman" w:eastAsia="Calibri" w:hAnsi="Times New Roman"/>
          <w:sz w:val="24"/>
          <w:szCs w:val="24"/>
          <w:lang w:eastAsia="en-US"/>
        </w:rPr>
        <w:t xml:space="preserve"> </w:t>
      </w:r>
      <w:r w:rsidR="002444A7" w:rsidRPr="00145E0F">
        <w:rPr>
          <w:rFonts w:ascii="Times New Roman" w:eastAsia="Calibri" w:hAnsi="Times New Roman"/>
          <w:sz w:val="24"/>
          <w:szCs w:val="24"/>
          <w:lang w:eastAsia="en-US"/>
        </w:rPr>
        <w:t>России</w:t>
      </w:r>
      <w:r w:rsidR="005F7BC9" w:rsidRPr="00145E0F">
        <w:rPr>
          <w:rFonts w:ascii="Times New Roman" w:eastAsia="Calibri" w:hAnsi="Times New Roman"/>
          <w:sz w:val="24"/>
          <w:szCs w:val="24"/>
          <w:lang w:eastAsia="en-US"/>
        </w:rPr>
        <w:t>.</w:t>
      </w:r>
    </w:p>
    <w:p w:rsidR="003D3198" w:rsidRPr="00145E0F" w:rsidRDefault="005F7BC9" w:rsidP="00862ECD">
      <w:pPr>
        <w:spacing w:after="0"/>
        <w:ind w:right="-1" w:firstLine="709"/>
        <w:jc w:val="both"/>
        <w:rPr>
          <w:rFonts w:ascii="Times New Roman" w:eastAsia="Calibri" w:hAnsi="Times New Roman"/>
          <w:sz w:val="24"/>
          <w:szCs w:val="24"/>
          <w:lang w:eastAsia="en-US"/>
        </w:rPr>
      </w:pPr>
      <w:r w:rsidRPr="00145E0F">
        <w:rPr>
          <w:rFonts w:ascii="Times New Roman" w:eastAsia="Calibri" w:hAnsi="Times New Roman"/>
          <w:sz w:val="24"/>
          <w:szCs w:val="24"/>
          <w:lang w:eastAsia="en-US"/>
        </w:rPr>
        <w:t xml:space="preserve">Базовый вариант основан на постепенном увеличении деловой и предпринимательской активности и рассчитан с учетом </w:t>
      </w:r>
      <w:r w:rsidR="001004AF" w:rsidRPr="00145E0F">
        <w:rPr>
          <w:rFonts w:ascii="Times New Roman" w:eastAsia="Calibri" w:hAnsi="Times New Roman"/>
          <w:sz w:val="24"/>
          <w:szCs w:val="24"/>
          <w:lang w:eastAsia="en-US"/>
        </w:rPr>
        <w:t>планируем</w:t>
      </w:r>
      <w:r w:rsidRPr="00145E0F">
        <w:rPr>
          <w:rFonts w:ascii="Times New Roman" w:eastAsia="Calibri" w:hAnsi="Times New Roman"/>
          <w:sz w:val="24"/>
          <w:szCs w:val="24"/>
          <w:lang w:eastAsia="en-US"/>
        </w:rPr>
        <w:t>ого</w:t>
      </w:r>
      <w:r w:rsidR="001004AF" w:rsidRPr="00145E0F">
        <w:rPr>
          <w:rFonts w:ascii="Times New Roman" w:eastAsia="Calibri" w:hAnsi="Times New Roman"/>
          <w:sz w:val="24"/>
          <w:szCs w:val="24"/>
          <w:lang w:eastAsia="en-US"/>
        </w:rPr>
        <w:t xml:space="preserve"> прирост</w:t>
      </w:r>
      <w:r w:rsidRPr="00145E0F">
        <w:rPr>
          <w:rFonts w:ascii="Times New Roman" w:eastAsia="Calibri" w:hAnsi="Times New Roman"/>
          <w:sz w:val="24"/>
          <w:szCs w:val="24"/>
          <w:lang w:eastAsia="en-US"/>
        </w:rPr>
        <w:t>а</w:t>
      </w:r>
      <w:r w:rsidR="001004AF" w:rsidRPr="00145E0F">
        <w:rPr>
          <w:rFonts w:ascii="Times New Roman" w:eastAsia="Calibri" w:hAnsi="Times New Roman"/>
          <w:sz w:val="24"/>
          <w:szCs w:val="24"/>
          <w:lang w:eastAsia="en-US"/>
        </w:rPr>
        <w:t xml:space="preserve"> в рамках установленных для городского округа Тольятти значений целевых показателей национального проекта «Малое и среднее предпринимательство и поддержка индивидуальной предпринимательской инициативы» (далее по разделу – </w:t>
      </w:r>
      <w:r w:rsidR="00B56045">
        <w:rPr>
          <w:rFonts w:ascii="Times New Roman" w:eastAsia="Calibri" w:hAnsi="Times New Roman"/>
          <w:sz w:val="24"/>
          <w:szCs w:val="24"/>
          <w:lang w:eastAsia="en-US"/>
        </w:rPr>
        <w:t>Н</w:t>
      </w:r>
      <w:r w:rsidR="001004AF" w:rsidRPr="00145E0F">
        <w:rPr>
          <w:rFonts w:ascii="Times New Roman" w:eastAsia="Calibri" w:hAnsi="Times New Roman"/>
          <w:sz w:val="24"/>
          <w:szCs w:val="24"/>
          <w:lang w:eastAsia="en-US"/>
        </w:rPr>
        <w:t>ациональный проект</w:t>
      </w:r>
      <w:r w:rsidRPr="00145E0F">
        <w:rPr>
          <w:rFonts w:ascii="Times New Roman" w:eastAsia="Calibri" w:hAnsi="Times New Roman"/>
          <w:sz w:val="24"/>
          <w:szCs w:val="24"/>
          <w:lang w:eastAsia="en-US"/>
        </w:rPr>
        <w:t>).</w:t>
      </w:r>
    </w:p>
    <w:p w:rsidR="00AF7BA3" w:rsidRPr="00145E0F" w:rsidRDefault="00AF7BA3" w:rsidP="00862ECD">
      <w:pPr>
        <w:spacing w:after="0"/>
        <w:ind w:firstLine="709"/>
        <w:jc w:val="both"/>
        <w:rPr>
          <w:rFonts w:ascii="Times New Roman" w:hAnsi="Times New Roman"/>
          <w:color w:val="000000"/>
          <w:sz w:val="24"/>
          <w:szCs w:val="24"/>
        </w:rPr>
      </w:pPr>
      <w:r w:rsidRPr="00145E0F">
        <w:rPr>
          <w:rFonts w:ascii="Times New Roman" w:hAnsi="Times New Roman"/>
          <w:color w:val="000000"/>
          <w:sz w:val="24"/>
          <w:szCs w:val="24"/>
        </w:rPr>
        <w:t>По базовому варианту прогноза</w:t>
      </w:r>
      <w:r w:rsidR="00C47241" w:rsidRPr="00145E0F">
        <w:rPr>
          <w:rFonts w:ascii="Times New Roman" w:hAnsi="Times New Roman"/>
          <w:color w:val="000000"/>
          <w:sz w:val="24"/>
          <w:szCs w:val="24"/>
        </w:rPr>
        <w:t xml:space="preserve"> </w:t>
      </w:r>
      <w:r w:rsidRPr="00145E0F">
        <w:rPr>
          <w:rFonts w:ascii="Times New Roman" w:hAnsi="Times New Roman"/>
          <w:color w:val="000000"/>
          <w:sz w:val="24"/>
          <w:szCs w:val="24"/>
        </w:rPr>
        <w:t xml:space="preserve">число малых предприятий </w:t>
      </w:r>
      <w:r w:rsidR="005049C5" w:rsidRPr="00145E0F">
        <w:rPr>
          <w:rFonts w:ascii="Times New Roman" w:hAnsi="Times New Roman"/>
          <w:color w:val="000000"/>
          <w:sz w:val="24"/>
          <w:szCs w:val="24"/>
        </w:rPr>
        <w:t>к концу</w:t>
      </w:r>
      <w:r w:rsidRPr="00145E0F">
        <w:rPr>
          <w:rFonts w:ascii="Times New Roman" w:hAnsi="Times New Roman"/>
          <w:color w:val="000000"/>
          <w:sz w:val="24"/>
          <w:szCs w:val="24"/>
        </w:rPr>
        <w:t xml:space="preserve"> 2023 год</w:t>
      </w:r>
      <w:r w:rsidR="005049C5" w:rsidRPr="00145E0F">
        <w:rPr>
          <w:rFonts w:ascii="Times New Roman" w:hAnsi="Times New Roman"/>
          <w:color w:val="000000"/>
          <w:sz w:val="24"/>
          <w:szCs w:val="24"/>
        </w:rPr>
        <w:t>а</w:t>
      </w:r>
      <w:r w:rsidRPr="00145E0F">
        <w:rPr>
          <w:rFonts w:ascii="Times New Roman" w:hAnsi="Times New Roman"/>
          <w:color w:val="000000"/>
          <w:sz w:val="24"/>
          <w:szCs w:val="24"/>
        </w:rPr>
        <w:t xml:space="preserve"> </w:t>
      </w:r>
      <w:r w:rsidR="005049C5" w:rsidRPr="00145E0F">
        <w:rPr>
          <w:rFonts w:ascii="Times New Roman" w:hAnsi="Times New Roman"/>
          <w:color w:val="000000"/>
          <w:sz w:val="24"/>
          <w:szCs w:val="24"/>
        </w:rPr>
        <w:t>составит</w:t>
      </w:r>
      <w:r w:rsidRPr="00145E0F">
        <w:rPr>
          <w:rFonts w:ascii="Times New Roman" w:hAnsi="Times New Roman"/>
          <w:color w:val="000000"/>
          <w:sz w:val="24"/>
          <w:szCs w:val="24"/>
        </w:rPr>
        <w:t xml:space="preserve"> </w:t>
      </w:r>
      <w:r w:rsidR="005049C5" w:rsidRPr="00145E0F">
        <w:rPr>
          <w:rFonts w:ascii="Times New Roman" w:hAnsi="Times New Roman"/>
          <w:color w:val="000000"/>
          <w:sz w:val="24"/>
          <w:szCs w:val="24"/>
        </w:rPr>
        <w:t>33,5</w:t>
      </w:r>
      <w:r w:rsidRPr="00145E0F">
        <w:rPr>
          <w:rFonts w:ascii="Times New Roman" w:hAnsi="Times New Roman"/>
          <w:color w:val="000000"/>
          <w:sz w:val="24"/>
          <w:szCs w:val="24"/>
        </w:rPr>
        <w:t xml:space="preserve"> тыс. единиц</w:t>
      </w:r>
      <w:r w:rsidR="005049C5" w:rsidRPr="00145E0F">
        <w:rPr>
          <w:rFonts w:ascii="Times New Roman" w:hAnsi="Times New Roman"/>
          <w:color w:val="000000"/>
          <w:sz w:val="24"/>
          <w:szCs w:val="24"/>
        </w:rPr>
        <w:t>, что на 14,7% выше 2020 года</w:t>
      </w:r>
      <w:r w:rsidRPr="00145E0F">
        <w:rPr>
          <w:rFonts w:ascii="Times New Roman" w:hAnsi="Times New Roman"/>
          <w:color w:val="000000"/>
          <w:sz w:val="24"/>
          <w:szCs w:val="24"/>
        </w:rPr>
        <w:t xml:space="preserve">. </w:t>
      </w:r>
      <w:r w:rsidR="005049C5" w:rsidRPr="00145E0F">
        <w:rPr>
          <w:rFonts w:ascii="Times New Roman" w:hAnsi="Times New Roman"/>
          <w:color w:val="000000"/>
          <w:sz w:val="24"/>
          <w:szCs w:val="24"/>
        </w:rPr>
        <w:t xml:space="preserve">По консервативному варианту </w:t>
      </w:r>
      <w:r w:rsidR="005F7BC9" w:rsidRPr="00145E0F">
        <w:rPr>
          <w:rFonts w:ascii="Times New Roman" w:hAnsi="Times New Roman"/>
          <w:color w:val="000000"/>
          <w:sz w:val="24"/>
          <w:szCs w:val="24"/>
        </w:rPr>
        <w:t xml:space="preserve">с учетом менее динамичного </w:t>
      </w:r>
      <w:r w:rsidR="005F7BC9" w:rsidRPr="00145E0F">
        <w:rPr>
          <w:rFonts w:ascii="Times New Roman" w:hAnsi="Times New Roman"/>
          <w:sz w:val="24"/>
          <w:szCs w:val="24"/>
        </w:rPr>
        <w:t xml:space="preserve">выхода экономики </w:t>
      </w:r>
      <w:r w:rsidR="00CC4504">
        <w:rPr>
          <w:rFonts w:ascii="Times New Roman" w:hAnsi="Times New Roman"/>
          <w:sz w:val="24"/>
          <w:szCs w:val="24"/>
        </w:rPr>
        <w:t xml:space="preserve">городского </w:t>
      </w:r>
      <w:r w:rsidR="00AC0D52">
        <w:rPr>
          <w:rFonts w:ascii="Times New Roman" w:hAnsi="Times New Roman"/>
          <w:sz w:val="24"/>
          <w:szCs w:val="24"/>
        </w:rPr>
        <w:t>округа Тольятти</w:t>
      </w:r>
      <w:r w:rsidR="005F7BC9" w:rsidRPr="00145E0F">
        <w:rPr>
          <w:rFonts w:ascii="Times New Roman" w:hAnsi="Times New Roman"/>
          <w:sz w:val="24"/>
          <w:szCs w:val="24"/>
        </w:rPr>
        <w:t xml:space="preserve"> из кризиса</w:t>
      </w:r>
      <w:r w:rsidR="005F7BC9" w:rsidRPr="00145E0F">
        <w:rPr>
          <w:rFonts w:ascii="Times New Roman" w:hAnsi="Times New Roman"/>
          <w:color w:val="000000"/>
          <w:sz w:val="24"/>
          <w:szCs w:val="24"/>
        </w:rPr>
        <w:t xml:space="preserve"> </w:t>
      </w:r>
      <w:r w:rsidR="005049C5" w:rsidRPr="00145E0F">
        <w:rPr>
          <w:rFonts w:ascii="Times New Roman" w:hAnsi="Times New Roman"/>
          <w:color w:val="000000"/>
          <w:sz w:val="24"/>
          <w:szCs w:val="24"/>
        </w:rPr>
        <w:t>прирост показателя за три года составит 4,5%.</w:t>
      </w:r>
    </w:p>
    <w:p w:rsidR="00772F0C" w:rsidRDefault="00AF7BA3" w:rsidP="00862ECD">
      <w:pPr>
        <w:suppressAutoHyphens/>
        <w:spacing w:after="0"/>
        <w:ind w:firstLine="709"/>
        <w:jc w:val="both"/>
        <w:rPr>
          <w:rFonts w:ascii="Times New Roman" w:hAnsi="Times New Roman"/>
          <w:color w:val="000000"/>
          <w:sz w:val="24"/>
          <w:szCs w:val="24"/>
        </w:rPr>
      </w:pPr>
      <w:r w:rsidRPr="00145E0F">
        <w:rPr>
          <w:rFonts w:ascii="Times New Roman" w:hAnsi="Times New Roman"/>
          <w:color w:val="000000"/>
          <w:sz w:val="24"/>
          <w:szCs w:val="24"/>
        </w:rPr>
        <w:t xml:space="preserve">В прогнозном периоде увеличению количества </w:t>
      </w:r>
      <w:r w:rsidR="00B56045">
        <w:rPr>
          <w:rFonts w:ascii="Times New Roman" w:hAnsi="Times New Roman"/>
          <w:color w:val="000000"/>
          <w:sz w:val="24"/>
          <w:szCs w:val="24"/>
        </w:rPr>
        <w:t>субъектов малого и среднего предпринимательства</w:t>
      </w:r>
      <w:r w:rsidRPr="00145E0F">
        <w:rPr>
          <w:rFonts w:ascii="Times New Roman" w:hAnsi="Times New Roman"/>
          <w:color w:val="000000"/>
          <w:sz w:val="24"/>
          <w:szCs w:val="24"/>
        </w:rPr>
        <w:t xml:space="preserve"> будет способствовать</w:t>
      </w:r>
      <w:r w:rsidR="00772F0C">
        <w:rPr>
          <w:rFonts w:ascii="Times New Roman" w:hAnsi="Times New Roman"/>
          <w:color w:val="000000"/>
          <w:sz w:val="24"/>
          <w:szCs w:val="24"/>
        </w:rPr>
        <w:t>:</w:t>
      </w:r>
    </w:p>
    <w:p w:rsidR="00772F0C" w:rsidRDefault="00772F0C" w:rsidP="00862ECD">
      <w:pPr>
        <w:suppressAutoHyphens/>
        <w:spacing w:after="0"/>
        <w:ind w:firstLine="709"/>
        <w:jc w:val="both"/>
        <w:rPr>
          <w:rFonts w:ascii="Times New Roman" w:hAnsi="Times New Roman"/>
          <w:color w:val="000000"/>
          <w:sz w:val="24"/>
          <w:szCs w:val="24"/>
        </w:rPr>
      </w:pPr>
      <w:r>
        <w:rPr>
          <w:rFonts w:ascii="Times New Roman" w:hAnsi="Times New Roman"/>
          <w:color w:val="000000"/>
          <w:sz w:val="24"/>
          <w:szCs w:val="24"/>
        </w:rPr>
        <w:t>-</w:t>
      </w:r>
      <w:r w:rsidR="00AB31C6">
        <w:rPr>
          <w:rFonts w:ascii="Times New Roman" w:hAnsi="Times New Roman"/>
          <w:color w:val="000000"/>
          <w:sz w:val="24"/>
          <w:szCs w:val="24"/>
        </w:rPr>
        <w:t xml:space="preserve"> </w:t>
      </w:r>
      <w:r w:rsidR="00AF7BA3" w:rsidRPr="00145E0F">
        <w:rPr>
          <w:rFonts w:ascii="Times New Roman" w:hAnsi="Times New Roman"/>
          <w:color w:val="000000"/>
          <w:sz w:val="24"/>
          <w:szCs w:val="24"/>
        </w:rPr>
        <w:t xml:space="preserve">реализация мероприятий </w:t>
      </w:r>
      <w:r w:rsidR="00AB31C6" w:rsidRPr="00145E0F">
        <w:rPr>
          <w:rFonts w:ascii="Times New Roman" w:hAnsi="Times New Roman"/>
          <w:color w:val="000000"/>
          <w:sz w:val="24"/>
          <w:szCs w:val="24"/>
        </w:rPr>
        <w:t>Нац</w:t>
      </w:r>
      <w:r w:rsidR="00AB31C6">
        <w:rPr>
          <w:rFonts w:ascii="Times New Roman" w:hAnsi="Times New Roman"/>
          <w:color w:val="000000"/>
          <w:sz w:val="24"/>
          <w:szCs w:val="24"/>
        </w:rPr>
        <w:t xml:space="preserve">ионального </w:t>
      </w:r>
      <w:r w:rsidR="00AB31C6" w:rsidRPr="00145E0F">
        <w:rPr>
          <w:rFonts w:ascii="Times New Roman" w:hAnsi="Times New Roman"/>
          <w:color w:val="000000"/>
          <w:sz w:val="24"/>
          <w:szCs w:val="24"/>
        </w:rPr>
        <w:t>проекта</w:t>
      </w:r>
      <w:r>
        <w:rPr>
          <w:rFonts w:ascii="Times New Roman" w:hAnsi="Times New Roman"/>
          <w:color w:val="000000"/>
          <w:sz w:val="24"/>
          <w:szCs w:val="24"/>
        </w:rPr>
        <w:t>:</w:t>
      </w:r>
    </w:p>
    <w:p w:rsidR="00772F0C" w:rsidRDefault="00772F0C" w:rsidP="00862ECD">
      <w:pPr>
        <w:suppressAutoHyphens/>
        <w:spacing w:after="0"/>
        <w:ind w:firstLine="709"/>
        <w:jc w:val="both"/>
        <w:rPr>
          <w:rFonts w:ascii="Times New Roman" w:hAnsi="Times New Roman"/>
          <w:color w:val="000000"/>
          <w:sz w:val="24"/>
          <w:szCs w:val="24"/>
        </w:rPr>
      </w:pPr>
      <w:r>
        <w:rPr>
          <w:rFonts w:ascii="Times New Roman" w:hAnsi="Times New Roman"/>
          <w:color w:val="000000"/>
          <w:sz w:val="24"/>
          <w:szCs w:val="24"/>
        </w:rPr>
        <w:t>- реализация мероприятий государственной программы Самарской области «Развитие малого и среднего предпринимательства в Самарской области» на 2019-2030 годы;</w:t>
      </w:r>
    </w:p>
    <w:p w:rsidR="00AF7BA3" w:rsidRDefault="00772F0C" w:rsidP="00862ECD">
      <w:pPr>
        <w:suppressAutoHyphens/>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реализация мероприятий </w:t>
      </w:r>
      <w:r w:rsidR="00AF7BA3" w:rsidRPr="00145E0F">
        <w:rPr>
          <w:rFonts w:ascii="Times New Roman" w:hAnsi="Times New Roman"/>
          <w:color w:val="000000"/>
          <w:sz w:val="24"/>
          <w:szCs w:val="24"/>
        </w:rPr>
        <w:t>муниципальной программы городского округа Тольятти «Развитие малого и среднего предпринимательства городского окр</w:t>
      </w:r>
      <w:r w:rsidR="00E038BB" w:rsidRPr="00145E0F">
        <w:rPr>
          <w:rFonts w:ascii="Times New Roman" w:hAnsi="Times New Roman"/>
          <w:color w:val="000000"/>
          <w:sz w:val="24"/>
          <w:szCs w:val="24"/>
        </w:rPr>
        <w:t>уга Тольятти на 2018-2022 годы»</w:t>
      </w:r>
      <w:r w:rsidR="00AB31C6">
        <w:rPr>
          <w:rFonts w:ascii="Times New Roman" w:hAnsi="Times New Roman"/>
          <w:color w:val="000000"/>
          <w:sz w:val="24"/>
          <w:szCs w:val="24"/>
        </w:rPr>
        <w:t xml:space="preserve">; </w:t>
      </w:r>
    </w:p>
    <w:p w:rsidR="00AF7BA3" w:rsidRPr="00145E0F" w:rsidRDefault="00AF7BA3" w:rsidP="00862ECD">
      <w:pPr>
        <w:autoSpaceDE w:val="0"/>
        <w:autoSpaceDN w:val="0"/>
        <w:spacing w:after="0"/>
        <w:ind w:firstLine="709"/>
        <w:contextualSpacing/>
        <w:jc w:val="both"/>
        <w:rPr>
          <w:rFonts w:ascii="Times New Roman" w:hAnsi="Times New Roman"/>
          <w:color w:val="000000"/>
          <w:sz w:val="24"/>
          <w:szCs w:val="24"/>
        </w:rPr>
      </w:pPr>
      <w:r w:rsidRPr="00145E0F">
        <w:rPr>
          <w:rFonts w:ascii="Times New Roman" w:hAnsi="Times New Roman"/>
          <w:color w:val="000000"/>
          <w:sz w:val="24"/>
          <w:szCs w:val="24"/>
        </w:rPr>
        <w:t xml:space="preserve">- развитие ТОСЭР «Тольятти» и ОЭЗ ППТ «Тольятти», позволяющей создавать новые рабочие места и инвестиции в основной капитал, в основном, в малом бизнесе. </w:t>
      </w:r>
    </w:p>
    <w:p w:rsidR="00AF7BA3" w:rsidRPr="00145E0F" w:rsidRDefault="00AF7BA3" w:rsidP="000343FC">
      <w:pPr>
        <w:autoSpaceDE w:val="0"/>
        <w:autoSpaceDN w:val="0"/>
        <w:spacing w:before="120" w:after="0"/>
        <w:ind w:firstLine="709"/>
        <w:contextualSpacing/>
        <w:jc w:val="both"/>
        <w:rPr>
          <w:rFonts w:ascii="Times New Roman" w:hAnsi="Times New Roman"/>
          <w:b/>
          <w:sz w:val="24"/>
          <w:szCs w:val="24"/>
        </w:rPr>
      </w:pPr>
      <w:r w:rsidRPr="00145E0F">
        <w:rPr>
          <w:rFonts w:ascii="Times New Roman" w:hAnsi="Times New Roman"/>
          <w:color w:val="000000"/>
          <w:sz w:val="24"/>
          <w:szCs w:val="24"/>
        </w:rPr>
        <w:t>Положительной динамике СМСП будет способствовать функционирование развитой инфраструктуры поддержки малого и среднего предпринимательства, которая представлена такими организациями как: Муниципальный фонд поддержки и развития субъектов малого и среднего предпринимательства микрокредитная компания городского округа Тольятти; Муниципальное автономное учреждение городского округа Тольятти «Агентство экономического развития»; Акционерное общество Микрокредитная компания «Гарантийный фонд Самарской области»; Общественная приемная института Уполномоченного при Президенте Российской Федерации по защите прав предпринимателей в г. Тольятти Самарской области.</w:t>
      </w:r>
    </w:p>
    <w:p w:rsidR="007A25C7" w:rsidRDefault="007A25C7" w:rsidP="000343FC">
      <w:pPr>
        <w:pStyle w:val="a8"/>
        <w:spacing w:before="120" w:after="240"/>
        <w:jc w:val="center"/>
        <w:rPr>
          <w:rFonts w:ascii="Times New Roman" w:eastAsiaTheme="majorEastAsia" w:hAnsi="Times New Roman" w:cs="Times New Roman"/>
          <w:b/>
          <w:sz w:val="24"/>
          <w:szCs w:val="24"/>
          <w:lang w:eastAsia="ru-RU"/>
        </w:rPr>
      </w:pPr>
    </w:p>
    <w:p w:rsidR="00CA48D4" w:rsidRPr="00E0127F" w:rsidRDefault="00CA48D4" w:rsidP="000343FC">
      <w:pPr>
        <w:pStyle w:val="a8"/>
        <w:spacing w:before="120" w:after="240"/>
        <w:jc w:val="center"/>
        <w:rPr>
          <w:rFonts w:ascii="Times New Roman" w:eastAsiaTheme="majorEastAsia" w:hAnsi="Times New Roman" w:cs="Times New Roman"/>
          <w:b/>
          <w:sz w:val="24"/>
          <w:szCs w:val="24"/>
          <w:lang w:eastAsia="ru-RU"/>
        </w:rPr>
      </w:pPr>
      <w:r w:rsidRPr="00E0127F">
        <w:rPr>
          <w:rFonts w:ascii="Times New Roman" w:eastAsiaTheme="majorEastAsia" w:hAnsi="Times New Roman" w:cs="Times New Roman"/>
          <w:b/>
          <w:sz w:val="24"/>
          <w:szCs w:val="24"/>
          <w:lang w:eastAsia="ru-RU"/>
        </w:rPr>
        <w:t>Инвестиции в основной капитал</w:t>
      </w:r>
    </w:p>
    <w:p w:rsidR="00BB2EED" w:rsidRPr="00145E0F" w:rsidRDefault="00BB2EED" w:rsidP="000343FC">
      <w:pPr>
        <w:spacing w:before="120" w:after="0"/>
        <w:ind w:firstLine="709"/>
        <w:jc w:val="both"/>
        <w:rPr>
          <w:rFonts w:ascii="Times New Roman" w:hAnsi="Times New Roman"/>
          <w:sz w:val="24"/>
          <w:szCs w:val="24"/>
        </w:rPr>
      </w:pPr>
      <w:r w:rsidRPr="00145E0F">
        <w:rPr>
          <w:rFonts w:ascii="Times New Roman" w:hAnsi="Times New Roman"/>
          <w:sz w:val="24"/>
          <w:szCs w:val="24"/>
        </w:rPr>
        <w:t xml:space="preserve">Прогноз развития инвестиционной деятельности в городском округе Тольятти основан на ожидаемом </w:t>
      </w:r>
      <w:r w:rsidRPr="00145E0F">
        <w:rPr>
          <w:rFonts w:ascii="Times New Roman" w:hAnsi="Times New Roman"/>
          <w:bCs/>
          <w:sz w:val="24"/>
          <w:szCs w:val="24"/>
          <w:shd w:val="clear" w:color="auto" w:fill="FFFFFF"/>
        </w:rPr>
        <w:t>постепенном</w:t>
      </w:r>
      <w:r w:rsidRPr="00145E0F">
        <w:rPr>
          <w:rFonts w:ascii="Times New Roman" w:hAnsi="Times New Roman"/>
          <w:sz w:val="24"/>
          <w:szCs w:val="24"/>
          <w:shd w:val="clear" w:color="auto" w:fill="FFFFFF"/>
        </w:rPr>
        <w:t> восстановлении экономического роста.</w:t>
      </w:r>
      <w:r w:rsidRPr="00145E0F">
        <w:rPr>
          <w:rFonts w:ascii="Times New Roman" w:hAnsi="Times New Roman"/>
          <w:sz w:val="24"/>
          <w:szCs w:val="24"/>
        </w:rPr>
        <w:t xml:space="preserve"> В результате в прогнозном периоде будет отмечаться положительная динамика инвестиций с умеренными темпами роста. </w:t>
      </w:r>
    </w:p>
    <w:p w:rsidR="005A7A69" w:rsidRPr="00145E0F" w:rsidRDefault="005A7A69" w:rsidP="00862ECD">
      <w:pPr>
        <w:spacing w:after="0"/>
        <w:ind w:firstLine="709"/>
        <w:jc w:val="both"/>
        <w:rPr>
          <w:rFonts w:ascii="Times New Roman" w:hAnsi="Times New Roman"/>
          <w:sz w:val="24"/>
          <w:szCs w:val="24"/>
        </w:rPr>
      </w:pPr>
      <w:r w:rsidRPr="00145E0F">
        <w:rPr>
          <w:rFonts w:ascii="Times New Roman" w:hAnsi="Times New Roman"/>
          <w:sz w:val="24"/>
          <w:szCs w:val="24"/>
        </w:rPr>
        <w:t>Неблагоприятные экономические условия, вызванные эпидемиологической ситуацией, будут сдерживать темпы инвестиционного роста.</w:t>
      </w:r>
    </w:p>
    <w:p w:rsidR="00CA48D4" w:rsidRPr="00145E0F" w:rsidRDefault="005A7A69" w:rsidP="00862ECD">
      <w:pPr>
        <w:spacing w:after="0"/>
        <w:ind w:firstLine="709"/>
        <w:jc w:val="both"/>
        <w:rPr>
          <w:rFonts w:ascii="Times New Roman" w:hAnsi="Times New Roman"/>
          <w:color w:val="000000"/>
          <w:sz w:val="24"/>
          <w:szCs w:val="24"/>
        </w:rPr>
      </w:pPr>
      <w:r w:rsidRPr="00145E0F">
        <w:rPr>
          <w:rFonts w:ascii="Times New Roman" w:hAnsi="Times New Roman"/>
          <w:sz w:val="24"/>
          <w:szCs w:val="24"/>
        </w:rPr>
        <w:t xml:space="preserve">По консервативному варианту прогноза </w:t>
      </w:r>
      <w:r w:rsidRPr="00145E0F">
        <w:rPr>
          <w:rFonts w:ascii="Times New Roman" w:hAnsi="Times New Roman"/>
          <w:color w:val="000000"/>
          <w:sz w:val="24"/>
          <w:szCs w:val="24"/>
        </w:rPr>
        <w:t>ожидаются</w:t>
      </w:r>
      <w:r w:rsidR="00CA48D4" w:rsidRPr="00145E0F">
        <w:rPr>
          <w:rFonts w:ascii="Times New Roman" w:hAnsi="Times New Roman"/>
          <w:color w:val="000000"/>
          <w:sz w:val="24"/>
          <w:szCs w:val="24"/>
        </w:rPr>
        <w:t xml:space="preserve"> </w:t>
      </w:r>
      <w:r w:rsidR="00BB2EED" w:rsidRPr="00145E0F">
        <w:rPr>
          <w:rFonts w:ascii="Times New Roman" w:hAnsi="Times New Roman"/>
          <w:color w:val="000000"/>
          <w:sz w:val="24"/>
          <w:szCs w:val="24"/>
        </w:rPr>
        <w:t>невысокие</w:t>
      </w:r>
      <w:r w:rsidR="00CA48D4" w:rsidRPr="00145E0F">
        <w:rPr>
          <w:rFonts w:ascii="Times New Roman" w:hAnsi="Times New Roman"/>
          <w:color w:val="000000"/>
          <w:sz w:val="24"/>
          <w:szCs w:val="24"/>
        </w:rPr>
        <w:t xml:space="preserve"> темпы роста объемов инвестиций в основной капитал. Общий объем инвестиций в 2023 году составит 46,6 млрд. рублей, </w:t>
      </w:r>
      <w:r w:rsidR="00837A2A">
        <w:rPr>
          <w:rFonts w:ascii="Times New Roman" w:hAnsi="Times New Roman"/>
          <w:color w:val="000000"/>
          <w:sz w:val="24"/>
          <w:szCs w:val="24"/>
        </w:rPr>
        <w:t>прирост за три прогнозных года составит</w:t>
      </w:r>
      <w:r w:rsidR="00CA48D4" w:rsidRPr="00145E0F">
        <w:rPr>
          <w:rFonts w:ascii="Times New Roman" w:hAnsi="Times New Roman"/>
          <w:color w:val="000000"/>
          <w:sz w:val="24"/>
          <w:szCs w:val="24"/>
        </w:rPr>
        <w:t xml:space="preserve"> 16,3% </w:t>
      </w:r>
      <w:r w:rsidR="00837A2A">
        <w:rPr>
          <w:rFonts w:ascii="Times New Roman" w:hAnsi="Times New Roman"/>
          <w:color w:val="000000"/>
          <w:sz w:val="24"/>
          <w:szCs w:val="24"/>
        </w:rPr>
        <w:t>к</w:t>
      </w:r>
      <w:r w:rsidR="00CA48D4" w:rsidRPr="00145E0F">
        <w:rPr>
          <w:rFonts w:ascii="Times New Roman" w:hAnsi="Times New Roman"/>
          <w:color w:val="000000"/>
          <w:sz w:val="24"/>
          <w:szCs w:val="24"/>
        </w:rPr>
        <w:t xml:space="preserve"> уровн</w:t>
      </w:r>
      <w:r w:rsidR="00837A2A">
        <w:rPr>
          <w:rFonts w:ascii="Times New Roman" w:hAnsi="Times New Roman"/>
          <w:color w:val="000000"/>
          <w:sz w:val="24"/>
          <w:szCs w:val="24"/>
        </w:rPr>
        <w:t>ю</w:t>
      </w:r>
      <w:r w:rsidR="00CA48D4" w:rsidRPr="00145E0F">
        <w:rPr>
          <w:rFonts w:ascii="Times New Roman" w:hAnsi="Times New Roman"/>
          <w:color w:val="000000"/>
          <w:sz w:val="24"/>
          <w:szCs w:val="24"/>
        </w:rPr>
        <w:t xml:space="preserve"> 2020 года в действ</w:t>
      </w:r>
      <w:r w:rsidR="00837A2A">
        <w:rPr>
          <w:rFonts w:ascii="Times New Roman" w:hAnsi="Times New Roman"/>
          <w:color w:val="000000"/>
          <w:sz w:val="24"/>
          <w:szCs w:val="24"/>
        </w:rPr>
        <w:t>ующих ценах (и ниже 2020 года на 0,1%</w:t>
      </w:r>
      <w:r w:rsidR="00CA48D4" w:rsidRPr="00145E0F">
        <w:rPr>
          <w:rFonts w:ascii="Times New Roman" w:hAnsi="Times New Roman"/>
          <w:color w:val="000000"/>
          <w:sz w:val="24"/>
          <w:szCs w:val="24"/>
        </w:rPr>
        <w:t xml:space="preserve"> в сопоставимых ценах). </w:t>
      </w:r>
    </w:p>
    <w:p w:rsidR="00CA48D4" w:rsidRPr="00145E0F" w:rsidRDefault="00CA48D4" w:rsidP="00862ECD">
      <w:pPr>
        <w:widowControl w:val="0"/>
        <w:tabs>
          <w:tab w:val="num" w:pos="0"/>
        </w:tabs>
        <w:suppressAutoHyphens/>
        <w:autoSpaceDE w:val="0"/>
        <w:spacing w:after="0"/>
        <w:ind w:firstLine="709"/>
        <w:jc w:val="both"/>
        <w:rPr>
          <w:rFonts w:ascii="Times New Roman" w:hAnsi="Times New Roman"/>
          <w:color w:val="000000"/>
          <w:sz w:val="24"/>
          <w:szCs w:val="24"/>
        </w:rPr>
      </w:pPr>
      <w:r w:rsidRPr="00145E0F">
        <w:rPr>
          <w:rFonts w:ascii="Times New Roman" w:hAnsi="Times New Roman"/>
          <w:color w:val="000000"/>
          <w:sz w:val="24"/>
          <w:szCs w:val="24"/>
        </w:rPr>
        <w:t>По базовому варианту прогноза инвестиции в осно</w:t>
      </w:r>
      <w:r w:rsidR="00BB2EED" w:rsidRPr="00145E0F">
        <w:rPr>
          <w:rFonts w:ascii="Times New Roman" w:hAnsi="Times New Roman"/>
          <w:color w:val="000000"/>
          <w:sz w:val="24"/>
          <w:szCs w:val="24"/>
        </w:rPr>
        <w:t>вной капитал будут расти более значительно</w:t>
      </w:r>
      <w:r w:rsidRPr="00145E0F">
        <w:rPr>
          <w:rFonts w:ascii="Times New Roman" w:hAnsi="Times New Roman"/>
          <w:color w:val="000000"/>
          <w:sz w:val="24"/>
          <w:szCs w:val="24"/>
        </w:rPr>
        <w:t xml:space="preserve"> и составят в 2023 году 53,1 млрд. рублей, что на 32,4% выше уровня 2020 года в действующих ценах (на 14,5 % в сопоставимых ценах).</w:t>
      </w:r>
    </w:p>
    <w:p w:rsidR="00CA48D4" w:rsidRPr="00145E0F" w:rsidRDefault="00BB2EED" w:rsidP="00862ECD">
      <w:pPr>
        <w:spacing w:after="0"/>
        <w:ind w:firstLine="709"/>
        <w:jc w:val="both"/>
        <w:rPr>
          <w:rFonts w:ascii="Times New Roman" w:hAnsi="Times New Roman"/>
          <w:color w:val="000000"/>
          <w:sz w:val="24"/>
          <w:szCs w:val="24"/>
        </w:rPr>
      </w:pPr>
      <w:r w:rsidRPr="00145E0F">
        <w:rPr>
          <w:rFonts w:ascii="Times New Roman" w:eastAsia="Calibri" w:hAnsi="Times New Roman"/>
          <w:spacing w:val="-2"/>
          <w:sz w:val="24"/>
          <w:szCs w:val="24"/>
        </w:rPr>
        <w:t xml:space="preserve">В среднесрочной перспективе планируется реализация крупных инвестиционных проектов в наиболее </w:t>
      </w:r>
      <w:r w:rsidRPr="00145E0F">
        <w:rPr>
          <w:rFonts w:ascii="Times New Roman" w:hAnsi="Times New Roman"/>
          <w:sz w:val="24"/>
          <w:szCs w:val="24"/>
        </w:rPr>
        <w:t xml:space="preserve">капиталоемких </w:t>
      </w:r>
      <w:r w:rsidRPr="00145E0F">
        <w:rPr>
          <w:rFonts w:ascii="Times New Roman" w:eastAsia="Calibri" w:hAnsi="Times New Roman"/>
          <w:spacing w:val="-2"/>
          <w:sz w:val="24"/>
          <w:szCs w:val="24"/>
        </w:rPr>
        <w:t>отраслях экономики региона</w:t>
      </w:r>
      <w:r w:rsidR="00CA48D4" w:rsidRPr="00145E0F">
        <w:rPr>
          <w:rFonts w:ascii="Times New Roman" w:hAnsi="Times New Roman"/>
          <w:color w:val="000000"/>
          <w:sz w:val="24"/>
          <w:szCs w:val="24"/>
        </w:rPr>
        <w:t>.</w:t>
      </w:r>
    </w:p>
    <w:p w:rsidR="00CA48D4" w:rsidRPr="00145E0F" w:rsidRDefault="00CA48D4" w:rsidP="00862ECD">
      <w:pPr>
        <w:widowControl w:val="0"/>
        <w:tabs>
          <w:tab w:val="num" w:pos="0"/>
        </w:tabs>
        <w:suppressAutoHyphens/>
        <w:autoSpaceDE w:val="0"/>
        <w:spacing w:after="0"/>
        <w:ind w:firstLine="709"/>
        <w:jc w:val="both"/>
        <w:rPr>
          <w:rFonts w:ascii="Times New Roman" w:hAnsi="Times New Roman"/>
          <w:color w:val="000000"/>
          <w:sz w:val="24"/>
          <w:szCs w:val="24"/>
        </w:rPr>
      </w:pPr>
      <w:r w:rsidRPr="00145E0F">
        <w:rPr>
          <w:rFonts w:ascii="Times New Roman" w:hAnsi="Times New Roman"/>
          <w:color w:val="000000"/>
          <w:sz w:val="24"/>
          <w:szCs w:val="24"/>
        </w:rPr>
        <w:t>Основная часть инвестиций в городском округе Тольятти по-прежнему будет осуществляться ведущими предприятиями автомобильной и химической промышленности. Тем не менее, доля инвестиций в других секторах экономики будет постепенно увеличиваться.</w:t>
      </w:r>
    </w:p>
    <w:p w:rsidR="00CA48D4" w:rsidRPr="00145E0F" w:rsidRDefault="00CA48D4"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 xml:space="preserve">АО «АВТОВАЗ» в соответствии со среднесрочным планом развития на 2017–2026 годы продолжит реализацию инвестиционных проектов по организации производства новых моделей автомобилей, в том числе автомобилей 4х4 </w:t>
      </w:r>
      <w:r w:rsidRPr="00145E0F">
        <w:rPr>
          <w:rFonts w:ascii="Times New Roman" w:hAnsi="Times New Roman"/>
          <w:spacing w:val="-2"/>
          <w:sz w:val="24"/>
          <w:szCs w:val="24"/>
          <w:lang w:val="en-US"/>
        </w:rPr>
        <w:t>NG</w:t>
      </w:r>
      <w:r w:rsidRPr="00145E0F">
        <w:rPr>
          <w:rFonts w:ascii="Times New Roman" w:hAnsi="Times New Roman"/>
          <w:spacing w:val="-2"/>
          <w:sz w:val="24"/>
          <w:szCs w:val="24"/>
        </w:rPr>
        <w:t xml:space="preserve">. В декабре 2018 года Самарская область, АО «АВТОВАЗ» и Министерство промышленности и торговли Российской Федерации подписали первый специальный инвестиционный контракт. Альянс «Рено-Ниссан-Мицубиси» и его партнеры взяли на себя обязательства до 2025 года локализовать производство 26 моделей, создать российское производство автоматических коробок передач и современных двигателей. </w:t>
      </w:r>
      <w:r w:rsidR="005A7A69" w:rsidRPr="00145E0F">
        <w:rPr>
          <w:rFonts w:ascii="Times New Roman" w:hAnsi="Times New Roman"/>
          <w:spacing w:val="-2"/>
          <w:sz w:val="24"/>
          <w:szCs w:val="24"/>
        </w:rPr>
        <w:t>Плановый о</w:t>
      </w:r>
      <w:r w:rsidRPr="00145E0F">
        <w:rPr>
          <w:rFonts w:ascii="Times New Roman" w:hAnsi="Times New Roman"/>
          <w:spacing w:val="-2"/>
          <w:sz w:val="24"/>
          <w:szCs w:val="24"/>
        </w:rPr>
        <w:t>бъем инвестиций состав</w:t>
      </w:r>
      <w:r w:rsidR="005A7A69" w:rsidRPr="00145E0F">
        <w:rPr>
          <w:rFonts w:ascii="Times New Roman" w:hAnsi="Times New Roman"/>
          <w:spacing w:val="-2"/>
          <w:sz w:val="24"/>
          <w:szCs w:val="24"/>
        </w:rPr>
        <w:t>ляет</w:t>
      </w:r>
      <w:r w:rsidRPr="00145E0F">
        <w:rPr>
          <w:rFonts w:ascii="Times New Roman" w:hAnsi="Times New Roman"/>
          <w:spacing w:val="-2"/>
          <w:sz w:val="24"/>
          <w:szCs w:val="24"/>
        </w:rPr>
        <w:t xml:space="preserve"> не менее 70 млрд. рублей. </w:t>
      </w:r>
    </w:p>
    <w:p w:rsidR="00CA48D4" w:rsidRPr="00145E0F" w:rsidRDefault="00CA48D4" w:rsidP="00862ECD">
      <w:pPr>
        <w:pStyle w:val="af1"/>
        <w:tabs>
          <w:tab w:val="num" w:pos="0"/>
        </w:tabs>
        <w:spacing w:line="276" w:lineRule="auto"/>
        <w:rPr>
          <w:sz w:val="24"/>
          <w:szCs w:val="24"/>
        </w:rPr>
      </w:pPr>
      <w:r w:rsidRPr="00145E0F">
        <w:rPr>
          <w:sz w:val="24"/>
          <w:szCs w:val="24"/>
        </w:rPr>
        <w:t>В прогнозном периоде АО «ЛАДА Запад Тольятти» продолжит освоение производства обновленной версии Шевроле НИВА.</w:t>
      </w:r>
    </w:p>
    <w:p w:rsidR="00CA48D4" w:rsidRPr="00145E0F" w:rsidRDefault="00CA48D4" w:rsidP="00862ECD">
      <w:pPr>
        <w:pStyle w:val="af1"/>
        <w:tabs>
          <w:tab w:val="num" w:pos="0"/>
        </w:tabs>
        <w:spacing w:line="276" w:lineRule="auto"/>
        <w:rPr>
          <w:sz w:val="24"/>
          <w:szCs w:val="24"/>
        </w:rPr>
      </w:pPr>
      <w:r w:rsidRPr="00145E0F">
        <w:rPr>
          <w:sz w:val="24"/>
          <w:szCs w:val="24"/>
        </w:rPr>
        <w:t xml:space="preserve">В химической отрасли планируется реализация инвестиционных проектов по реконструкции действующего производственного оборудования и строительство новых производств. </w:t>
      </w:r>
    </w:p>
    <w:p w:rsidR="00CA48D4" w:rsidRPr="00145E0F" w:rsidRDefault="00CA48D4" w:rsidP="00862ECD">
      <w:pPr>
        <w:autoSpaceDE w:val="0"/>
        <w:autoSpaceDN w:val="0"/>
        <w:adjustRightInd w:val="0"/>
        <w:spacing w:after="0"/>
        <w:ind w:firstLine="709"/>
        <w:jc w:val="both"/>
        <w:rPr>
          <w:rFonts w:ascii="Times New Roman" w:hAnsi="Times New Roman"/>
          <w:spacing w:val="-2"/>
          <w:sz w:val="24"/>
          <w:szCs w:val="24"/>
        </w:rPr>
      </w:pPr>
      <w:r w:rsidRPr="00145E0F">
        <w:rPr>
          <w:rFonts w:ascii="Times New Roman" w:hAnsi="Times New Roman"/>
          <w:spacing w:val="-2"/>
          <w:sz w:val="24"/>
          <w:szCs w:val="24"/>
        </w:rPr>
        <w:t xml:space="preserve">В 2021 – 2023 годах крупнейшие проекты ПАО «КуйбышевАзот» – строительство агрегатов по производству слабой азотной кислоты и аммиачной селитры. </w:t>
      </w:r>
      <w:r w:rsidR="008948E5" w:rsidRPr="00145E0F">
        <w:rPr>
          <w:rFonts w:ascii="Times New Roman" w:hAnsi="Times New Roman"/>
          <w:spacing w:val="-2"/>
          <w:sz w:val="24"/>
          <w:szCs w:val="24"/>
        </w:rPr>
        <w:t>В 2022 году предприятием запланирована активная реализация 2 этапа строительства агрегатов по производству слабой азотной кислоты</w:t>
      </w:r>
      <w:r w:rsidR="008948E5" w:rsidRPr="00145E0F">
        <w:rPr>
          <w:rFonts w:ascii="Times New Roman" w:hAnsi="Times New Roman"/>
          <w:sz w:val="24"/>
          <w:szCs w:val="24"/>
        </w:rPr>
        <w:t xml:space="preserve"> 1 500 т/сутки и аммиачной селитры мощностью 2000 т/сутки.</w:t>
      </w:r>
    </w:p>
    <w:p w:rsidR="00CA48D4" w:rsidRPr="00145E0F" w:rsidRDefault="00CA48D4"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 xml:space="preserve">На ПАО «Тольяттиазот» завершится строительство третьего агрегата карбамида и реконструкция биологических очистных сооружений. </w:t>
      </w:r>
    </w:p>
    <w:p w:rsidR="00C37CB6" w:rsidRPr="00145E0F" w:rsidRDefault="00CA48D4" w:rsidP="00862ECD">
      <w:pPr>
        <w:pStyle w:val="af1"/>
        <w:tabs>
          <w:tab w:val="left" w:pos="851"/>
          <w:tab w:val="left" w:pos="993"/>
        </w:tabs>
        <w:spacing w:line="276" w:lineRule="auto"/>
        <w:rPr>
          <w:sz w:val="24"/>
          <w:szCs w:val="24"/>
        </w:rPr>
      </w:pPr>
      <w:r w:rsidRPr="00145E0F">
        <w:rPr>
          <w:sz w:val="24"/>
          <w:szCs w:val="24"/>
        </w:rPr>
        <w:t xml:space="preserve">Важную роль в повышении привлекательности городского округа Тольятти как места для вложения инвестиций и ведения бизнеса оказывает </w:t>
      </w:r>
      <w:r w:rsidRPr="00145E0F">
        <w:rPr>
          <w:sz w:val="24"/>
          <w:szCs w:val="24"/>
          <w:lang w:eastAsia="ru-RU"/>
        </w:rPr>
        <w:t>реализация проекта ТОСЭР «Тольятти»</w:t>
      </w:r>
      <w:r w:rsidR="00C37CB6" w:rsidRPr="00145E0F">
        <w:rPr>
          <w:sz w:val="24"/>
          <w:szCs w:val="24"/>
          <w:lang w:eastAsia="ru-RU"/>
        </w:rPr>
        <w:t>.</w:t>
      </w:r>
      <w:r w:rsidRPr="00145E0F">
        <w:rPr>
          <w:sz w:val="24"/>
          <w:szCs w:val="24"/>
          <w:lang w:eastAsia="ru-RU"/>
        </w:rPr>
        <w:t xml:space="preserve"> </w:t>
      </w:r>
      <w:r w:rsidR="00C37CB6" w:rsidRPr="00145E0F">
        <w:rPr>
          <w:sz w:val="24"/>
          <w:szCs w:val="24"/>
        </w:rPr>
        <w:t>Сохранение привлекательности ТОСЭР «Тольятти» для новых инвесторов будет определяться принятием ряда антикризисных мер (возможность продления срока действия пониженных тарифов страховых взносов в государственные внебюджетные фонды или принятие иных сопоставимых по привлекательности преференций, смягчение условий и требований, предъявляемых к резидентам). Учитывая сложность прохождения данных инициатив на федеральном уровне, высок риск потери ряда инвесторов статуса резидента ТОСЭР</w:t>
      </w:r>
      <w:r w:rsidR="00794C1E">
        <w:rPr>
          <w:sz w:val="24"/>
          <w:szCs w:val="24"/>
        </w:rPr>
        <w:t xml:space="preserve"> «Тольятти»</w:t>
      </w:r>
      <w:r w:rsidR="00C37CB6" w:rsidRPr="00145E0F">
        <w:rPr>
          <w:sz w:val="24"/>
          <w:szCs w:val="24"/>
        </w:rPr>
        <w:t>.</w:t>
      </w:r>
    </w:p>
    <w:p w:rsidR="00CA48D4" w:rsidRPr="00145E0F" w:rsidRDefault="00CA48D4" w:rsidP="00862ECD">
      <w:pPr>
        <w:pStyle w:val="af1"/>
        <w:tabs>
          <w:tab w:val="left" w:pos="851"/>
          <w:tab w:val="left" w:pos="993"/>
        </w:tabs>
        <w:spacing w:line="276" w:lineRule="auto"/>
        <w:rPr>
          <w:sz w:val="24"/>
          <w:szCs w:val="24"/>
        </w:rPr>
      </w:pPr>
      <w:r w:rsidRPr="00145E0F">
        <w:rPr>
          <w:sz w:val="24"/>
          <w:szCs w:val="24"/>
        </w:rPr>
        <w:t>В 202</w:t>
      </w:r>
      <w:r w:rsidR="00794C1E">
        <w:rPr>
          <w:sz w:val="24"/>
          <w:szCs w:val="24"/>
        </w:rPr>
        <w:t>0</w:t>
      </w:r>
      <w:r w:rsidRPr="00145E0F">
        <w:rPr>
          <w:sz w:val="24"/>
          <w:szCs w:val="24"/>
        </w:rPr>
        <w:t xml:space="preserve">-2023 </w:t>
      </w:r>
      <w:r w:rsidR="00794C1E">
        <w:rPr>
          <w:sz w:val="24"/>
          <w:szCs w:val="24"/>
        </w:rPr>
        <w:t>годах</w:t>
      </w:r>
      <w:r w:rsidRPr="00145E0F">
        <w:rPr>
          <w:sz w:val="24"/>
          <w:szCs w:val="24"/>
        </w:rPr>
        <w:t xml:space="preserve"> объем инвестиций всех резидентов ТОСЭР</w:t>
      </w:r>
      <w:r w:rsidR="00860693" w:rsidRPr="00145E0F">
        <w:rPr>
          <w:sz w:val="24"/>
          <w:szCs w:val="24"/>
        </w:rPr>
        <w:t xml:space="preserve"> «Тольятти»</w:t>
      </w:r>
      <w:r w:rsidRPr="00145E0F">
        <w:rPr>
          <w:sz w:val="24"/>
          <w:szCs w:val="24"/>
        </w:rPr>
        <w:t xml:space="preserve"> и ОЭЗ </w:t>
      </w:r>
      <w:r w:rsidR="00C37CB6" w:rsidRPr="00145E0F">
        <w:rPr>
          <w:sz w:val="24"/>
          <w:szCs w:val="24"/>
        </w:rPr>
        <w:t xml:space="preserve">ППТ </w:t>
      </w:r>
      <w:r w:rsidRPr="00145E0F">
        <w:rPr>
          <w:sz w:val="24"/>
          <w:szCs w:val="24"/>
        </w:rPr>
        <w:t xml:space="preserve">«Тольятти» (с учетом крупных, средних, малых и микро предприятий) предполагается в объеме около 24,4 млрд. рублей, или 13,3% всех инвестиций по </w:t>
      </w:r>
      <w:r w:rsidR="00794C1E">
        <w:rPr>
          <w:sz w:val="24"/>
          <w:szCs w:val="24"/>
        </w:rPr>
        <w:t>городскому округу</w:t>
      </w:r>
      <w:r w:rsidRPr="00145E0F">
        <w:rPr>
          <w:sz w:val="24"/>
          <w:szCs w:val="24"/>
        </w:rPr>
        <w:t xml:space="preserve"> </w:t>
      </w:r>
      <w:r w:rsidR="00862ECD">
        <w:rPr>
          <w:sz w:val="24"/>
          <w:szCs w:val="24"/>
        </w:rPr>
        <w:t xml:space="preserve">Тольятти </w:t>
      </w:r>
      <w:r w:rsidRPr="00145E0F">
        <w:rPr>
          <w:sz w:val="24"/>
          <w:szCs w:val="24"/>
        </w:rPr>
        <w:t>за указанный период времени (по базовому варианту прогноза).</w:t>
      </w:r>
    </w:p>
    <w:p w:rsidR="00CA48D4" w:rsidRPr="00145E0F" w:rsidRDefault="00CA48D4"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В производстве электрического оборудования резидент ТОСЭР «Тольятти» АО «АКОМ» планирует организовать производство промышленных свинцовых аккумуляторных батарей. Еще один резидент ТОСЭР «Тольятти» – ООО «Валео Технолоджи Рус» – намерен реализовать проект по</w:t>
      </w:r>
      <w:r w:rsidRPr="00145E0F">
        <w:rPr>
          <w:rFonts w:ascii="Times New Roman" w:hAnsi="Times New Roman"/>
          <w:sz w:val="24"/>
          <w:szCs w:val="24"/>
        </w:rPr>
        <w:t xml:space="preserve"> </w:t>
      </w:r>
      <w:r w:rsidRPr="00145E0F">
        <w:rPr>
          <w:rFonts w:ascii="Times New Roman" w:hAnsi="Times New Roman"/>
          <w:spacing w:val="-2"/>
          <w:sz w:val="24"/>
          <w:szCs w:val="24"/>
        </w:rPr>
        <w:t xml:space="preserve">производству компонентов и систем для автомобильной индустрии.  </w:t>
      </w:r>
    </w:p>
    <w:p w:rsidR="00CA48D4" w:rsidRPr="00145E0F" w:rsidRDefault="00CA48D4"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В производстве химических удобрений резиденты ТОСЭР</w:t>
      </w:r>
      <w:r w:rsidR="00794C1E">
        <w:rPr>
          <w:rFonts w:ascii="Times New Roman" w:hAnsi="Times New Roman"/>
          <w:spacing w:val="-2"/>
          <w:sz w:val="24"/>
          <w:szCs w:val="24"/>
        </w:rPr>
        <w:t xml:space="preserve"> «Тольятти»</w:t>
      </w:r>
      <w:r w:rsidRPr="00145E0F">
        <w:rPr>
          <w:rFonts w:ascii="Times New Roman" w:hAnsi="Times New Roman"/>
          <w:spacing w:val="-2"/>
          <w:sz w:val="24"/>
          <w:szCs w:val="24"/>
        </w:rPr>
        <w:t>: ООО «ВОЛГАФЕРТ» и ООО «</w:t>
      </w:r>
      <w:proofErr w:type="spellStart"/>
      <w:r w:rsidRPr="00145E0F">
        <w:rPr>
          <w:rFonts w:ascii="Times New Roman" w:hAnsi="Times New Roman"/>
          <w:spacing w:val="-2"/>
          <w:sz w:val="24"/>
          <w:szCs w:val="24"/>
        </w:rPr>
        <w:t>Волгатехноол</w:t>
      </w:r>
      <w:proofErr w:type="spellEnd"/>
      <w:r w:rsidRPr="00145E0F">
        <w:rPr>
          <w:rFonts w:ascii="Times New Roman" w:hAnsi="Times New Roman"/>
          <w:spacing w:val="-2"/>
          <w:sz w:val="24"/>
          <w:szCs w:val="24"/>
        </w:rPr>
        <w:t xml:space="preserve">» реализуют проекты по строительству установки по производству серной кислоты марки «К» и улучшенного олеума и установки гранулированного </w:t>
      </w:r>
      <w:proofErr w:type="spellStart"/>
      <w:r w:rsidRPr="00145E0F">
        <w:rPr>
          <w:rFonts w:ascii="Times New Roman" w:hAnsi="Times New Roman"/>
          <w:spacing w:val="-2"/>
          <w:sz w:val="24"/>
          <w:szCs w:val="24"/>
        </w:rPr>
        <w:t>карбомида</w:t>
      </w:r>
      <w:proofErr w:type="spellEnd"/>
      <w:r w:rsidRPr="00145E0F">
        <w:rPr>
          <w:rFonts w:ascii="Times New Roman" w:hAnsi="Times New Roman"/>
          <w:spacing w:val="-2"/>
          <w:sz w:val="24"/>
          <w:szCs w:val="24"/>
        </w:rPr>
        <w:t>.</w:t>
      </w:r>
    </w:p>
    <w:p w:rsidR="00CA48D4" w:rsidRPr="00145E0F" w:rsidRDefault="00CA48D4"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В производстве пищевых продуктов резидентом ТОСЭР «Тольятти» ОАО «КАРАТ-Тольятти» будет реализован крупный проект по строительству завода по производству твердых, сливочных, творожных и других типов сыров.</w:t>
      </w:r>
    </w:p>
    <w:p w:rsidR="00CA48D4" w:rsidRPr="00145E0F" w:rsidRDefault="00CA48D4" w:rsidP="00862ECD">
      <w:pPr>
        <w:widowControl w:val="0"/>
        <w:spacing w:after="0"/>
        <w:ind w:right="2" w:firstLine="709"/>
        <w:jc w:val="both"/>
        <w:rPr>
          <w:rFonts w:ascii="Times New Roman" w:hAnsi="Times New Roman"/>
          <w:sz w:val="24"/>
          <w:szCs w:val="24"/>
        </w:rPr>
      </w:pPr>
      <w:r w:rsidRPr="00145E0F">
        <w:rPr>
          <w:rFonts w:ascii="Times New Roman" w:hAnsi="Times New Roman"/>
          <w:spacing w:val="-2"/>
          <w:sz w:val="24"/>
          <w:szCs w:val="24"/>
        </w:rPr>
        <w:t xml:space="preserve">В производстве мебели резидент ТОСЭР «Тольятти» ООО «ПКМ» </w:t>
      </w:r>
      <w:r w:rsidR="002A76FB" w:rsidRPr="00145E0F">
        <w:rPr>
          <w:rFonts w:ascii="Times New Roman" w:hAnsi="Times New Roman"/>
          <w:spacing w:val="-2"/>
          <w:sz w:val="24"/>
          <w:szCs w:val="24"/>
        </w:rPr>
        <w:t xml:space="preserve">продолжит </w:t>
      </w:r>
      <w:r w:rsidR="007A25C7" w:rsidRPr="00145E0F">
        <w:rPr>
          <w:rFonts w:ascii="Times New Roman" w:hAnsi="Times New Roman"/>
          <w:spacing w:val="-2"/>
          <w:sz w:val="24"/>
          <w:szCs w:val="24"/>
        </w:rPr>
        <w:t>реализацию крупного</w:t>
      </w:r>
      <w:r w:rsidR="002A76FB" w:rsidRPr="00145E0F">
        <w:rPr>
          <w:rFonts w:ascii="Times New Roman" w:hAnsi="Times New Roman"/>
          <w:spacing w:val="-2"/>
          <w:sz w:val="24"/>
          <w:szCs w:val="24"/>
        </w:rPr>
        <w:t xml:space="preserve"> </w:t>
      </w:r>
      <w:r w:rsidRPr="00145E0F">
        <w:rPr>
          <w:rFonts w:ascii="Times New Roman" w:hAnsi="Times New Roman"/>
          <w:spacing w:val="-2"/>
          <w:sz w:val="24"/>
          <w:szCs w:val="24"/>
        </w:rPr>
        <w:t>проект</w:t>
      </w:r>
      <w:r w:rsidR="002A76FB" w:rsidRPr="00145E0F">
        <w:rPr>
          <w:rFonts w:ascii="Times New Roman" w:hAnsi="Times New Roman"/>
          <w:spacing w:val="-2"/>
          <w:sz w:val="24"/>
          <w:szCs w:val="24"/>
        </w:rPr>
        <w:t>а</w:t>
      </w:r>
      <w:r w:rsidRPr="00145E0F">
        <w:rPr>
          <w:rFonts w:ascii="Times New Roman" w:hAnsi="Times New Roman"/>
          <w:spacing w:val="-2"/>
          <w:sz w:val="24"/>
          <w:szCs w:val="24"/>
        </w:rPr>
        <w:t xml:space="preserve"> по производству корпусной мебели.</w:t>
      </w:r>
    </w:p>
    <w:p w:rsidR="00CA48D4" w:rsidRPr="00145E0F" w:rsidRDefault="00CA48D4" w:rsidP="00862ECD">
      <w:pPr>
        <w:widowControl w:val="0"/>
        <w:spacing w:after="0"/>
        <w:ind w:right="2" w:firstLine="709"/>
        <w:jc w:val="both"/>
        <w:rPr>
          <w:rFonts w:ascii="Times New Roman" w:hAnsi="Times New Roman"/>
          <w:spacing w:val="-2"/>
          <w:sz w:val="24"/>
          <w:szCs w:val="24"/>
        </w:rPr>
      </w:pPr>
      <w:r w:rsidRPr="00145E0F">
        <w:rPr>
          <w:rFonts w:ascii="Times New Roman" w:hAnsi="Times New Roman"/>
          <w:spacing w:val="-2"/>
          <w:sz w:val="24"/>
          <w:szCs w:val="24"/>
        </w:rPr>
        <w:t xml:space="preserve">В сельском хозяйстве - прорабатываются вопросы реализации проектов по созданию современного комплекса по производству и переработке мяса птицы (бройлер), животноводческо-растениеводческого комплекса. АО «Нива» в границах городского округа Тольятти и муниципального района Ставропольский планирует реализовать проект по строительству животноводческого комплекса, рассчитанного на содержание 8-9 тысяч голов крупного рогатого скота с глубокой переработкой продукции, состоящего из трех молочно-товарных ферм и молокоперерабатывающего завода. </w:t>
      </w:r>
    </w:p>
    <w:p w:rsidR="005B5DB1" w:rsidRDefault="00CA48D4" w:rsidP="00862ECD">
      <w:pPr>
        <w:widowControl w:val="0"/>
        <w:spacing w:after="0"/>
        <w:ind w:firstLine="709"/>
        <w:jc w:val="both"/>
        <w:rPr>
          <w:rFonts w:ascii="Times New Roman" w:hAnsi="Times New Roman"/>
          <w:sz w:val="24"/>
          <w:szCs w:val="24"/>
        </w:rPr>
      </w:pPr>
      <w:r w:rsidRPr="00145E0F">
        <w:rPr>
          <w:rFonts w:ascii="Times New Roman" w:hAnsi="Times New Roman"/>
          <w:sz w:val="24"/>
          <w:szCs w:val="24"/>
        </w:rPr>
        <w:t xml:space="preserve">В прогнозном периоде продолжится развитие крупных инвестиционных площадок </w:t>
      </w:r>
      <w:r w:rsidR="00CC4504">
        <w:rPr>
          <w:rFonts w:ascii="Times New Roman" w:hAnsi="Times New Roman"/>
          <w:sz w:val="24"/>
          <w:szCs w:val="24"/>
        </w:rPr>
        <w:t xml:space="preserve">городского </w:t>
      </w:r>
      <w:r w:rsidR="00AC0D52">
        <w:rPr>
          <w:rFonts w:ascii="Times New Roman" w:hAnsi="Times New Roman"/>
          <w:sz w:val="24"/>
          <w:szCs w:val="24"/>
        </w:rPr>
        <w:t>округа Тольятти</w:t>
      </w:r>
      <w:r w:rsidRPr="00145E0F">
        <w:rPr>
          <w:rFonts w:ascii="Times New Roman" w:hAnsi="Times New Roman"/>
          <w:sz w:val="24"/>
          <w:szCs w:val="24"/>
        </w:rPr>
        <w:t>: проекта «Жигулевская долина</w:t>
      </w:r>
      <w:r w:rsidR="00644600" w:rsidRPr="00145E0F">
        <w:rPr>
          <w:rFonts w:ascii="Times New Roman" w:hAnsi="Times New Roman"/>
          <w:sz w:val="24"/>
          <w:szCs w:val="24"/>
        </w:rPr>
        <w:t xml:space="preserve"> 2»</w:t>
      </w:r>
      <w:r w:rsidRPr="00145E0F">
        <w:rPr>
          <w:rFonts w:ascii="Times New Roman" w:hAnsi="Times New Roman"/>
          <w:sz w:val="24"/>
          <w:szCs w:val="24"/>
        </w:rPr>
        <w:t>, частного Индустриального парка «Тольяттисинтез».</w:t>
      </w:r>
      <w:r w:rsidR="005B5DB1">
        <w:rPr>
          <w:rFonts w:ascii="Times New Roman" w:hAnsi="Times New Roman"/>
          <w:sz w:val="24"/>
          <w:szCs w:val="24"/>
        </w:rPr>
        <w:t xml:space="preserve"> </w:t>
      </w:r>
    </w:p>
    <w:p w:rsidR="00D44E41" w:rsidRPr="00145E0F" w:rsidRDefault="00CA48D4" w:rsidP="005B5DB1">
      <w:pPr>
        <w:widowControl w:val="0"/>
        <w:spacing w:after="0"/>
        <w:ind w:firstLine="709"/>
        <w:jc w:val="both"/>
        <w:rPr>
          <w:rFonts w:ascii="Times New Roman" w:hAnsi="Times New Roman"/>
          <w:sz w:val="24"/>
          <w:szCs w:val="24"/>
        </w:rPr>
      </w:pPr>
      <w:r w:rsidRPr="00145E0F">
        <w:rPr>
          <w:rFonts w:ascii="Times New Roman" w:hAnsi="Times New Roman"/>
          <w:sz w:val="24"/>
          <w:szCs w:val="24"/>
        </w:rPr>
        <w:t xml:space="preserve">Продолжится развитие ОЭЗ </w:t>
      </w:r>
      <w:r w:rsidR="00C37CB6" w:rsidRPr="00145E0F">
        <w:rPr>
          <w:rFonts w:ascii="Times New Roman" w:hAnsi="Times New Roman"/>
          <w:sz w:val="24"/>
          <w:szCs w:val="24"/>
        </w:rPr>
        <w:t xml:space="preserve">ППТ </w:t>
      </w:r>
      <w:r w:rsidRPr="00145E0F">
        <w:rPr>
          <w:rFonts w:ascii="Times New Roman" w:hAnsi="Times New Roman"/>
          <w:sz w:val="24"/>
          <w:szCs w:val="24"/>
        </w:rPr>
        <w:t>«Тольятти</w:t>
      </w:r>
      <w:r w:rsidR="007A25C7" w:rsidRPr="00145E0F">
        <w:rPr>
          <w:rFonts w:ascii="Times New Roman" w:hAnsi="Times New Roman"/>
          <w:sz w:val="24"/>
          <w:szCs w:val="24"/>
        </w:rPr>
        <w:t>», включенной</w:t>
      </w:r>
      <w:r w:rsidR="005A7A69" w:rsidRPr="00145E0F">
        <w:rPr>
          <w:rFonts w:ascii="Times New Roman" w:hAnsi="Times New Roman"/>
          <w:sz w:val="24"/>
          <w:szCs w:val="24"/>
        </w:rPr>
        <w:t xml:space="preserve"> в границы городского округа Тольятти в </w:t>
      </w:r>
      <w:r w:rsidR="00314148" w:rsidRPr="00145E0F">
        <w:rPr>
          <w:rFonts w:ascii="Times New Roman" w:hAnsi="Times New Roman"/>
          <w:sz w:val="24"/>
          <w:szCs w:val="24"/>
        </w:rPr>
        <w:t>2020 году</w:t>
      </w:r>
      <w:r w:rsidRPr="00145E0F">
        <w:rPr>
          <w:rFonts w:ascii="Times New Roman" w:hAnsi="Times New Roman"/>
          <w:sz w:val="24"/>
          <w:szCs w:val="24"/>
        </w:rPr>
        <w:t>.</w:t>
      </w:r>
      <w:r w:rsidR="005B5DB1">
        <w:rPr>
          <w:rFonts w:ascii="Times New Roman" w:hAnsi="Times New Roman"/>
          <w:sz w:val="24"/>
          <w:szCs w:val="24"/>
        </w:rPr>
        <w:t xml:space="preserve"> За 2020-2023 годы</w:t>
      </w:r>
      <w:r w:rsidR="00E93C92" w:rsidRPr="00145E0F">
        <w:rPr>
          <w:rFonts w:ascii="Times New Roman" w:hAnsi="Times New Roman"/>
          <w:sz w:val="24"/>
          <w:szCs w:val="24"/>
        </w:rPr>
        <w:t xml:space="preserve"> действующими</w:t>
      </w:r>
      <w:r w:rsidRPr="00145E0F">
        <w:rPr>
          <w:rFonts w:ascii="Times New Roman" w:hAnsi="Times New Roman"/>
          <w:sz w:val="24"/>
          <w:szCs w:val="24"/>
        </w:rPr>
        <w:t xml:space="preserve"> компаниями - резидентами ОЭЗ </w:t>
      </w:r>
      <w:r w:rsidR="00C37CB6" w:rsidRPr="00145E0F">
        <w:rPr>
          <w:rFonts w:ascii="Times New Roman" w:hAnsi="Times New Roman"/>
          <w:sz w:val="24"/>
          <w:szCs w:val="24"/>
        </w:rPr>
        <w:t xml:space="preserve">ППТ </w:t>
      </w:r>
      <w:r w:rsidRPr="00145E0F">
        <w:rPr>
          <w:rFonts w:ascii="Times New Roman" w:hAnsi="Times New Roman"/>
          <w:sz w:val="24"/>
          <w:szCs w:val="24"/>
        </w:rPr>
        <w:t xml:space="preserve">«Тольятти» планируется </w:t>
      </w:r>
      <w:r w:rsidR="00314148" w:rsidRPr="00145E0F">
        <w:rPr>
          <w:rFonts w:ascii="Times New Roman" w:hAnsi="Times New Roman"/>
          <w:sz w:val="24"/>
          <w:szCs w:val="24"/>
        </w:rPr>
        <w:t>направить</w:t>
      </w:r>
      <w:r w:rsidRPr="00145E0F">
        <w:rPr>
          <w:rFonts w:ascii="Times New Roman" w:hAnsi="Times New Roman"/>
          <w:sz w:val="24"/>
          <w:szCs w:val="24"/>
        </w:rPr>
        <w:t xml:space="preserve"> </w:t>
      </w:r>
      <w:r w:rsidR="00314148" w:rsidRPr="00145E0F">
        <w:rPr>
          <w:rFonts w:ascii="Times New Roman" w:hAnsi="Times New Roman"/>
          <w:sz w:val="24"/>
          <w:szCs w:val="24"/>
        </w:rPr>
        <w:t>порядка</w:t>
      </w:r>
      <w:r w:rsidRPr="00145E0F">
        <w:rPr>
          <w:rFonts w:ascii="Times New Roman" w:hAnsi="Times New Roman"/>
          <w:sz w:val="24"/>
          <w:szCs w:val="24"/>
        </w:rPr>
        <w:t xml:space="preserve"> </w:t>
      </w:r>
      <w:r w:rsidR="005B5DB1">
        <w:rPr>
          <w:rFonts w:ascii="Times New Roman" w:hAnsi="Times New Roman"/>
          <w:sz w:val="24"/>
          <w:szCs w:val="24"/>
        </w:rPr>
        <w:t>3,3</w:t>
      </w:r>
      <w:r w:rsidRPr="00145E0F">
        <w:rPr>
          <w:rFonts w:ascii="Times New Roman" w:hAnsi="Times New Roman"/>
          <w:sz w:val="24"/>
          <w:szCs w:val="24"/>
        </w:rPr>
        <w:t xml:space="preserve"> млрд. рублей</w:t>
      </w:r>
      <w:r w:rsidR="00314148" w:rsidRPr="00145E0F">
        <w:rPr>
          <w:rFonts w:ascii="Times New Roman" w:hAnsi="Times New Roman"/>
          <w:sz w:val="24"/>
          <w:szCs w:val="24"/>
        </w:rPr>
        <w:t xml:space="preserve"> инвестиций</w:t>
      </w:r>
      <w:r w:rsidRPr="00145E0F">
        <w:rPr>
          <w:rFonts w:ascii="Times New Roman" w:hAnsi="Times New Roman"/>
          <w:sz w:val="24"/>
          <w:szCs w:val="24"/>
        </w:rPr>
        <w:t xml:space="preserve">. Объем инвестиций управляющей компании ОЭЗ </w:t>
      </w:r>
      <w:r w:rsidR="00794C1E">
        <w:rPr>
          <w:rFonts w:ascii="Times New Roman" w:hAnsi="Times New Roman"/>
          <w:sz w:val="24"/>
          <w:szCs w:val="24"/>
        </w:rPr>
        <w:t>ППТ «</w:t>
      </w:r>
      <w:r w:rsidRPr="00145E0F">
        <w:rPr>
          <w:rFonts w:ascii="Times New Roman" w:hAnsi="Times New Roman"/>
          <w:sz w:val="24"/>
          <w:szCs w:val="24"/>
        </w:rPr>
        <w:t>Тольятти</w:t>
      </w:r>
      <w:r w:rsidR="00794C1E">
        <w:rPr>
          <w:rFonts w:ascii="Times New Roman" w:hAnsi="Times New Roman"/>
          <w:sz w:val="24"/>
          <w:szCs w:val="24"/>
        </w:rPr>
        <w:t>»</w:t>
      </w:r>
      <w:r w:rsidRPr="00145E0F">
        <w:rPr>
          <w:rFonts w:ascii="Times New Roman" w:hAnsi="Times New Roman"/>
          <w:sz w:val="24"/>
          <w:szCs w:val="24"/>
        </w:rPr>
        <w:t xml:space="preserve"> по особо значимым проектам составит около 3,7 млрд.</w:t>
      </w:r>
      <w:r w:rsidR="00314148" w:rsidRPr="00145E0F">
        <w:rPr>
          <w:rFonts w:ascii="Times New Roman" w:hAnsi="Times New Roman"/>
          <w:sz w:val="24"/>
          <w:szCs w:val="24"/>
        </w:rPr>
        <w:t xml:space="preserve"> </w:t>
      </w:r>
      <w:r w:rsidRPr="00145E0F">
        <w:rPr>
          <w:rFonts w:ascii="Times New Roman" w:hAnsi="Times New Roman"/>
          <w:sz w:val="24"/>
          <w:szCs w:val="24"/>
        </w:rPr>
        <w:t>рублей</w:t>
      </w:r>
      <w:r w:rsidR="00D44E41" w:rsidRPr="00145E0F">
        <w:rPr>
          <w:rFonts w:ascii="Times New Roman" w:hAnsi="Times New Roman"/>
          <w:sz w:val="24"/>
          <w:szCs w:val="24"/>
        </w:rPr>
        <w:t xml:space="preserve"> (в т.ч. строительство железнодорожных путей для обеспечения деятельности ОЭЗ ППТ «Тольятти» (202</w:t>
      </w:r>
      <w:r w:rsidR="00B72000">
        <w:rPr>
          <w:rFonts w:ascii="Times New Roman" w:hAnsi="Times New Roman"/>
          <w:sz w:val="24"/>
          <w:szCs w:val="24"/>
        </w:rPr>
        <w:t>1 год – временная эксплуатация).</w:t>
      </w:r>
    </w:p>
    <w:p w:rsidR="00CA48D4" w:rsidRPr="00145E0F" w:rsidRDefault="00CA48D4" w:rsidP="00862ECD">
      <w:pPr>
        <w:pStyle w:val="af1"/>
        <w:spacing w:line="276" w:lineRule="auto"/>
        <w:rPr>
          <w:spacing w:val="-2"/>
          <w:sz w:val="24"/>
          <w:szCs w:val="24"/>
        </w:rPr>
      </w:pPr>
      <w:r w:rsidRPr="00145E0F">
        <w:rPr>
          <w:spacing w:val="-2"/>
          <w:sz w:val="24"/>
          <w:szCs w:val="24"/>
        </w:rPr>
        <w:t xml:space="preserve">В прогнозном периоде резидент ОЭЗ </w:t>
      </w:r>
      <w:r w:rsidR="005B5DB1">
        <w:rPr>
          <w:spacing w:val="-2"/>
          <w:sz w:val="24"/>
          <w:szCs w:val="24"/>
        </w:rPr>
        <w:t xml:space="preserve">ППТ </w:t>
      </w:r>
      <w:r w:rsidRPr="00145E0F">
        <w:rPr>
          <w:spacing w:val="-2"/>
          <w:sz w:val="24"/>
          <w:szCs w:val="24"/>
        </w:rPr>
        <w:t>«Тольятти» ООО «ПОЛИФАРМ» продолжит реализацию инвестиционного проекта по созданию и эксплуатации фармацевтического комплекса по производству лекарственных веществ (общий объем инвестиций проекта порядка 260,3 млн.</w:t>
      </w:r>
      <w:r w:rsidR="005B5DB1">
        <w:rPr>
          <w:spacing w:val="-2"/>
          <w:sz w:val="24"/>
          <w:szCs w:val="24"/>
        </w:rPr>
        <w:t xml:space="preserve"> </w:t>
      </w:r>
      <w:r w:rsidRPr="00145E0F">
        <w:rPr>
          <w:spacing w:val="-2"/>
          <w:sz w:val="24"/>
          <w:szCs w:val="24"/>
        </w:rPr>
        <w:t xml:space="preserve">рублей). Еще один резидент ОЭЗ </w:t>
      </w:r>
      <w:r w:rsidR="00314148" w:rsidRPr="00145E0F">
        <w:rPr>
          <w:spacing w:val="-2"/>
          <w:sz w:val="24"/>
          <w:szCs w:val="24"/>
        </w:rPr>
        <w:t xml:space="preserve">ППТ </w:t>
      </w:r>
      <w:r w:rsidRPr="00145E0F">
        <w:rPr>
          <w:spacing w:val="-2"/>
          <w:sz w:val="24"/>
          <w:szCs w:val="24"/>
        </w:rPr>
        <w:t>«Тольятти» – ООО «НПО «Зеленый мир»» – намерен реализовать проект по</w:t>
      </w:r>
      <w:r w:rsidRPr="00145E0F">
        <w:rPr>
          <w:sz w:val="24"/>
          <w:szCs w:val="24"/>
        </w:rPr>
        <w:t xml:space="preserve"> сборке автомобильных газонаполнительных компрессоров </w:t>
      </w:r>
      <w:r w:rsidRPr="00145E0F">
        <w:rPr>
          <w:spacing w:val="-2"/>
          <w:sz w:val="24"/>
          <w:szCs w:val="24"/>
        </w:rPr>
        <w:t>(общий объем инвестиций проекта порядка 1,0 млрд.</w:t>
      </w:r>
      <w:r w:rsidR="00314148" w:rsidRPr="00145E0F">
        <w:rPr>
          <w:spacing w:val="-2"/>
          <w:sz w:val="24"/>
          <w:szCs w:val="24"/>
        </w:rPr>
        <w:t xml:space="preserve"> </w:t>
      </w:r>
      <w:r w:rsidRPr="00145E0F">
        <w:rPr>
          <w:spacing w:val="-2"/>
          <w:sz w:val="24"/>
          <w:szCs w:val="24"/>
        </w:rPr>
        <w:t>рублей).</w:t>
      </w:r>
    </w:p>
    <w:p w:rsidR="00CA48D4" w:rsidRPr="00145E0F" w:rsidRDefault="00CA48D4" w:rsidP="00862ECD">
      <w:pPr>
        <w:pStyle w:val="af"/>
        <w:tabs>
          <w:tab w:val="left" w:pos="142"/>
        </w:tabs>
        <w:spacing w:line="276" w:lineRule="auto"/>
        <w:ind w:left="0" w:firstLine="709"/>
        <w:jc w:val="both"/>
        <w:rPr>
          <w:sz w:val="24"/>
          <w:szCs w:val="24"/>
        </w:rPr>
      </w:pPr>
      <w:r w:rsidRPr="00145E0F">
        <w:rPr>
          <w:spacing w:val="-2"/>
          <w:sz w:val="24"/>
          <w:szCs w:val="24"/>
        </w:rPr>
        <w:t xml:space="preserve"> </w:t>
      </w:r>
      <w:r w:rsidRPr="00145E0F">
        <w:rPr>
          <w:sz w:val="24"/>
          <w:szCs w:val="24"/>
        </w:rPr>
        <w:t xml:space="preserve">Продолжится реализация семи приоритетных направлений, определенных, Стратегией социально-экономического развития городского округа Тольятти на период до 2030 года, предполагающих развитие социальной сферы и повышение качества жизни. </w:t>
      </w:r>
    </w:p>
    <w:p w:rsidR="00CA48D4" w:rsidRPr="00145E0F" w:rsidRDefault="00CA48D4" w:rsidP="00862ECD">
      <w:pPr>
        <w:pStyle w:val="af"/>
        <w:tabs>
          <w:tab w:val="left" w:pos="142"/>
        </w:tabs>
        <w:spacing w:line="276" w:lineRule="auto"/>
        <w:ind w:left="0" w:firstLine="709"/>
        <w:jc w:val="both"/>
        <w:rPr>
          <w:sz w:val="24"/>
          <w:szCs w:val="24"/>
        </w:rPr>
      </w:pPr>
      <w:r w:rsidRPr="00145E0F">
        <w:rPr>
          <w:sz w:val="24"/>
          <w:szCs w:val="24"/>
        </w:rPr>
        <w:t>Крупнейшими проекта</w:t>
      </w:r>
      <w:r w:rsidR="00A252FC" w:rsidRPr="00145E0F">
        <w:rPr>
          <w:sz w:val="24"/>
          <w:szCs w:val="24"/>
        </w:rPr>
        <w:t xml:space="preserve">ми развития для </w:t>
      </w:r>
      <w:r w:rsidR="00CC4504">
        <w:rPr>
          <w:sz w:val="24"/>
          <w:szCs w:val="24"/>
        </w:rPr>
        <w:t xml:space="preserve">городского </w:t>
      </w:r>
      <w:r w:rsidR="00AC0D52">
        <w:rPr>
          <w:sz w:val="24"/>
          <w:szCs w:val="24"/>
        </w:rPr>
        <w:t>округа Тольятти</w:t>
      </w:r>
      <w:r w:rsidR="00A252FC" w:rsidRPr="00145E0F">
        <w:rPr>
          <w:sz w:val="24"/>
          <w:szCs w:val="24"/>
        </w:rPr>
        <w:t xml:space="preserve"> станут: с</w:t>
      </w:r>
      <w:r w:rsidRPr="00145E0F">
        <w:rPr>
          <w:sz w:val="24"/>
          <w:szCs w:val="24"/>
        </w:rPr>
        <w:t>троительство мостового перехода через р. Волга в район</w:t>
      </w:r>
      <w:r w:rsidR="003A0F93" w:rsidRPr="00145E0F">
        <w:rPr>
          <w:sz w:val="24"/>
          <w:szCs w:val="24"/>
        </w:rPr>
        <w:t xml:space="preserve">е села </w:t>
      </w:r>
      <w:proofErr w:type="spellStart"/>
      <w:r w:rsidR="003A0F93" w:rsidRPr="00145E0F">
        <w:rPr>
          <w:sz w:val="24"/>
          <w:szCs w:val="24"/>
        </w:rPr>
        <w:t>Климовка</w:t>
      </w:r>
      <w:proofErr w:type="spellEnd"/>
      <w:r w:rsidR="003A0F93" w:rsidRPr="00145E0F">
        <w:rPr>
          <w:sz w:val="24"/>
          <w:szCs w:val="24"/>
        </w:rPr>
        <w:t>, р</w:t>
      </w:r>
      <w:r w:rsidRPr="00145E0F">
        <w:rPr>
          <w:sz w:val="24"/>
          <w:szCs w:val="24"/>
        </w:rPr>
        <w:t xml:space="preserve">еконструкция набережной Автозаводского района г. Тольятти, строительство школ, детских садов и другие. </w:t>
      </w:r>
    </w:p>
    <w:p w:rsidR="00CA48D4" w:rsidRPr="00145E0F" w:rsidRDefault="00CA48D4" w:rsidP="00862ECD">
      <w:pPr>
        <w:spacing w:after="0"/>
        <w:ind w:firstLine="709"/>
        <w:jc w:val="both"/>
        <w:rPr>
          <w:rFonts w:ascii="Times New Roman" w:hAnsi="Times New Roman"/>
          <w:sz w:val="24"/>
          <w:szCs w:val="24"/>
        </w:rPr>
      </w:pPr>
      <w:r w:rsidRPr="00145E0F">
        <w:rPr>
          <w:rFonts w:ascii="Times New Roman" w:hAnsi="Times New Roman"/>
          <w:sz w:val="24"/>
          <w:szCs w:val="24"/>
        </w:rPr>
        <w:t>Кроме того, одним из механизмов, способствующих продвижению привлекательного с инвестиционной точки зрения имиджа городского округа Тольятти, в прогнозном периоде является организация на его территории международных инвестиционно-ориентированных мероприятий (форумов, встреч с иностранными экономическими миссиями, международных выставочных мероприятий и другие).</w:t>
      </w:r>
    </w:p>
    <w:p w:rsidR="00CA48D4" w:rsidRPr="00145E0F" w:rsidRDefault="00CA48D4" w:rsidP="00862ECD">
      <w:pPr>
        <w:spacing w:after="0"/>
        <w:ind w:firstLine="709"/>
        <w:jc w:val="both"/>
        <w:rPr>
          <w:rFonts w:ascii="Times New Roman" w:hAnsi="Times New Roman"/>
          <w:color w:val="000000"/>
          <w:sz w:val="24"/>
          <w:szCs w:val="24"/>
        </w:rPr>
      </w:pPr>
      <w:r w:rsidRPr="00145E0F">
        <w:rPr>
          <w:rFonts w:ascii="Times New Roman" w:hAnsi="Times New Roman"/>
          <w:color w:val="000000"/>
          <w:sz w:val="24"/>
          <w:szCs w:val="24"/>
        </w:rPr>
        <w:t>В прогнозном периоде ожидается рост бюджетных инвестиций, в том числе в рамках реализации Плана основных мероприятий по подготовке и проведению празднования 50-летия выпуска первого легкового автомобиля ВАЗ в городском округе Тольятти. Будет продолжено строительство физкультурно-спортивного комплекса на площадке «Певческое поле», строительство и реконструкция трех общеобразовательных школ - в 18-м квартале и в 20-м квартале,</w:t>
      </w:r>
      <w:r w:rsidRPr="00145E0F">
        <w:rPr>
          <w:rFonts w:ascii="Times New Roman" w:hAnsi="Times New Roman"/>
          <w:sz w:val="24"/>
          <w:szCs w:val="24"/>
        </w:rPr>
        <w:t xml:space="preserve"> реконструкция здания МБУ ДО ДМШ №4 им. В.М. Свердлова, со строительством корпуса для МБУ ДО ДХШ им. М.Н. </w:t>
      </w:r>
      <w:r w:rsidR="007A25C7" w:rsidRPr="00145E0F">
        <w:rPr>
          <w:rFonts w:ascii="Times New Roman" w:hAnsi="Times New Roman"/>
          <w:sz w:val="24"/>
          <w:szCs w:val="24"/>
        </w:rPr>
        <w:t>Плисецкой,</w:t>
      </w:r>
      <w:r w:rsidR="007A25C7" w:rsidRPr="00145E0F">
        <w:rPr>
          <w:rFonts w:ascii="Times New Roman" w:hAnsi="Times New Roman"/>
          <w:color w:val="000000"/>
          <w:sz w:val="24"/>
          <w:szCs w:val="24"/>
        </w:rPr>
        <w:t xml:space="preserve"> строительство</w:t>
      </w:r>
      <w:r w:rsidRPr="00145E0F">
        <w:rPr>
          <w:rFonts w:ascii="Times New Roman" w:hAnsi="Times New Roman"/>
          <w:color w:val="000000"/>
          <w:sz w:val="24"/>
          <w:szCs w:val="24"/>
        </w:rPr>
        <w:t xml:space="preserve"> ФОК «Акробат», а также центра спортивной гимнастики «Немов-центр». Продолжится строительство новых дорог и дорожных объектов, а также реконструкция существующих дорог. Объем бюджетных инвестиций за три года по базовому варианту может составить более 11,6 млрд. рублей.</w:t>
      </w:r>
    </w:p>
    <w:p w:rsidR="00CA48D4" w:rsidRPr="00145E0F" w:rsidRDefault="00CA48D4" w:rsidP="00862ECD">
      <w:pPr>
        <w:spacing w:after="0"/>
        <w:ind w:firstLine="709"/>
        <w:jc w:val="both"/>
        <w:rPr>
          <w:rFonts w:ascii="Times New Roman" w:hAnsi="Times New Roman"/>
          <w:sz w:val="24"/>
          <w:szCs w:val="24"/>
        </w:rPr>
      </w:pPr>
      <w:r w:rsidRPr="00145E0F">
        <w:rPr>
          <w:rFonts w:ascii="Times New Roman" w:hAnsi="Times New Roman"/>
          <w:color w:val="000000"/>
          <w:sz w:val="24"/>
          <w:szCs w:val="24"/>
        </w:rPr>
        <w:t xml:space="preserve">Корректировка показателя инвестиции в основной капитал по сравнению с прошлогодними параметрами произведена на основании фактически сложившихся значений с учетом собственных прогнозов реализации инвестиционных проектов ведущих промышленных предприятий </w:t>
      </w:r>
      <w:r w:rsidR="00CC4504">
        <w:rPr>
          <w:rFonts w:ascii="Times New Roman" w:hAnsi="Times New Roman"/>
          <w:color w:val="000000"/>
          <w:sz w:val="24"/>
          <w:szCs w:val="24"/>
        </w:rPr>
        <w:t xml:space="preserve">городского </w:t>
      </w:r>
      <w:r w:rsidR="00AC0D52">
        <w:rPr>
          <w:rFonts w:ascii="Times New Roman" w:hAnsi="Times New Roman"/>
          <w:color w:val="000000"/>
          <w:sz w:val="24"/>
          <w:szCs w:val="24"/>
        </w:rPr>
        <w:t>округа Тольятти</w:t>
      </w:r>
      <w:r w:rsidRPr="00145E0F">
        <w:rPr>
          <w:rFonts w:ascii="Times New Roman" w:hAnsi="Times New Roman"/>
          <w:color w:val="000000"/>
          <w:sz w:val="24"/>
          <w:szCs w:val="24"/>
        </w:rPr>
        <w:t xml:space="preserve">, плановых сумм бюджетных инвестиций в реконструкцию и строительство объектов на территории </w:t>
      </w:r>
      <w:r w:rsidR="00CC4504">
        <w:rPr>
          <w:rFonts w:ascii="Times New Roman" w:hAnsi="Times New Roman"/>
          <w:color w:val="000000"/>
          <w:sz w:val="24"/>
          <w:szCs w:val="24"/>
        </w:rPr>
        <w:t xml:space="preserve">городского </w:t>
      </w:r>
      <w:r w:rsidR="00AC0D52">
        <w:rPr>
          <w:rFonts w:ascii="Times New Roman" w:hAnsi="Times New Roman"/>
          <w:color w:val="000000"/>
          <w:sz w:val="24"/>
          <w:szCs w:val="24"/>
        </w:rPr>
        <w:t>округа Тольятти</w:t>
      </w:r>
      <w:r w:rsidRPr="00145E0F">
        <w:rPr>
          <w:rFonts w:ascii="Times New Roman" w:hAnsi="Times New Roman"/>
          <w:color w:val="000000"/>
          <w:sz w:val="24"/>
          <w:szCs w:val="24"/>
        </w:rPr>
        <w:t xml:space="preserve">. Прогнозное значение показателя объема инвестиций в основной капитал скорректировано в сторону </w:t>
      </w:r>
      <w:r w:rsidRPr="00145E0F">
        <w:rPr>
          <w:rFonts w:ascii="Times New Roman" w:hAnsi="Times New Roman"/>
          <w:sz w:val="24"/>
          <w:szCs w:val="24"/>
        </w:rPr>
        <w:t>увеличения по сравнению с прошлогодними параметрами (на 3,9-5,6 млрд. рублей в 2021 и 202</w:t>
      </w:r>
      <w:r w:rsidR="008620D1" w:rsidRPr="00145E0F">
        <w:rPr>
          <w:rFonts w:ascii="Times New Roman" w:hAnsi="Times New Roman"/>
          <w:sz w:val="24"/>
          <w:szCs w:val="24"/>
        </w:rPr>
        <w:t>3</w:t>
      </w:r>
      <w:r w:rsidRPr="00145E0F">
        <w:rPr>
          <w:rFonts w:ascii="Times New Roman" w:hAnsi="Times New Roman"/>
          <w:sz w:val="24"/>
          <w:szCs w:val="24"/>
        </w:rPr>
        <w:t xml:space="preserve"> годах по базовому варианту).</w:t>
      </w:r>
    </w:p>
    <w:p w:rsidR="00877C88" w:rsidRPr="00145E0F" w:rsidRDefault="00877C88" w:rsidP="00862ECD">
      <w:pPr>
        <w:pStyle w:val="aa"/>
        <w:widowControl w:val="0"/>
        <w:spacing w:before="0" w:after="0" w:line="276" w:lineRule="auto"/>
        <w:ind w:firstLine="709"/>
        <w:jc w:val="both"/>
        <w:rPr>
          <w:color w:val="000000"/>
          <w:lang w:eastAsia="ru-RU"/>
        </w:rPr>
      </w:pPr>
      <w:r w:rsidRPr="005B5DB1">
        <w:rPr>
          <w:color w:val="000000"/>
          <w:lang w:eastAsia="ru-RU"/>
        </w:rPr>
        <w:t>На жилищное строительство на территории</w:t>
      </w:r>
      <w:r w:rsidRPr="00145E0F">
        <w:rPr>
          <w:color w:val="000000"/>
          <w:lang w:eastAsia="ru-RU"/>
        </w:rPr>
        <w:t xml:space="preserve"> городского округа Тольятти основное влияние оказывает невысокий спрос на приобретение нового жилья, в том числе в результате снижения численности постоянного населения </w:t>
      </w:r>
      <w:r w:rsidR="00CC4504">
        <w:rPr>
          <w:color w:val="000000"/>
          <w:lang w:eastAsia="ru-RU"/>
        </w:rPr>
        <w:t xml:space="preserve">городского </w:t>
      </w:r>
      <w:r w:rsidR="00AC0D52">
        <w:rPr>
          <w:color w:val="000000"/>
          <w:lang w:eastAsia="ru-RU"/>
        </w:rPr>
        <w:t>округа Тольятти</w:t>
      </w:r>
      <w:r w:rsidRPr="00145E0F">
        <w:rPr>
          <w:color w:val="000000"/>
          <w:lang w:eastAsia="ru-RU"/>
        </w:rPr>
        <w:t xml:space="preserve">. Происходит сокращение количества новых проектов, так как застройщики не рискуют начинать строительство в связи с переходом на проектное финансирование. </w:t>
      </w:r>
    </w:p>
    <w:p w:rsidR="00877C88" w:rsidRPr="00145E0F" w:rsidRDefault="00877C88" w:rsidP="00862ECD">
      <w:pPr>
        <w:pStyle w:val="aa"/>
        <w:widowControl w:val="0"/>
        <w:spacing w:before="0" w:after="0" w:line="276" w:lineRule="auto"/>
        <w:ind w:firstLine="709"/>
        <w:jc w:val="both"/>
        <w:rPr>
          <w:color w:val="000000"/>
          <w:lang w:eastAsia="ru-RU"/>
        </w:rPr>
      </w:pPr>
      <w:r w:rsidRPr="00145E0F">
        <w:rPr>
          <w:color w:val="000000"/>
          <w:lang w:eastAsia="ru-RU"/>
        </w:rPr>
        <w:t xml:space="preserve">С учетом этой неопределенности по первому (консервативному) варианту прогнозируется снижение объемов вводимого в действие жилья. Прогноз по вводу жилья на 2021-2023 </w:t>
      </w:r>
      <w:r w:rsidR="005B5DB1">
        <w:rPr>
          <w:color w:val="000000"/>
          <w:lang w:eastAsia="ru-RU"/>
        </w:rPr>
        <w:t>годы</w:t>
      </w:r>
      <w:r w:rsidRPr="00145E0F">
        <w:rPr>
          <w:color w:val="000000"/>
          <w:lang w:eastAsia="ru-RU"/>
        </w:rPr>
        <w:t xml:space="preserve"> по консервативному варианту рассчитан исходя из имеющихся на настоящий период времени сведений о сроках действия разрешений на строительство, сведения о которых имеются в АИС </w:t>
      </w:r>
      <w:r w:rsidR="00794C1E">
        <w:rPr>
          <w:color w:val="000000"/>
          <w:lang w:eastAsia="ru-RU"/>
        </w:rPr>
        <w:t>«</w:t>
      </w:r>
      <w:r w:rsidRPr="00145E0F">
        <w:rPr>
          <w:color w:val="000000"/>
          <w:lang w:eastAsia="ru-RU"/>
        </w:rPr>
        <w:t>О</w:t>
      </w:r>
      <w:r w:rsidR="00794C1E">
        <w:rPr>
          <w:color w:val="000000"/>
          <w:lang w:eastAsia="ru-RU"/>
        </w:rPr>
        <w:t>беспечение градостроительной деятельности»</w:t>
      </w:r>
      <w:r w:rsidRPr="00145E0F">
        <w:rPr>
          <w:color w:val="000000"/>
          <w:lang w:eastAsia="ru-RU"/>
        </w:rPr>
        <w:t xml:space="preserve">.  </w:t>
      </w:r>
    </w:p>
    <w:p w:rsidR="00877C88" w:rsidRPr="00145E0F" w:rsidRDefault="00877C88" w:rsidP="00862ECD">
      <w:pPr>
        <w:pStyle w:val="aa"/>
        <w:widowControl w:val="0"/>
        <w:spacing w:before="0" w:after="0" w:line="276" w:lineRule="auto"/>
        <w:ind w:firstLine="709"/>
        <w:jc w:val="both"/>
        <w:rPr>
          <w:color w:val="000000"/>
          <w:lang w:eastAsia="ru-RU"/>
        </w:rPr>
      </w:pPr>
      <w:r w:rsidRPr="00145E0F">
        <w:rPr>
          <w:color w:val="000000"/>
          <w:lang w:eastAsia="ru-RU"/>
        </w:rPr>
        <w:t xml:space="preserve">По второму (базовому) варианту прогноза, исходя из целевых показателей темпов жилищного строительства региональной составляющей национального проекта «Жилье и городская среда» прогнозируется увеличение объема ввода в действие общей площади жилых домов (квартир) (с учетом индивидуальных построек): к концу 2023 года по второму варианту прогноза прирост вводимого объема жилья составит 14,4% к 2020 году. </w:t>
      </w:r>
    </w:p>
    <w:p w:rsidR="00877C88" w:rsidRPr="00145E0F" w:rsidRDefault="00877C88" w:rsidP="00862ECD">
      <w:pPr>
        <w:pStyle w:val="aa"/>
        <w:widowControl w:val="0"/>
        <w:spacing w:before="0" w:after="0" w:line="276" w:lineRule="auto"/>
        <w:ind w:firstLine="709"/>
        <w:jc w:val="both"/>
        <w:rPr>
          <w:color w:val="000000"/>
          <w:lang w:eastAsia="ru-RU"/>
        </w:rPr>
      </w:pPr>
      <w:r w:rsidRPr="00145E0F">
        <w:rPr>
          <w:color w:val="000000"/>
          <w:lang w:eastAsia="ru-RU"/>
        </w:rPr>
        <w:t>Уровень обеспеченности населения городского округа Тольятти жильем к 2023 году составит 23,7 и 24,1 кв. м на человека по консервативному и базовому вариантам соответственно.</w:t>
      </w:r>
      <w:r w:rsidRPr="00145E0F">
        <w:rPr>
          <w:color w:val="000000"/>
          <w:lang w:eastAsia="ru-RU"/>
        </w:rPr>
        <w:tab/>
      </w:r>
    </w:p>
    <w:p w:rsidR="00877C88" w:rsidRPr="00145E0F" w:rsidRDefault="00877C88" w:rsidP="00862ECD">
      <w:pPr>
        <w:pStyle w:val="aa"/>
        <w:widowControl w:val="0"/>
        <w:spacing w:before="0" w:after="0" w:line="276" w:lineRule="auto"/>
        <w:ind w:firstLine="709"/>
        <w:jc w:val="both"/>
        <w:rPr>
          <w:lang w:eastAsia="ru-RU"/>
        </w:rPr>
      </w:pPr>
      <w:r w:rsidRPr="00145E0F">
        <w:rPr>
          <w:lang w:eastAsia="ru-RU"/>
        </w:rPr>
        <w:t>Приоритетное направление в жилищной политике в прогнозном периоде - выполнение текущих обязательств государства по обеспечению жильем льготных категорий граждан и совершенствование нормативной и правовой базы реализации жилищной политики.</w:t>
      </w:r>
    </w:p>
    <w:p w:rsidR="00877C88" w:rsidRPr="00145E0F" w:rsidRDefault="00877C88" w:rsidP="00862ECD">
      <w:pPr>
        <w:pStyle w:val="ConsPlusNormal"/>
        <w:spacing w:line="276" w:lineRule="auto"/>
        <w:ind w:firstLine="708"/>
        <w:jc w:val="both"/>
        <w:rPr>
          <w:sz w:val="24"/>
          <w:szCs w:val="24"/>
        </w:rPr>
      </w:pPr>
      <w:r w:rsidRPr="00145E0F">
        <w:rPr>
          <w:sz w:val="24"/>
          <w:szCs w:val="24"/>
        </w:rPr>
        <w:t>Основные мероприятия в сфере жилищной политики, реализуемые в рамках региональной составляющей национального проекта по Самарской области «Жилье и городская среда» направлены на увеличение жилищного строительства; создание механизмов развития комфортной городской среды; создание механизмов переселения граждан из непригодного для проживания жилищного фонда.</w:t>
      </w:r>
    </w:p>
    <w:p w:rsidR="00877C88" w:rsidRPr="00145E0F" w:rsidRDefault="00877C88" w:rsidP="005B5DB1">
      <w:pPr>
        <w:pStyle w:val="ConsPlusNormal"/>
        <w:spacing w:line="276" w:lineRule="auto"/>
        <w:ind w:firstLine="708"/>
        <w:jc w:val="both"/>
        <w:rPr>
          <w:sz w:val="24"/>
          <w:szCs w:val="24"/>
        </w:rPr>
      </w:pPr>
      <w:r w:rsidRPr="00145E0F">
        <w:rPr>
          <w:sz w:val="24"/>
          <w:szCs w:val="24"/>
        </w:rPr>
        <w:t>Достижение целей по повышению доступности жилья и качества жилищного обеспечения населения, исполнение государственных обязательств по обеспечению жильем отдельных категорий граждан, в том числе путем оказания мер государственной поддержки в приобретении (строительстве) жилья осуществляется в рамках государственной программой Самарской области «Развитие жилищного строительства в Самарской области».</w:t>
      </w:r>
    </w:p>
    <w:p w:rsidR="00877C88" w:rsidRPr="00145E0F" w:rsidRDefault="00877C88" w:rsidP="005B5DB1">
      <w:pPr>
        <w:pStyle w:val="aa"/>
        <w:widowControl w:val="0"/>
        <w:spacing w:before="0" w:after="0" w:line="276" w:lineRule="auto"/>
        <w:ind w:firstLine="709"/>
        <w:jc w:val="both"/>
        <w:rPr>
          <w:lang w:eastAsia="ru-RU"/>
        </w:rPr>
      </w:pPr>
      <w:r w:rsidRPr="00145E0F">
        <w:rPr>
          <w:lang w:eastAsia="ru-RU"/>
        </w:rPr>
        <w:t xml:space="preserve">Планируется продолжить мероприятия по завершению строительства и вводу в эксплуатацию проблемных объектов жилищного строительства. </w:t>
      </w:r>
    </w:p>
    <w:p w:rsidR="006A30C9" w:rsidRPr="00E0127F" w:rsidRDefault="006A30C9" w:rsidP="005B5DB1">
      <w:pPr>
        <w:pStyle w:val="a8"/>
        <w:spacing w:before="120" w:line="276" w:lineRule="auto"/>
        <w:jc w:val="center"/>
        <w:rPr>
          <w:rFonts w:ascii="Times New Roman" w:eastAsiaTheme="majorEastAsia" w:hAnsi="Times New Roman" w:cs="Times New Roman"/>
          <w:b/>
          <w:sz w:val="24"/>
          <w:szCs w:val="24"/>
          <w:lang w:eastAsia="ru-RU"/>
        </w:rPr>
      </w:pPr>
      <w:r w:rsidRPr="00E0127F">
        <w:rPr>
          <w:rFonts w:ascii="Times New Roman" w:eastAsiaTheme="majorEastAsia" w:hAnsi="Times New Roman" w:cs="Times New Roman"/>
          <w:b/>
          <w:sz w:val="24"/>
          <w:szCs w:val="24"/>
          <w:lang w:eastAsia="ru-RU"/>
        </w:rPr>
        <w:t>Финансы</w:t>
      </w:r>
      <w:bookmarkStart w:id="3" w:name="финансы"/>
      <w:bookmarkEnd w:id="3"/>
    </w:p>
    <w:p w:rsidR="0061652B" w:rsidRPr="00145E0F" w:rsidRDefault="0061652B" w:rsidP="005B5DB1">
      <w:pPr>
        <w:pStyle w:val="aa"/>
        <w:widowControl w:val="0"/>
        <w:numPr>
          <w:ilvl w:val="0"/>
          <w:numId w:val="2"/>
        </w:numPr>
        <w:tabs>
          <w:tab w:val="clear" w:pos="0"/>
          <w:tab w:val="num" w:pos="720"/>
        </w:tabs>
        <w:spacing w:before="120" w:after="0" w:line="276" w:lineRule="auto"/>
        <w:ind w:left="0" w:firstLine="709"/>
        <w:jc w:val="both"/>
      </w:pPr>
      <w:r w:rsidRPr="00145E0F">
        <w:t xml:space="preserve">На показатели финансовой сферы городского округа Тольятти в прогнозном периоде будут влиять такие основные факторы, как удержание прибыли крупными и средними организациями на уровне не ниже 2020 года по консервативному варианту в 2021 году и восстановительный рост по обоим вариантам прогноза в 2022-2023 годах при условии открытости границ для перемещения сырья и товаров в химической промышленности и роста потребительского спроса на автомобили.  Бюджетная сфера по обоим вариантам прогноза будет по-прежнему испытывать ограничения, обусловленные необходимостью сокращения объема муниципального долга и замедленным ростом доходов в </w:t>
      </w:r>
      <w:r w:rsidR="00AB31C6">
        <w:t xml:space="preserve">бюджет городского </w:t>
      </w:r>
      <w:r w:rsidR="00AC0D52">
        <w:t>округа Тольятти</w:t>
      </w:r>
      <w:r w:rsidRPr="00145E0F">
        <w:t>, основным наполнением которого являются налог на доходы физических лиц (НДФЛ), динамика которого не будет расти интенсивно без соответствующего роста численности официально трудоустроенных работников и размеров заработной платы.</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Прибыль прибыльных организаций до налогообложения (по </w:t>
      </w:r>
      <w:r w:rsidR="00AB31C6">
        <w:t xml:space="preserve">российской системе бухгалтерского учёта (далее - </w:t>
      </w:r>
      <w:r w:rsidRPr="00145E0F">
        <w:t>РСБУ)</w:t>
      </w:r>
      <w:r w:rsidR="00AB31C6">
        <w:t>)</w:t>
      </w:r>
      <w:r w:rsidRPr="00145E0F">
        <w:t xml:space="preserve"> организаций, не относящихся к субъектам малого предпринимательства (далее по разделу – прибыль): </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по консервативному варианту: в 2021 году прогнозируется удержание объемов прибыли на уровне 2020 года (100,1%), в 2022 и 2023 годах – 107,1% и 107,2% соответственно; к концу прогнозного периода (2023/2020) рост прибыли составит 114,9%;</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 по базовому варианту – более высокими темпами относительно текущего года: 108,3%, 108,4% и 108,5% в 2020, 2021 и 2022 годах соответственно); к концу прогнозного периода рост прибыли составит 127,4% относительно «низкой базы» 2020 года с учётом данных о прибыли химических предприятий, доля прибыли которых в общем объеме прибыли традиционно составляет 50%-60%, реализации крупных инвестиционных проектов, направленных на выпуск новых конкурентоспособных продуктов, получения АО «АВТОВАЗ» </w:t>
      </w:r>
      <w:proofErr w:type="spellStart"/>
      <w:r w:rsidRPr="00145E0F">
        <w:t>промсубсидий</w:t>
      </w:r>
      <w:proofErr w:type="spellEnd"/>
      <w:r w:rsidRPr="00145E0F">
        <w:t xml:space="preserve"> (компенсация уплаченного утилизационного сбора) в рамках реализации</w:t>
      </w:r>
      <w:r w:rsidR="00AB31C6">
        <w:t xml:space="preserve"> специального инвестиционного контракта (</w:t>
      </w:r>
      <w:r w:rsidRPr="00145E0F">
        <w:t>СПИК</w:t>
      </w:r>
      <w:r w:rsidR="00AB31C6">
        <w:t>)</w:t>
      </w:r>
      <w:r w:rsidRPr="00145E0F">
        <w:t xml:space="preserve"> и мер государственной отраслевой поддержки, а также участия тольяттинских предприятий в реализации национальных проектов «Производительность труда и поддержка занятости», «Международная кооперация и экспорт».</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Прогнозные значения прибыли прибыльных организаций на 2021 и 2022 годы корректируются в сторону снижения (на 4</w:t>
      </w:r>
      <w:r w:rsidR="008A6DC7" w:rsidRPr="00145E0F">
        <w:t>8,9</w:t>
      </w:r>
      <w:r w:rsidRPr="00145E0F">
        <w:t xml:space="preserve">% и </w:t>
      </w:r>
      <w:r w:rsidR="008A6DC7" w:rsidRPr="00145E0F">
        <w:t>48,2</w:t>
      </w:r>
      <w:r w:rsidRPr="00145E0F">
        <w:t xml:space="preserve">% по базовому варианту соответственно) с учётом фактических за </w:t>
      </w:r>
      <w:r w:rsidR="00C5284F">
        <w:t>1</w:t>
      </w:r>
      <w:r w:rsidRPr="00145E0F">
        <w:t xml:space="preserve"> полугодие 2020 года, сложившихся в размере значительно ниже, чем прогнозировались годом ранее, за счет ограничительных мер, принятых в мире в связи с распространением новой коронавирусной инфекции. По этой же причине корректируются в сторону снижения и другие финансовые показатели.</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Рост амортизационных отчислений на полное восстановление основных средств организаций городского округа Тольятти в прогнозном периоде прогнозируется на уровне темпов роста инвестиций в основной капитал: в 2021 году - на 0,8% и 6,3% </w:t>
      </w:r>
      <w:r w:rsidR="00957FEE">
        <w:t xml:space="preserve">к предыдущему году </w:t>
      </w:r>
      <w:r w:rsidRPr="00145E0F">
        <w:t xml:space="preserve">по вариантам прогноза соответственно, в 2022 году – на 8,4% и 12,7%, в 2023 году – на 6,4% и 10,6%. Их рост будет обеспечиваться как инвестициями в основные средства действующих крупных и средних организаций, так и вновь вводимыми основными средствами резидентов ТОСЭР «Тольятти», ОЭЗ </w:t>
      </w:r>
      <w:r w:rsidR="00314148" w:rsidRPr="00145E0F">
        <w:t xml:space="preserve">ППТ </w:t>
      </w:r>
      <w:r w:rsidRPr="00145E0F">
        <w:t xml:space="preserve">«Тольятти». </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Налоговые доходы городского </w:t>
      </w:r>
      <w:r w:rsidR="00AC0D52">
        <w:t>округа Тольятти</w:t>
      </w:r>
      <w:r w:rsidRPr="00145E0F">
        <w:t xml:space="preserve"> к концу 2023 года по сравнению с 2020 годом увеличатся на </w:t>
      </w:r>
      <w:r w:rsidR="005761D1">
        <w:t>20,</w:t>
      </w:r>
      <w:r w:rsidR="00346BA4">
        <w:t>4</w:t>
      </w:r>
      <w:r w:rsidRPr="00145E0F">
        <w:t xml:space="preserve">% по консервативному варианту прогноза, на </w:t>
      </w:r>
      <w:r w:rsidR="005761D1">
        <w:t>26,6</w:t>
      </w:r>
      <w:r w:rsidRPr="00145E0F">
        <w:t>% по базовому варианту прогноза, в том числе по базовому варианту:</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 налоги на прибыль, доходы: </w:t>
      </w:r>
      <w:r w:rsidR="00957FEE">
        <w:t xml:space="preserve">по базовому варианту </w:t>
      </w:r>
      <w:r w:rsidRPr="00145E0F">
        <w:t xml:space="preserve">рост на </w:t>
      </w:r>
      <w:r w:rsidR="005761D1">
        <w:t>20,8</w:t>
      </w:r>
      <w:r w:rsidRPr="00145E0F">
        <w:t>%, в основном, за счёт роста на 27,4% поступлений налога на прибыль организаций, рассчитанных с применением прогнозируемых темпов роста прибыли прибыльных организаций до налогообложения (по РСБУ). Поступления НДФЛ по базовому варианту прогноза по годам: в 2021 году – 104,</w:t>
      </w:r>
      <w:r w:rsidR="005761D1">
        <w:t>6</w:t>
      </w:r>
      <w:r w:rsidRPr="00145E0F">
        <w:t>%, в 202</w:t>
      </w:r>
      <w:r w:rsidR="00C8718B">
        <w:t>2</w:t>
      </w:r>
      <w:r w:rsidRPr="00145E0F">
        <w:t xml:space="preserve"> </w:t>
      </w:r>
      <w:r w:rsidR="005761D1">
        <w:t xml:space="preserve">и 2023 </w:t>
      </w:r>
      <w:r w:rsidRPr="00145E0F">
        <w:t>год</w:t>
      </w:r>
      <w:r w:rsidR="005761D1">
        <w:t>ах</w:t>
      </w:r>
      <w:r w:rsidRPr="00145E0F">
        <w:t xml:space="preserve"> – </w:t>
      </w:r>
      <w:r w:rsidR="005761D1">
        <w:t>106,1</w:t>
      </w:r>
      <w:r w:rsidRPr="00145E0F">
        <w:t xml:space="preserve">%, </w:t>
      </w:r>
      <w:r w:rsidR="00C8718B">
        <w:t>202</w:t>
      </w:r>
      <w:r w:rsidR="00957FEE">
        <w:t xml:space="preserve">3 год к </w:t>
      </w:r>
      <w:r w:rsidR="00C8718B">
        <w:t>2020</w:t>
      </w:r>
      <w:r w:rsidR="00957FEE">
        <w:t xml:space="preserve"> году</w:t>
      </w:r>
      <w:r w:rsidR="00C8718B">
        <w:t xml:space="preserve"> – </w:t>
      </w:r>
      <w:r w:rsidR="005761D1">
        <w:t>117,8</w:t>
      </w:r>
      <w:r w:rsidR="00C8718B">
        <w:t>%</w:t>
      </w:r>
      <w:r w:rsidRPr="00145E0F">
        <w:t>;</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 налоги на товары (работы, услуги): </w:t>
      </w:r>
      <w:r w:rsidR="00957FEE">
        <w:t xml:space="preserve">по </w:t>
      </w:r>
      <w:proofErr w:type="spellStart"/>
      <w:r w:rsidR="00957FEE">
        <w:t>баззовому</w:t>
      </w:r>
      <w:proofErr w:type="spellEnd"/>
      <w:r w:rsidR="00957FEE">
        <w:t xml:space="preserve"> варианту прогноза </w:t>
      </w:r>
      <w:r w:rsidRPr="00145E0F">
        <w:t xml:space="preserve">рост на </w:t>
      </w:r>
      <w:r w:rsidR="00346BA4">
        <w:t>42,9</w:t>
      </w:r>
      <w:r w:rsidRPr="00145E0F">
        <w:t xml:space="preserve">% за счёт роста НДС и акцизов; при расчёте НДС использованы темпы роста объемов отгруженной продукции и  тенденции увеличения положительной разницы между уплаченным НДС и возмещенным из бюджета НДС по экспортным операциям; в 2017-2020 годах объёмы возмещения уплаченных акцизов на бензол, параксилол, </w:t>
      </w:r>
      <w:proofErr w:type="spellStart"/>
      <w:r w:rsidRPr="00145E0F">
        <w:t>ортоксилол</w:t>
      </w:r>
      <w:proofErr w:type="spellEnd"/>
      <w:r w:rsidRPr="00145E0F">
        <w:t xml:space="preserve"> и средние дистилляты, используемые в качестве сырья в химической промышленности, превышают поступления акцизов на бензин, автомобили и алкогольную продукцию, однако наблюдается тенденция к уменьшению разницы между уплаченными и возмещенными акцизами; кроме того, при расчёте акцизов учтено прекращение в 2020 году деятельности </w:t>
      </w:r>
      <w:hyperlink r:id="rId8" w:tgtFrame="_blank" w:history="1">
        <w:r w:rsidRPr="00145E0F">
          <w:t>ЗАО Комбината</w:t>
        </w:r>
        <w:r w:rsidR="00314148" w:rsidRPr="00145E0F">
          <w:t xml:space="preserve"> Шампанских Вин и Коньяков «</w:t>
        </w:r>
        <w:r w:rsidRPr="00145E0F">
          <w:t>Росинка</w:t>
        </w:r>
        <w:r w:rsidR="00314148" w:rsidRPr="00145E0F">
          <w:t>»</w:t>
        </w:r>
      </w:hyperlink>
      <w:r w:rsidRPr="00145E0F">
        <w:t xml:space="preserve">; </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 налоги на совокупный доход: рост на </w:t>
      </w:r>
      <w:r w:rsidR="00346BA4">
        <w:t>15,0</w:t>
      </w:r>
      <w:r w:rsidRPr="00145E0F">
        <w:t xml:space="preserve">% с учётом отмены с 2021 года ЕНВД при одновременном увеличении ставки зачисления УСН в </w:t>
      </w:r>
      <w:r w:rsidR="00AB31C6">
        <w:t xml:space="preserve">бюджет городского </w:t>
      </w:r>
      <w:r w:rsidR="00AC0D52">
        <w:t>округа Тольятти</w:t>
      </w:r>
      <w:r w:rsidRPr="00145E0F">
        <w:t xml:space="preserve"> с 2021 года до 23,0%, а также устойчивого роста поступлений налога, взимаемого в связи с применением патентной системы налогообложения в связи с отменой ЕНВД (ожидаемые поступления от налога на профессиональный доход в областной бюджет от самозанятых граждан в 2021-2023 годах будут рассчитаны при получении от ФНС</w:t>
      </w:r>
      <w:r w:rsidR="00AB31C6">
        <w:t xml:space="preserve"> России</w:t>
      </w:r>
      <w:r w:rsidRPr="00145E0F">
        <w:t xml:space="preserve"> фактических данных, в январе-августе 2020 года такие данные в форме № 1-НМ отсутствуют);</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 налоги на имущество: рост на </w:t>
      </w:r>
      <w:r w:rsidR="005761D1">
        <w:t>14,</w:t>
      </w:r>
      <w:r w:rsidR="003F466F">
        <w:t>6</w:t>
      </w:r>
      <w:r w:rsidRPr="00145E0F">
        <w:t xml:space="preserve">%, в том числе: налог на имущество организаций </w:t>
      </w:r>
      <w:r w:rsidR="00500DA5">
        <w:t>- рост</w:t>
      </w:r>
      <w:r w:rsidRPr="00145E0F">
        <w:t xml:space="preserve"> на 15,7% (прогнозируется с применением индекса-дефлятора инвестиций в основной капитал); налог на имущество физических лиц -  </w:t>
      </w:r>
      <w:r w:rsidR="00500DA5">
        <w:t xml:space="preserve">рост </w:t>
      </w:r>
      <w:r w:rsidRPr="00145E0F">
        <w:t xml:space="preserve">на </w:t>
      </w:r>
      <w:r w:rsidR="003F466F">
        <w:t>14,8</w:t>
      </w:r>
      <w:r w:rsidRPr="00145E0F">
        <w:t xml:space="preserve">% </w:t>
      </w:r>
      <w:r w:rsidR="008920F0">
        <w:t xml:space="preserve">в 2021 году </w:t>
      </w:r>
      <w:r w:rsidRPr="00145E0F">
        <w:t>с учётом отмены льгот по уплате налога в 2020 году (за 2019 год) гражданам, уволенным с места работы начиная с 01.04.2020 и по состоянию на 01.10.2020 имеющие статус безработного</w:t>
      </w:r>
      <w:r w:rsidR="008920F0">
        <w:t>, и  далее ежегодно прирост на 4,0%</w:t>
      </w:r>
      <w:r w:rsidRPr="00145E0F">
        <w:t xml:space="preserve">; земельный налог – </w:t>
      </w:r>
      <w:r w:rsidR="00500DA5">
        <w:t xml:space="preserve">снижение </w:t>
      </w:r>
      <w:r w:rsidRPr="00145E0F">
        <w:t xml:space="preserve">на </w:t>
      </w:r>
      <w:r w:rsidR="008920F0">
        <w:t>6,9</w:t>
      </w:r>
      <w:r w:rsidRPr="00145E0F">
        <w:t xml:space="preserve">% с учётом оспаривания в судебном порядке кадастровой стоимости земельных участков и возникновения переплаты по налогу; транспортный налог – </w:t>
      </w:r>
      <w:r w:rsidR="00500DA5">
        <w:t xml:space="preserve">рост </w:t>
      </w:r>
      <w:r w:rsidRPr="00145E0F">
        <w:t>на 12,5%;</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 налоги, сборы за пользование природными ресурсами (налог на добычу общераспространенных полезных ископаемых, водный налог) и прочие налоговые доходы (госпошлина, налог на игорный бизнес, поступления по отмененным налогам и сборам, акцизы от Министерства управления финансами Самарской области по нормативам отчислений от акцизов на нефтепродукты в бюджеты муниципальных образований Самарской области на 2018 год): рост на </w:t>
      </w:r>
      <w:r w:rsidR="00500DA5">
        <w:t>1</w:t>
      </w:r>
      <w:r w:rsidR="003F466F">
        <w:t>5,7</w:t>
      </w:r>
      <w:r w:rsidRPr="00145E0F">
        <w:t>%.</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В прогнозном периоде в </w:t>
      </w:r>
      <w:r w:rsidR="00AB31C6">
        <w:t xml:space="preserve">бюджет городского </w:t>
      </w:r>
      <w:r w:rsidR="00AC0D52">
        <w:t>округа Тольятти</w:t>
      </w:r>
      <w:r w:rsidRPr="00145E0F">
        <w:t xml:space="preserve"> будет зачисляться ежегодно </w:t>
      </w:r>
      <w:r w:rsidR="003F466F">
        <w:t>15,1</w:t>
      </w:r>
      <w:r w:rsidRPr="00145E0F">
        <w:t>%-</w:t>
      </w:r>
      <w:r w:rsidR="003F466F">
        <w:t>16,4</w:t>
      </w:r>
      <w:r w:rsidRPr="00145E0F">
        <w:t xml:space="preserve">% (по вариантам прогноза) от общего объёма налоговых доходов с территории городского </w:t>
      </w:r>
      <w:r w:rsidR="00AC0D52">
        <w:t>округа Тольятти</w:t>
      </w:r>
      <w:r w:rsidRPr="00145E0F">
        <w:t>. Налоговые доходы бюджета городского округа Тольятти за прогнозный период (2023</w:t>
      </w:r>
      <w:r w:rsidR="002E75A4">
        <w:t xml:space="preserve"> год к </w:t>
      </w:r>
      <w:r w:rsidRPr="00145E0F">
        <w:t>2020</w:t>
      </w:r>
      <w:r w:rsidR="002E75A4">
        <w:t xml:space="preserve"> году</w:t>
      </w:r>
      <w:r w:rsidRPr="00145E0F">
        <w:t xml:space="preserve">) вырастут по консервативному варианту на </w:t>
      </w:r>
      <w:r w:rsidR="008920F0">
        <w:t>1</w:t>
      </w:r>
      <w:r w:rsidR="003F466F">
        <w:t>6,8</w:t>
      </w:r>
      <w:r w:rsidRPr="00145E0F">
        <w:t xml:space="preserve">%, по базовому варианту - на </w:t>
      </w:r>
      <w:r w:rsidR="008920F0">
        <w:t>21,</w:t>
      </w:r>
      <w:r w:rsidR="003F466F">
        <w:t>2</w:t>
      </w:r>
      <w:r w:rsidRPr="00145E0F">
        <w:t xml:space="preserve">%. </w:t>
      </w:r>
    </w:p>
    <w:p w:rsidR="008920F0"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Неналоговые доходы бюджета</w:t>
      </w:r>
      <w:r w:rsidR="00AB31C6">
        <w:t xml:space="preserve"> городского </w:t>
      </w:r>
      <w:r w:rsidR="00AC0D52">
        <w:t>округа Тольятти</w:t>
      </w:r>
      <w:r w:rsidRPr="00145E0F">
        <w:t xml:space="preserve"> к концу прогнозного периода могут вырасти на </w:t>
      </w:r>
      <w:r w:rsidR="00500DA5">
        <w:t>13,</w:t>
      </w:r>
      <w:r w:rsidR="008920F0">
        <w:t>1</w:t>
      </w:r>
      <w:r w:rsidRPr="00145E0F">
        <w:t xml:space="preserve">% </w:t>
      </w:r>
      <w:r w:rsidR="002E75A4" w:rsidRPr="00145E0F">
        <w:t>(2023</w:t>
      </w:r>
      <w:r w:rsidR="002E75A4">
        <w:t xml:space="preserve"> год к </w:t>
      </w:r>
      <w:r w:rsidR="002E75A4" w:rsidRPr="00145E0F">
        <w:t>2020</w:t>
      </w:r>
      <w:r w:rsidR="002E75A4">
        <w:t xml:space="preserve"> году</w:t>
      </w:r>
      <w:r w:rsidR="002E75A4" w:rsidRPr="00145E0F">
        <w:t xml:space="preserve">) </w:t>
      </w:r>
      <w:r w:rsidR="008920F0">
        <w:t xml:space="preserve"> по консервативному варианту и на 16,9% по базовому варианту прогноза</w:t>
      </w:r>
      <w:r w:rsidRPr="00145E0F">
        <w:t xml:space="preserve">, </w:t>
      </w:r>
      <w:r w:rsidR="008920F0">
        <w:t xml:space="preserve">в основном, </w:t>
      </w:r>
      <w:r w:rsidRPr="00145E0F">
        <w:t xml:space="preserve">за счёт их роста на </w:t>
      </w:r>
      <w:r w:rsidR="00500DA5">
        <w:t>29,</w:t>
      </w:r>
      <w:r w:rsidR="008920F0">
        <w:t>1</w:t>
      </w:r>
      <w:r w:rsidRPr="00145E0F">
        <w:t xml:space="preserve">% </w:t>
      </w:r>
      <w:r w:rsidR="008920F0">
        <w:t xml:space="preserve">и 30,0% (по вариантам прогноза) </w:t>
      </w:r>
      <w:r w:rsidRPr="00145E0F">
        <w:t xml:space="preserve">в 2021 году относительно «низкой базы» 2020 года, когда субъектам малого и среднего предпринимательства, занятым в сферах деятельности, наиболее пострадавших в условиях ухудшения ситуации в связи с распространением новой коронавирусной инфекции будут предоставлены отсрочки (рассрочки) по уплате платежей. </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Рост страховых взносов на социальные нужды в государственные внебюджетные фонды</w:t>
      </w:r>
      <w:r w:rsidR="008920F0">
        <w:t xml:space="preserve"> </w:t>
      </w:r>
      <w:r w:rsidRPr="00145E0F">
        <w:t xml:space="preserve">предусмотрен на уровне прогнозируемых темпов роста НДФЛ: </w:t>
      </w:r>
      <w:r w:rsidR="008920F0">
        <w:t>114,9</w:t>
      </w:r>
      <w:r w:rsidRPr="00145E0F">
        <w:t> %</w:t>
      </w:r>
      <w:r w:rsidR="008920F0">
        <w:t xml:space="preserve"> по консервативному варианту</w:t>
      </w:r>
      <w:r w:rsidRPr="00145E0F">
        <w:t xml:space="preserve"> и </w:t>
      </w:r>
      <w:r w:rsidR="008920F0">
        <w:t>117,8</w:t>
      </w:r>
      <w:r w:rsidRPr="00145E0F">
        <w:t xml:space="preserve"> % </w:t>
      </w:r>
      <w:r w:rsidR="008920F0">
        <w:t xml:space="preserve">по базовому варианту прогноза </w:t>
      </w:r>
      <w:r w:rsidR="002E75A4" w:rsidRPr="00145E0F">
        <w:t>(2023</w:t>
      </w:r>
      <w:r w:rsidR="002E75A4">
        <w:t xml:space="preserve"> год к </w:t>
      </w:r>
      <w:r w:rsidR="002E75A4" w:rsidRPr="00145E0F">
        <w:t>2020</w:t>
      </w:r>
      <w:r w:rsidR="002E75A4">
        <w:t xml:space="preserve"> году</w:t>
      </w:r>
      <w:r w:rsidR="002E75A4" w:rsidRPr="00145E0F">
        <w:t>)</w:t>
      </w:r>
      <w:r w:rsidR="008920F0">
        <w:t xml:space="preserve">. </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 xml:space="preserve">Расходы государственных внебюджетных фондов (по данным администраторов расходов) вырастут в 2023 году по сравнению с 2019 годом на </w:t>
      </w:r>
      <w:r w:rsidR="008920F0">
        <w:t>14,9</w:t>
      </w:r>
      <w:r w:rsidRPr="00145E0F">
        <w:t xml:space="preserve">% по консервативному варианту и на </w:t>
      </w:r>
      <w:r w:rsidR="008920F0">
        <w:t>17,8</w:t>
      </w:r>
      <w:r w:rsidRPr="00145E0F">
        <w:t>% по базовому варианту прогноза.</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Расходы за счет средств, остающихся в распоряжении организаций, формируются из прибыли (за вычетом налога на прибыль) и амортизационных отчислений. В 2023 году данные расходы относительно 2020 года вырастут на 15,</w:t>
      </w:r>
      <w:r w:rsidR="00431B94" w:rsidRPr="00145E0F">
        <w:t>9</w:t>
      </w:r>
      <w:r w:rsidRPr="00145E0F">
        <w:t>% и 3</w:t>
      </w:r>
      <w:r w:rsidR="00431B94" w:rsidRPr="00145E0F">
        <w:t>1,0</w:t>
      </w:r>
      <w:r w:rsidRPr="00145E0F">
        <w:t>% по соответствующим вариантам прогноза.</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Бюджетная политика городского округа Тольятти в прогнозном периоде будет направлена на исполнение принятых социальных обязательств и дальнейшее усиление экономности и эффективности расходования бюджетных средств, сокращение муниципального долга и расходов на его обслуживание, активное участие в привлечении средств вышестоящих бюджетов на финансирование расходов на строительство новых объектов социальной инфраструктуры и дорог, а также благоустройство территории в рамках реализации приоритетных национальных проектов.</w:t>
      </w:r>
    </w:p>
    <w:p w:rsidR="0061652B" w:rsidRPr="00145E0F" w:rsidRDefault="0061652B" w:rsidP="00862ECD">
      <w:pPr>
        <w:pStyle w:val="aa"/>
        <w:widowControl w:val="0"/>
        <w:numPr>
          <w:ilvl w:val="0"/>
          <w:numId w:val="2"/>
        </w:numPr>
        <w:tabs>
          <w:tab w:val="clear" w:pos="0"/>
          <w:tab w:val="num" w:pos="720"/>
        </w:tabs>
        <w:spacing w:before="0" w:after="0" w:line="276" w:lineRule="auto"/>
        <w:ind w:left="0" w:firstLine="709"/>
        <w:jc w:val="both"/>
      </w:pPr>
      <w:r w:rsidRPr="00145E0F">
        <w:t>Расходы бюджета</w:t>
      </w:r>
      <w:r w:rsidR="00772F0C">
        <w:t xml:space="preserve"> городского </w:t>
      </w:r>
      <w:r w:rsidR="00AC0D52">
        <w:t>округа Тольятти</w:t>
      </w:r>
      <w:r w:rsidRPr="00145E0F">
        <w:t xml:space="preserve"> (без средств вышестоящих бюджетов</w:t>
      </w:r>
      <w:r w:rsidR="009A29ED">
        <w:t xml:space="preserve"> и дотаций</w:t>
      </w:r>
      <w:r w:rsidRPr="00145E0F">
        <w:t xml:space="preserve">) </w:t>
      </w:r>
      <w:r w:rsidR="009A29ED">
        <w:t xml:space="preserve">в целях сокращения дефицита бюджета в 2021 и 2022 годах будут сокращаться относительно уровня 2020 года (на 1,0% и 3,8% по базовому варианту прогноза), в </w:t>
      </w:r>
      <w:r w:rsidRPr="00145E0F">
        <w:t xml:space="preserve">2023 году </w:t>
      </w:r>
      <w:r w:rsidR="009A29ED">
        <w:t>незначительно (на 0,8%)</w:t>
      </w:r>
      <w:r w:rsidR="009A29ED" w:rsidRPr="009A29ED">
        <w:t xml:space="preserve"> </w:t>
      </w:r>
      <w:r w:rsidR="009A29ED">
        <w:t>вырастут</w:t>
      </w:r>
      <w:r w:rsidR="003E6C87">
        <w:t xml:space="preserve"> к 2022 году</w:t>
      </w:r>
      <w:r w:rsidR="009A29ED">
        <w:t>.</w:t>
      </w:r>
      <w:r w:rsidR="003E6C87">
        <w:t xml:space="preserve"> В целом за прогнозный период </w:t>
      </w:r>
      <w:r w:rsidR="002E75A4" w:rsidRPr="00145E0F">
        <w:t>(2023</w:t>
      </w:r>
      <w:r w:rsidR="002E75A4">
        <w:t xml:space="preserve"> год к </w:t>
      </w:r>
      <w:r w:rsidR="002E75A4" w:rsidRPr="00145E0F">
        <w:t>2020</w:t>
      </w:r>
      <w:r w:rsidR="002E75A4">
        <w:t xml:space="preserve"> году</w:t>
      </w:r>
      <w:r w:rsidR="002E75A4" w:rsidRPr="00145E0F">
        <w:t xml:space="preserve">) </w:t>
      </w:r>
      <w:r w:rsidR="003E6C87">
        <w:t>расходы снизятся на 5,2 % и 4,0% по вариантам прогноза соответственно.</w:t>
      </w:r>
    </w:p>
    <w:p w:rsidR="006A30C9" w:rsidRPr="00145E0F" w:rsidRDefault="006A30C9" w:rsidP="00314148">
      <w:pPr>
        <w:spacing w:after="0"/>
      </w:pPr>
    </w:p>
    <w:p w:rsidR="0024525F" w:rsidRPr="00E0127F" w:rsidRDefault="0024525F" w:rsidP="00772F0C">
      <w:pPr>
        <w:pStyle w:val="a8"/>
        <w:spacing w:after="240" w:line="276" w:lineRule="auto"/>
        <w:jc w:val="center"/>
        <w:rPr>
          <w:rFonts w:ascii="Times New Roman" w:eastAsiaTheme="majorEastAsia" w:hAnsi="Times New Roman" w:cs="Times New Roman"/>
          <w:b/>
          <w:sz w:val="24"/>
          <w:szCs w:val="24"/>
          <w:lang w:eastAsia="ru-RU"/>
        </w:rPr>
      </w:pPr>
      <w:r w:rsidRPr="00E0127F">
        <w:rPr>
          <w:rFonts w:ascii="Times New Roman" w:eastAsiaTheme="majorEastAsia" w:hAnsi="Times New Roman" w:cs="Times New Roman"/>
          <w:b/>
          <w:sz w:val="24"/>
          <w:szCs w:val="24"/>
          <w:lang w:eastAsia="ru-RU"/>
        </w:rPr>
        <w:t>Демография и занятость населения</w:t>
      </w:r>
      <w:bookmarkStart w:id="4" w:name="демограф"/>
      <w:bookmarkEnd w:id="4"/>
    </w:p>
    <w:p w:rsidR="00862820" w:rsidRPr="00145E0F" w:rsidRDefault="00862820" w:rsidP="00862ECD">
      <w:pPr>
        <w:pStyle w:val="af"/>
        <w:numPr>
          <w:ilvl w:val="0"/>
          <w:numId w:val="2"/>
        </w:numPr>
        <w:spacing w:line="276" w:lineRule="auto"/>
        <w:ind w:left="0" w:firstLine="709"/>
        <w:jc w:val="both"/>
        <w:rPr>
          <w:sz w:val="24"/>
          <w:szCs w:val="24"/>
        </w:rPr>
      </w:pPr>
      <w:r w:rsidRPr="00145E0F">
        <w:rPr>
          <w:bCs/>
          <w:sz w:val="24"/>
          <w:szCs w:val="24"/>
        </w:rPr>
        <w:t xml:space="preserve">Прогноз демографических показателей в 2021–2023 </w:t>
      </w:r>
      <w:r w:rsidR="004C2B18">
        <w:rPr>
          <w:bCs/>
          <w:sz w:val="24"/>
          <w:szCs w:val="24"/>
        </w:rPr>
        <w:t>годы</w:t>
      </w:r>
      <w:r w:rsidRPr="00145E0F">
        <w:rPr>
          <w:bCs/>
          <w:sz w:val="24"/>
          <w:szCs w:val="24"/>
        </w:rPr>
        <w:t xml:space="preserve"> по базовому варианту</w:t>
      </w:r>
      <w:r w:rsidRPr="00145E0F">
        <w:rPr>
          <w:sz w:val="24"/>
          <w:szCs w:val="24"/>
        </w:rPr>
        <w:t xml:space="preserve"> развития учитывает наиболее полную реализацию мер в сфере народонаселения, где важнейшим инструментом региональной политики будет являться реализация национальных проектов «Демография» и «Здравоохранение», Плана мероприятий («дорожной карты») по обеспечению миграционного притока из субъектов Российской Федерации в Самарскую область на 2019–2025 гг. и др. Также учитывается воздействие санитарно-эпидемиологической ситуации на процессы воспроизводства населения.</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Кроме того, на демографические тенденции окажут влияние следующие основные факторы:</w:t>
      </w:r>
    </w:p>
    <w:p w:rsidR="00862820" w:rsidRPr="00145E0F" w:rsidRDefault="00862820" w:rsidP="00862ECD">
      <w:pPr>
        <w:pStyle w:val="af"/>
        <w:numPr>
          <w:ilvl w:val="0"/>
          <w:numId w:val="2"/>
        </w:numPr>
        <w:tabs>
          <w:tab w:val="left" w:pos="8208"/>
        </w:tabs>
        <w:spacing w:line="276" w:lineRule="auto"/>
        <w:ind w:left="0" w:firstLine="709"/>
        <w:jc w:val="both"/>
        <w:rPr>
          <w:sz w:val="24"/>
          <w:szCs w:val="24"/>
        </w:rPr>
      </w:pPr>
      <w:r w:rsidRPr="00145E0F">
        <w:rPr>
          <w:sz w:val="24"/>
          <w:szCs w:val="24"/>
        </w:rPr>
        <w:t>- сокращение численности женщин фертильного возраста (в 2023 году их количество снизится на 6,9% или 11,7 тыс. человек относительно 2019 года), откладывание рождений на более поздний период, в результате чего возможности роста рождаемости будут ограничены;</w:t>
      </w:r>
    </w:p>
    <w:p w:rsidR="00862820" w:rsidRPr="00145E0F" w:rsidRDefault="00862820" w:rsidP="00862ECD">
      <w:pPr>
        <w:pStyle w:val="af"/>
        <w:numPr>
          <w:ilvl w:val="0"/>
          <w:numId w:val="2"/>
        </w:numPr>
        <w:tabs>
          <w:tab w:val="left" w:pos="8208"/>
        </w:tabs>
        <w:spacing w:line="276" w:lineRule="auto"/>
        <w:ind w:left="0" w:firstLine="709"/>
        <w:jc w:val="both"/>
        <w:rPr>
          <w:sz w:val="24"/>
          <w:szCs w:val="24"/>
        </w:rPr>
      </w:pPr>
      <w:r w:rsidRPr="00145E0F">
        <w:rPr>
          <w:sz w:val="24"/>
          <w:szCs w:val="24"/>
        </w:rPr>
        <w:t>- сохранение относительно высокой доли вторых и третьих рождений в семьях (порядка 55% от общего числа рождений), на что окажет влияние расширение мер материальной поддержки семьям с детьми в зависимости от очередности рождения детей на федеральном и региональном уровнях, в том числе увеличение размера материнского капитала, введение новых выплат на детей разных возрастных групп, предоставление ежемесячных денежных выплат семьям при рождении третьего и каждого последующего ребенка до достижения ими возраста трех лет, реализация льготных ипотечных программ;</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 сокращение миграционного оттока населения, в первую очередь, за счет реализации мер по привлечению граждан из других регионов России, соотечественников, проживающих за рубежом, обучающейся молодежи.</w:t>
      </w:r>
    </w:p>
    <w:p w:rsidR="00772F0C" w:rsidRDefault="00862820" w:rsidP="00862ECD">
      <w:pPr>
        <w:pStyle w:val="af"/>
        <w:widowControl w:val="0"/>
        <w:numPr>
          <w:ilvl w:val="0"/>
          <w:numId w:val="2"/>
        </w:numPr>
        <w:shd w:val="clear" w:color="auto" w:fill="FFFFFF"/>
        <w:tabs>
          <w:tab w:val="left" w:pos="8208"/>
        </w:tabs>
        <w:suppressAutoHyphens/>
        <w:spacing w:line="276" w:lineRule="auto"/>
        <w:ind w:left="0" w:firstLine="709"/>
        <w:jc w:val="both"/>
        <w:rPr>
          <w:sz w:val="24"/>
          <w:szCs w:val="24"/>
        </w:rPr>
      </w:pPr>
      <w:r w:rsidRPr="00145E0F">
        <w:rPr>
          <w:sz w:val="24"/>
          <w:szCs w:val="24"/>
        </w:rPr>
        <w:t>В прогнозном периоде произойд</w:t>
      </w:r>
      <w:r w:rsidR="00772F0C">
        <w:rPr>
          <w:sz w:val="24"/>
          <w:szCs w:val="24"/>
        </w:rPr>
        <w:t>ет</w:t>
      </w:r>
      <w:r w:rsidRPr="00145E0F">
        <w:rPr>
          <w:sz w:val="24"/>
          <w:szCs w:val="24"/>
        </w:rPr>
        <w:t xml:space="preserve"> изменение возрастной структуры населения с учетом нового пенсионного законодательства. Увеличение возраста выхода на пенсию позволит увеличить численность населения в трудоспособном возрасте. </w:t>
      </w:r>
    </w:p>
    <w:p w:rsidR="00772F0C" w:rsidRPr="00581F53" w:rsidRDefault="005B2ACE" w:rsidP="00862ECD">
      <w:pPr>
        <w:pStyle w:val="af"/>
        <w:widowControl w:val="0"/>
        <w:numPr>
          <w:ilvl w:val="0"/>
          <w:numId w:val="2"/>
        </w:numPr>
        <w:shd w:val="clear" w:color="auto" w:fill="FFFFFF"/>
        <w:tabs>
          <w:tab w:val="left" w:pos="8208"/>
        </w:tabs>
        <w:suppressAutoHyphens/>
        <w:spacing w:line="276" w:lineRule="auto"/>
        <w:ind w:left="0" w:firstLine="709"/>
        <w:jc w:val="both"/>
        <w:rPr>
          <w:sz w:val="24"/>
          <w:szCs w:val="24"/>
        </w:rPr>
      </w:pPr>
      <w:r w:rsidRPr="00581F53">
        <w:rPr>
          <w:sz w:val="24"/>
          <w:szCs w:val="24"/>
          <w:lang w:val="en-US"/>
        </w:rPr>
        <w:t>C</w:t>
      </w:r>
      <w:proofErr w:type="spellStart"/>
      <w:r w:rsidR="00862820" w:rsidRPr="00581F53">
        <w:rPr>
          <w:sz w:val="24"/>
          <w:szCs w:val="24"/>
        </w:rPr>
        <w:t>ледует</w:t>
      </w:r>
      <w:proofErr w:type="spellEnd"/>
      <w:r w:rsidR="00862820" w:rsidRPr="00581F53">
        <w:rPr>
          <w:sz w:val="24"/>
          <w:szCs w:val="24"/>
        </w:rPr>
        <w:t xml:space="preserve"> отметить, что присутствие миграционного оттока населения также будет влиять на изменение возрастной структуры (более 70% мигрантов составляют граждане трудоспособного возраста). В связи с этими факторами доля этой возрастной группы в общей численности населения вырастет и достигнет в 2023 году 57,5% в общей численности населения против 56,6%, по оценке, в 2019 году. </w:t>
      </w:r>
    </w:p>
    <w:p w:rsidR="00862820" w:rsidRPr="00145E0F" w:rsidRDefault="00862820" w:rsidP="00862ECD">
      <w:pPr>
        <w:pStyle w:val="af"/>
        <w:widowControl w:val="0"/>
        <w:numPr>
          <w:ilvl w:val="0"/>
          <w:numId w:val="2"/>
        </w:numPr>
        <w:shd w:val="clear" w:color="auto" w:fill="FFFFFF"/>
        <w:tabs>
          <w:tab w:val="left" w:pos="8208"/>
        </w:tabs>
        <w:suppressAutoHyphens/>
        <w:spacing w:line="276" w:lineRule="auto"/>
        <w:ind w:left="0" w:firstLine="709"/>
        <w:jc w:val="both"/>
        <w:rPr>
          <w:sz w:val="24"/>
          <w:szCs w:val="24"/>
        </w:rPr>
      </w:pPr>
      <w:r w:rsidRPr="00145E0F">
        <w:rPr>
          <w:sz w:val="24"/>
          <w:szCs w:val="24"/>
        </w:rPr>
        <w:t>За счет снижения рождаемости уменьшится доля населения моложе трудоспособного возраста с 17,9% до 17,5% соответственно. Учитывая вышеперечисленные факторы, доля граждан старше пенсионного возраста сократится и составит к 2023 году 25,0% (по оценке уровень 2019 года – 25,5%).</w:t>
      </w:r>
    </w:p>
    <w:p w:rsidR="00862820" w:rsidRPr="00145E0F" w:rsidRDefault="00862820" w:rsidP="00862ECD">
      <w:pPr>
        <w:pStyle w:val="af"/>
        <w:widowControl w:val="0"/>
        <w:numPr>
          <w:ilvl w:val="0"/>
          <w:numId w:val="2"/>
        </w:numPr>
        <w:shd w:val="clear" w:color="auto" w:fill="FFFFFF"/>
        <w:tabs>
          <w:tab w:val="left" w:pos="8208"/>
        </w:tabs>
        <w:suppressAutoHyphens/>
        <w:spacing w:line="276" w:lineRule="auto"/>
        <w:ind w:left="0" w:firstLine="709"/>
        <w:jc w:val="both"/>
        <w:rPr>
          <w:sz w:val="24"/>
          <w:szCs w:val="24"/>
        </w:rPr>
      </w:pPr>
      <w:r w:rsidRPr="00145E0F">
        <w:rPr>
          <w:sz w:val="24"/>
          <w:szCs w:val="24"/>
        </w:rPr>
        <w:t xml:space="preserve">На ситуацию миграционных процессов повлияет ожидаемое сокращение выбывающих граждан городского округа Тольятти, в том числе обучающейся молодежи, привлечение трудовых мигрантов в лице соотечественников, проживающих за рубежом, квалифицированных специалистов  на вновь открывающиеся рабочие места, в том числе в результате реализации инвестиционных проектов резидентами </w:t>
      </w:r>
      <w:r w:rsidR="00120861" w:rsidRPr="00145E0F">
        <w:rPr>
          <w:sz w:val="24"/>
          <w:szCs w:val="24"/>
        </w:rPr>
        <w:t>ТОСЭР</w:t>
      </w:r>
      <w:r w:rsidRPr="00145E0F">
        <w:rPr>
          <w:sz w:val="24"/>
          <w:szCs w:val="24"/>
        </w:rPr>
        <w:t xml:space="preserve"> «Тольятти», </w:t>
      </w:r>
      <w:r w:rsidR="005B2ACE" w:rsidRPr="00145E0F">
        <w:rPr>
          <w:sz w:val="24"/>
          <w:szCs w:val="24"/>
        </w:rPr>
        <w:t xml:space="preserve">ОЭЗ ППТ «Тольятти», </w:t>
      </w:r>
      <w:r w:rsidRPr="00145E0F">
        <w:rPr>
          <w:sz w:val="24"/>
          <w:szCs w:val="24"/>
        </w:rPr>
        <w:t xml:space="preserve">индустриальных парков, а также в ходе строительства и реконструкции на территории </w:t>
      </w:r>
      <w:r w:rsidR="00CC4504">
        <w:rPr>
          <w:sz w:val="24"/>
          <w:szCs w:val="24"/>
        </w:rPr>
        <w:t xml:space="preserve">городского </w:t>
      </w:r>
      <w:r w:rsidR="00AC0D52">
        <w:rPr>
          <w:sz w:val="24"/>
          <w:szCs w:val="24"/>
        </w:rPr>
        <w:t>округа Тольятти</w:t>
      </w:r>
      <w:r w:rsidRPr="00145E0F">
        <w:rPr>
          <w:sz w:val="24"/>
          <w:szCs w:val="24"/>
        </w:rPr>
        <w:t xml:space="preserve"> социальных и инфраструктурных объектов, что приведет к постепенному сокращению отрицательного сальдо миграции в прогнозном периоде.</w:t>
      </w:r>
    </w:p>
    <w:p w:rsidR="00862820" w:rsidRPr="00145E0F" w:rsidRDefault="00862820" w:rsidP="00862ECD">
      <w:pPr>
        <w:shd w:val="clear" w:color="auto" w:fill="FFFFFF"/>
        <w:spacing w:after="0"/>
        <w:ind w:firstLine="709"/>
        <w:jc w:val="both"/>
        <w:rPr>
          <w:rFonts w:ascii="Times New Roman" w:hAnsi="Times New Roman"/>
          <w:sz w:val="24"/>
          <w:szCs w:val="24"/>
        </w:rPr>
      </w:pPr>
      <w:r w:rsidRPr="00145E0F">
        <w:rPr>
          <w:rFonts w:ascii="Times New Roman" w:hAnsi="Times New Roman"/>
          <w:sz w:val="24"/>
          <w:szCs w:val="24"/>
        </w:rPr>
        <w:t>Миграционная убыль в 2021 году может составить (-1,5) - (-1,0) тыс. человек в зависимости от варианта прогноза, к 2023 году по консервативному варианту миграционная убыль составит (-1,0) тыс. человек, по базовому варианту – (-0,5) тыс. человек.</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В результате действия этих факторов по базовому варианту прогнозируется, что общий коэффициент рождаемости с 2021 года будет постепенно сокращаться и в 2023 году может составить 8,1 промилле против 8,7 промилле в 2019 году, показатель смертности с 11,3 промилле в 2019 году увеличится до 11,5 промилле в 2023 году, коэффициент миграционного сальдо сократится к 2023 году до (-0,7) промилле, относительно (-2,2) промилле в 2019 году. Таким образом, численность населения на протяжении всего прогнозного периода будет уменьшаться и в 2023 году в среднегодовом выражении может составить 687,9 тыс. человек – на 1,</w:t>
      </w:r>
      <w:r w:rsidR="004C2B18">
        <w:rPr>
          <w:sz w:val="24"/>
          <w:szCs w:val="24"/>
        </w:rPr>
        <w:t>4</w:t>
      </w:r>
      <w:r w:rsidRPr="00145E0F">
        <w:rPr>
          <w:sz w:val="24"/>
          <w:szCs w:val="24"/>
        </w:rPr>
        <w:t>% меньше, чем в 20</w:t>
      </w:r>
      <w:r w:rsidR="004C2B18">
        <w:rPr>
          <w:sz w:val="24"/>
          <w:szCs w:val="24"/>
        </w:rPr>
        <w:t>20</w:t>
      </w:r>
      <w:r w:rsidRPr="00145E0F">
        <w:rPr>
          <w:sz w:val="24"/>
          <w:szCs w:val="24"/>
        </w:rPr>
        <w:t> году.</w:t>
      </w:r>
    </w:p>
    <w:p w:rsidR="00862820" w:rsidRPr="00145E0F" w:rsidRDefault="00862820" w:rsidP="00862ECD">
      <w:pPr>
        <w:pStyle w:val="af"/>
        <w:numPr>
          <w:ilvl w:val="0"/>
          <w:numId w:val="2"/>
        </w:numPr>
        <w:shd w:val="clear" w:color="auto" w:fill="FFFFFF"/>
        <w:spacing w:line="276" w:lineRule="auto"/>
        <w:ind w:left="0" w:firstLine="709"/>
        <w:jc w:val="both"/>
        <w:rPr>
          <w:sz w:val="24"/>
          <w:szCs w:val="24"/>
        </w:rPr>
      </w:pPr>
      <w:r w:rsidRPr="00145E0F">
        <w:rPr>
          <w:sz w:val="24"/>
          <w:szCs w:val="24"/>
        </w:rPr>
        <w:t xml:space="preserve">Консервативный вариант в большей степени учитывает влияние объективных демографических факторов на процессы естественного воспроизводства населения, а также </w:t>
      </w:r>
      <w:r w:rsidR="00120861" w:rsidRPr="00145E0F">
        <w:rPr>
          <w:sz w:val="24"/>
          <w:szCs w:val="24"/>
        </w:rPr>
        <w:t>последствия неблагоприятной</w:t>
      </w:r>
      <w:r w:rsidRPr="00145E0F">
        <w:rPr>
          <w:sz w:val="24"/>
          <w:szCs w:val="24"/>
        </w:rPr>
        <w:t xml:space="preserve"> эпидемиологической ситуации, в связи с чем демографические показатели будут иметь </w:t>
      </w:r>
      <w:r w:rsidR="00120861" w:rsidRPr="00145E0F">
        <w:rPr>
          <w:sz w:val="24"/>
          <w:szCs w:val="24"/>
        </w:rPr>
        <w:t>отрицательную</w:t>
      </w:r>
      <w:r w:rsidRPr="00145E0F">
        <w:rPr>
          <w:sz w:val="24"/>
          <w:szCs w:val="24"/>
        </w:rPr>
        <w:t xml:space="preserve"> динамику. В результате численность населения будет уменьшаться более интенсивно и в 2023 году в среднегодовом выражении может составить 685,9 тыс. человек – на </w:t>
      </w:r>
      <w:r w:rsidR="004C2B18">
        <w:rPr>
          <w:sz w:val="24"/>
          <w:szCs w:val="24"/>
        </w:rPr>
        <w:t>1,7</w:t>
      </w:r>
      <w:r w:rsidRPr="00145E0F">
        <w:rPr>
          <w:sz w:val="24"/>
          <w:szCs w:val="24"/>
        </w:rPr>
        <w:t>% меньше, чем в 20</w:t>
      </w:r>
      <w:r w:rsidR="004C2B18">
        <w:rPr>
          <w:sz w:val="24"/>
          <w:szCs w:val="24"/>
        </w:rPr>
        <w:t>20</w:t>
      </w:r>
      <w:r w:rsidRPr="00145E0F">
        <w:rPr>
          <w:sz w:val="24"/>
          <w:szCs w:val="24"/>
        </w:rPr>
        <w:t xml:space="preserve"> году.</w:t>
      </w:r>
    </w:p>
    <w:p w:rsidR="00862820" w:rsidRPr="00145E0F" w:rsidRDefault="00862820" w:rsidP="00862ECD">
      <w:pPr>
        <w:tabs>
          <w:tab w:val="left" w:pos="8208"/>
        </w:tabs>
        <w:spacing w:after="0"/>
        <w:ind w:firstLine="709"/>
        <w:jc w:val="both"/>
        <w:rPr>
          <w:rFonts w:ascii="Times New Roman" w:hAnsi="Times New Roman"/>
          <w:sz w:val="24"/>
          <w:szCs w:val="24"/>
        </w:rPr>
      </w:pPr>
      <w:r w:rsidRPr="00145E0F">
        <w:rPr>
          <w:rFonts w:ascii="Times New Roman" w:hAnsi="Times New Roman"/>
          <w:sz w:val="24"/>
          <w:szCs w:val="24"/>
        </w:rPr>
        <w:t xml:space="preserve">В среднесрочной перспективе развитие </w:t>
      </w:r>
      <w:r w:rsidRPr="00862ECD">
        <w:rPr>
          <w:rFonts w:ascii="Times New Roman" w:hAnsi="Times New Roman"/>
          <w:sz w:val="24"/>
          <w:szCs w:val="24"/>
        </w:rPr>
        <w:t>сферы занятости и рынка труда</w:t>
      </w:r>
      <w:r w:rsidRPr="00145E0F">
        <w:rPr>
          <w:rFonts w:ascii="Times New Roman" w:hAnsi="Times New Roman"/>
          <w:sz w:val="24"/>
          <w:szCs w:val="24"/>
        </w:rPr>
        <w:t xml:space="preserve"> городского округа Тольятти будет определяться демографическими изменениями, обусловленными сокращением численности населения трудоспособного возраста, несмотря на повышение возрастной границы выхода населения на пенсию, а также прогнозируемым экономическим ростом.</w:t>
      </w:r>
    </w:p>
    <w:p w:rsidR="00862820" w:rsidRPr="00145E0F" w:rsidRDefault="00862820" w:rsidP="00862ECD">
      <w:pPr>
        <w:pStyle w:val="af"/>
        <w:spacing w:line="276" w:lineRule="auto"/>
        <w:ind w:left="0" w:firstLine="709"/>
        <w:jc w:val="both"/>
        <w:rPr>
          <w:sz w:val="24"/>
          <w:szCs w:val="24"/>
        </w:rPr>
      </w:pPr>
      <w:r w:rsidRPr="00145E0F">
        <w:rPr>
          <w:sz w:val="24"/>
          <w:szCs w:val="24"/>
        </w:rPr>
        <w:t>Численность населения в трудоспособном возрасте в 2021-2023 годы будет снижаться менее значительными темпами, чем в предыдущих периодах. Так, в 2023 году население трудоспособного возраста уменьшится к оценке 2019 года предположительно на 2,1 тыс. человек (0,5%) по консервативному варианту, на 0,9 тыс. человек (0,2%) - по базовому.</w:t>
      </w:r>
      <w:r w:rsidR="004C2B18">
        <w:rPr>
          <w:sz w:val="24"/>
          <w:szCs w:val="24"/>
        </w:rPr>
        <w:t xml:space="preserve"> </w:t>
      </w:r>
    </w:p>
    <w:p w:rsidR="00862820" w:rsidRPr="00145E0F" w:rsidRDefault="00862820" w:rsidP="00862ECD">
      <w:pPr>
        <w:spacing w:after="0"/>
        <w:ind w:firstLine="709"/>
        <w:jc w:val="both"/>
        <w:rPr>
          <w:rFonts w:ascii="Times New Roman" w:hAnsi="Times New Roman"/>
          <w:sz w:val="24"/>
          <w:szCs w:val="24"/>
        </w:rPr>
      </w:pPr>
      <w:r w:rsidRPr="00145E0F">
        <w:rPr>
          <w:rFonts w:ascii="Times New Roman" w:hAnsi="Times New Roman"/>
          <w:sz w:val="24"/>
          <w:szCs w:val="24"/>
        </w:rPr>
        <w:t>Кроме демографических процессов на ситуацию на рынке труда будут оказывать влияние процессы восстановления экономической активности, развитие малого и среднего предпринимательства и самозанятости в городском округе Тольятти.</w:t>
      </w:r>
    </w:p>
    <w:p w:rsidR="00862820" w:rsidRPr="00145E0F" w:rsidRDefault="00862820" w:rsidP="00862ECD">
      <w:pPr>
        <w:tabs>
          <w:tab w:val="left" w:pos="8208"/>
        </w:tabs>
        <w:spacing w:after="0"/>
        <w:ind w:firstLine="709"/>
        <w:jc w:val="both"/>
        <w:rPr>
          <w:rFonts w:ascii="Times New Roman" w:hAnsi="Times New Roman"/>
          <w:sz w:val="24"/>
          <w:szCs w:val="24"/>
        </w:rPr>
      </w:pPr>
      <w:r w:rsidRPr="00145E0F">
        <w:rPr>
          <w:rFonts w:ascii="Times New Roman" w:hAnsi="Times New Roman"/>
          <w:sz w:val="24"/>
          <w:szCs w:val="24"/>
        </w:rPr>
        <w:t xml:space="preserve">В целях улучшения ситуации на рынке труда будут реализовываться: региональный проект «Поддержка занятости и повышение эффективности рынка труда для обеспечения </w:t>
      </w:r>
      <w:r w:rsidR="00120861" w:rsidRPr="00145E0F">
        <w:rPr>
          <w:rFonts w:ascii="Times New Roman" w:hAnsi="Times New Roman"/>
          <w:sz w:val="24"/>
          <w:szCs w:val="24"/>
        </w:rPr>
        <w:t>роста производительности труда»,</w:t>
      </w:r>
      <w:r w:rsidRPr="00145E0F">
        <w:rPr>
          <w:rFonts w:ascii="Times New Roman" w:hAnsi="Times New Roman"/>
          <w:sz w:val="24"/>
          <w:szCs w:val="24"/>
        </w:rPr>
        <w:t xml:space="preserve"> государственные программы «Содействие занятости населения Самарской области на 2019–2023 годы», «Оказание содействия добровольному переселению в Самарскую область соотечественников, проживающих за рубежом» на 2014–2023 годы</w:t>
      </w:r>
      <w:r w:rsidR="00120861" w:rsidRPr="00145E0F">
        <w:rPr>
          <w:rFonts w:ascii="Times New Roman" w:hAnsi="Times New Roman"/>
          <w:sz w:val="24"/>
          <w:szCs w:val="24"/>
        </w:rPr>
        <w:t>, План мероприятий по реализации проектов и программ движений «Молодые профессионалы» (</w:t>
      </w:r>
      <w:proofErr w:type="spellStart"/>
      <w:r w:rsidR="00120861" w:rsidRPr="00145E0F">
        <w:rPr>
          <w:rFonts w:ascii="Times New Roman" w:hAnsi="Times New Roman"/>
          <w:sz w:val="24"/>
          <w:szCs w:val="24"/>
        </w:rPr>
        <w:t>WorldSkills</w:t>
      </w:r>
      <w:proofErr w:type="spellEnd"/>
      <w:r w:rsidR="00120861" w:rsidRPr="00145E0F">
        <w:rPr>
          <w:rFonts w:ascii="Times New Roman" w:hAnsi="Times New Roman"/>
          <w:sz w:val="24"/>
          <w:szCs w:val="24"/>
        </w:rPr>
        <w:t xml:space="preserve"> </w:t>
      </w:r>
      <w:proofErr w:type="spellStart"/>
      <w:r w:rsidR="00120861" w:rsidRPr="00145E0F">
        <w:rPr>
          <w:rFonts w:ascii="Times New Roman" w:hAnsi="Times New Roman"/>
          <w:sz w:val="24"/>
          <w:szCs w:val="24"/>
        </w:rPr>
        <w:t>Russia</w:t>
      </w:r>
      <w:proofErr w:type="spellEnd"/>
      <w:r w:rsidR="00120861" w:rsidRPr="00145E0F">
        <w:rPr>
          <w:rFonts w:ascii="Times New Roman" w:hAnsi="Times New Roman"/>
          <w:sz w:val="24"/>
          <w:szCs w:val="24"/>
        </w:rPr>
        <w:t>) и «</w:t>
      </w:r>
      <w:proofErr w:type="spellStart"/>
      <w:r w:rsidR="00120861" w:rsidRPr="00145E0F">
        <w:rPr>
          <w:rFonts w:ascii="Times New Roman" w:hAnsi="Times New Roman"/>
          <w:sz w:val="24"/>
          <w:szCs w:val="24"/>
        </w:rPr>
        <w:t>Абилимпикс</w:t>
      </w:r>
      <w:proofErr w:type="spellEnd"/>
      <w:r w:rsidR="00120861" w:rsidRPr="00145E0F">
        <w:rPr>
          <w:rFonts w:ascii="Times New Roman" w:hAnsi="Times New Roman"/>
          <w:sz w:val="24"/>
          <w:szCs w:val="24"/>
        </w:rPr>
        <w:t>» на территории Самарской области и другие</w:t>
      </w:r>
      <w:r w:rsidR="005B2ACE" w:rsidRPr="00145E0F">
        <w:rPr>
          <w:rFonts w:ascii="Times New Roman" w:hAnsi="Times New Roman"/>
          <w:sz w:val="24"/>
          <w:szCs w:val="24"/>
        </w:rPr>
        <w:t>.</w:t>
      </w:r>
      <w:r w:rsidR="00581F53">
        <w:rPr>
          <w:rFonts w:ascii="Times New Roman" w:hAnsi="Times New Roman"/>
          <w:sz w:val="24"/>
          <w:szCs w:val="24"/>
        </w:rPr>
        <w:t xml:space="preserve"> </w:t>
      </w:r>
      <w:r w:rsidRPr="00145E0F">
        <w:rPr>
          <w:rFonts w:ascii="Times New Roman" w:hAnsi="Times New Roman"/>
          <w:sz w:val="24"/>
          <w:szCs w:val="24"/>
        </w:rPr>
        <w:t>Принимаемые меры будут меняться и дополняться по мере снижения неопределенности в пост-</w:t>
      </w:r>
      <w:proofErr w:type="spellStart"/>
      <w:r w:rsidRPr="00145E0F">
        <w:rPr>
          <w:rFonts w:ascii="Times New Roman" w:hAnsi="Times New Roman"/>
          <w:sz w:val="24"/>
          <w:szCs w:val="24"/>
        </w:rPr>
        <w:t>ко</w:t>
      </w:r>
      <w:r w:rsidR="00581F53">
        <w:rPr>
          <w:rFonts w:ascii="Times New Roman" w:hAnsi="Times New Roman"/>
          <w:sz w:val="24"/>
          <w:szCs w:val="24"/>
        </w:rPr>
        <w:t>р</w:t>
      </w:r>
      <w:r w:rsidRPr="00145E0F">
        <w:rPr>
          <w:rFonts w:ascii="Times New Roman" w:hAnsi="Times New Roman"/>
          <w:sz w:val="24"/>
          <w:szCs w:val="24"/>
        </w:rPr>
        <w:t>онави</w:t>
      </w:r>
      <w:r w:rsidR="00581F53">
        <w:rPr>
          <w:rFonts w:ascii="Times New Roman" w:hAnsi="Times New Roman"/>
          <w:sz w:val="24"/>
          <w:szCs w:val="24"/>
        </w:rPr>
        <w:t>р</w:t>
      </w:r>
      <w:r w:rsidRPr="00145E0F">
        <w:rPr>
          <w:rFonts w:ascii="Times New Roman" w:hAnsi="Times New Roman"/>
          <w:sz w:val="24"/>
          <w:szCs w:val="24"/>
        </w:rPr>
        <w:t>усный</w:t>
      </w:r>
      <w:proofErr w:type="spellEnd"/>
      <w:r w:rsidRPr="00145E0F">
        <w:rPr>
          <w:rFonts w:ascii="Times New Roman" w:hAnsi="Times New Roman"/>
          <w:sz w:val="24"/>
          <w:szCs w:val="24"/>
        </w:rPr>
        <w:t xml:space="preserve"> период.</w:t>
      </w:r>
    </w:p>
    <w:p w:rsidR="00EF48FF" w:rsidRPr="00145E0F" w:rsidRDefault="00862820" w:rsidP="00862ECD">
      <w:pPr>
        <w:spacing w:after="0"/>
        <w:ind w:firstLine="709"/>
        <w:jc w:val="both"/>
        <w:rPr>
          <w:rFonts w:ascii="Times New Roman" w:hAnsi="Times New Roman"/>
          <w:sz w:val="24"/>
          <w:szCs w:val="24"/>
        </w:rPr>
      </w:pPr>
      <w:r w:rsidRPr="00145E0F">
        <w:rPr>
          <w:rFonts w:ascii="Times New Roman" w:hAnsi="Times New Roman"/>
          <w:sz w:val="24"/>
          <w:szCs w:val="24"/>
        </w:rPr>
        <w:t>По базовому варианту прогноза, в результате стабилизации экономической ситуации и комплексного действия мер поддержки предпринимательства, трудовые ресурсы к 2023 году прогнозируются на уровне 440,5 тыс. человек, рост по отношению к 2020 году составит 1,0%. Численность занятых в экономике увеличится за три прогнозных года (на 2,9%) до 363,3 тыс. человек. Расчет данного показателя произведен с учетом изменения численности населения трудоспособного возраста (повышение пенсионного возраста), а также с учетом роста рабочих мест в город</w:t>
      </w:r>
      <w:r w:rsidR="00581F53">
        <w:rPr>
          <w:rFonts w:ascii="Times New Roman" w:hAnsi="Times New Roman"/>
          <w:sz w:val="24"/>
          <w:szCs w:val="24"/>
        </w:rPr>
        <w:t>ском округе</w:t>
      </w:r>
      <w:r w:rsidRPr="00145E0F">
        <w:rPr>
          <w:rFonts w:ascii="Times New Roman" w:hAnsi="Times New Roman"/>
          <w:sz w:val="24"/>
          <w:szCs w:val="24"/>
        </w:rPr>
        <w:t xml:space="preserve"> </w:t>
      </w:r>
      <w:r w:rsidR="00862ECD">
        <w:rPr>
          <w:rFonts w:ascii="Times New Roman" w:hAnsi="Times New Roman"/>
          <w:sz w:val="24"/>
          <w:szCs w:val="24"/>
        </w:rPr>
        <w:t xml:space="preserve">Тольятти </w:t>
      </w:r>
      <w:r w:rsidRPr="00145E0F">
        <w:rPr>
          <w:rFonts w:ascii="Times New Roman" w:hAnsi="Times New Roman"/>
          <w:sz w:val="24"/>
          <w:szCs w:val="24"/>
        </w:rPr>
        <w:t>в рамках реализации национального проекта «Малое и среднее предпринимательство и поддержка индивидуальной предпринимательской инициативы»</w:t>
      </w:r>
      <w:r w:rsidR="005B2ACE" w:rsidRPr="00145E0F">
        <w:rPr>
          <w:rFonts w:ascii="Times New Roman" w:hAnsi="Times New Roman"/>
          <w:sz w:val="24"/>
          <w:szCs w:val="24"/>
        </w:rPr>
        <w:t xml:space="preserve">, </w:t>
      </w:r>
      <w:r w:rsidRPr="00145E0F">
        <w:rPr>
          <w:rFonts w:ascii="Times New Roman" w:hAnsi="Times New Roman"/>
          <w:sz w:val="24"/>
          <w:szCs w:val="24"/>
        </w:rPr>
        <w:t>реализация проекта по развитию ТОСЭР «Тольятти»</w:t>
      </w:r>
      <w:r w:rsidR="005B2ACE" w:rsidRPr="00145E0F">
        <w:rPr>
          <w:rFonts w:ascii="Times New Roman" w:hAnsi="Times New Roman"/>
          <w:sz w:val="24"/>
          <w:szCs w:val="24"/>
        </w:rPr>
        <w:t xml:space="preserve"> и ОЭЗ ППТ «Тольятти»</w:t>
      </w:r>
      <w:r w:rsidRPr="00145E0F">
        <w:rPr>
          <w:rFonts w:ascii="Times New Roman" w:hAnsi="Times New Roman"/>
          <w:sz w:val="24"/>
          <w:szCs w:val="24"/>
        </w:rPr>
        <w:t xml:space="preserve">. </w:t>
      </w:r>
    </w:p>
    <w:p w:rsidR="00EF48FF" w:rsidRPr="00145E0F" w:rsidRDefault="00C879B5"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За три прогнозных года </w:t>
      </w:r>
      <w:r w:rsidR="00E93C92" w:rsidRPr="00145E0F">
        <w:rPr>
          <w:rFonts w:ascii="Times New Roman" w:hAnsi="Times New Roman"/>
          <w:sz w:val="24"/>
          <w:szCs w:val="24"/>
        </w:rPr>
        <w:t>действующи</w:t>
      </w:r>
      <w:r w:rsidR="00EF48FF" w:rsidRPr="00145E0F">
        <w:rPr>
          <w:rFonts w:ascii="Times New Roman" w:hAnsi="Times New Roman"/>
          <w:sz w:val="24"/>
          <w:szCs w:val="24"/>
        </w:rPr>
        <w:t>ми</w:t>
      </w:r>
      <w:r w:rsidR="00E93C92" w:rsidRPr="00145E0F">
        <w:rPr>
          <w:rFonts w:ascii="Times New Roman" w:hAnsi="Times New Roman"/>
          <w:sz w:val="24"/>
          <w:szCs w:val="24"/>
        </w:rPr>
        <w:t xml:space="preserve"> </w:t>
      </w:r>
      <w:r w:rsidR="00751639" w:rsidRPr="00145E0F">
        <w:rPr>
          <w:rFonts w:ascii="Times New Roman" w:hAnsi="Times New Roman"/>
          <w:sz w:val="24"/>
          <w:szCs w:val="24"/>
        </w:rPr>
        <w:t>компани</w:t>
      </w:r>
      <w:r w:rsidR="00EF48FF" w:rsidRPr="00145E0F">
        <w:rPr>
          <w:rFonts w:ascii="Times New Roman" w:hAnsi="Times New Roman"/>
          <w:sz w:val="24"/>
          <w:szCs w:val="24"/>
        </w:rPr>
        <w:t>ями</w:t>
      </w:r>
      <w:r w:rsidR="00751639" w:rsidRPr="00145E0F">
        <w:rPr>
          <w:rFonts w:ascii="Times New Roman" w:hAnsi="Times New Roman"/>
          <w:sz w:val="24"/>
          <w:szCs w:val="24"/>
        </w:rPr>
        <w:t xml:space="preserve"> - резидент</w:t>
      </w:r>
      <w:r w:rsidR="00EF48FF" w:rsidRPr="00145E0F">
        <w:rPr>
          <w:rFonts w:ascii="Times New Roman" w:hAnsi="Times New Roman"/>
          <w:sz w:val="24"/>
          <w:szCs w:val="24"/>
        </w:rPr>
        <w:t>ами</w:t>
      </w:r>
      <w:r w:rsidR="00751639" w:rsidRPr="00145E0F">
        <w:rPr>
          <w:rFonts w:ascii="Times New Roman" w:hAnsi="Times New Roman"/>
          <w:sz w:val="24"/>
          <w:szCs w:val="24"/>
        </w:rPr>
        <w:t xml:space="preserve"> ОЭЗ </w:t>
      </w:r>
      <w:r w:rsidR="00EF48FF" w:rsidRPr="00145E0F">
        <w:rPr>
          <w:rFonts w:ascii="Times New Roman" w:hAnsi="Times New Roman"/>
          <w:sz w:val="24"/>
          <w:szCs w:val="24"/>
        </w:rPr>
        <w:t xml:space="preserve">ППТ </w:t>
      </w:r>
      <w:r w:rsidR="00751639" w:rsidRPr="00145E0F">
        <w:rPr>
          <w:rFonts w:ascii="Times New Roman" w:hAnsi="Times New Roman"/>
          <w:sz w:val="24"/>
          <w:szCs w:val="24"/>
        </w:rPr>
        <w:t>«Тольятти»</w:t>
      </w:r>
      <w:r w:rsidR="00E93C92" w:rsidRPr="00145E0F">
        <w:rPr>
          <w:rFonts w:ascii="Times New Roman" w:hAnsi="Times New Roman"/>
          <w:sz w:val="24"/>
          <w:szCs w:val="24"/>
        </w:rPr>
        <w:t xml:space="preserve"> (с учетом управляющей компании)</w:t>
      </w:r>
      <w:r w:rsidR="008D5165" w:rsidRPr="00145E0F">
        <w:rPr>
          <w:rFonts w:ascii="Times New Roman" w:hAnsi="Times New Roman"/>
          <w:sz w:val="24"/>
          <w:szCs w:val="24"/>
        </w:rPr>
        <w:t xml:space="preserve"> планируется создать </w:t>
      </w:r>
      <w:r w:rsidR="00EF48FF" w:rsidRPr="00145E0F">
        <w:rPr>
          <w:rFonts w:ascii="Times New Roman" w:hAnsi="Times New Roman"/>
          <w:sz w:val="24"/>
          <w:szCs w:val="24"/>
        </w:rPr>
        <w:t>около 800 новых рабочих мест, к концу 2023 года общее количество рабочих мест в ОЭЗ ППТ «Тольятти» составит</w:t>
      </w:r>
      <w:r w:rsidR="008D5165" w:rsidRPr="00145E0F">
        <w:rPr>
          <w:rFonts w:ascii="Times New Roman" w:hAnsi="Times New Roman"/>
          <w:sz w:val="24"/>
          <w:szCs w:val="24"/>
        </w:rPr>
        <w:t xml:space="preserve"> 2,4 тыс</w:t>
      </w:r>
      <w:r w:rsidR="004C2B18">
        <w:rPr>
          <w:rFonts w:ascii="Times New Roman" w:hAnsi="Times New Roman"/>
          <w:sz w:val="24"/>
          <w:szCs w:val="24"/>
        </w:rPr>
        <w:t>. ед</w:t>
      </w:r>
      <w:r w:rsidR="00E93C92" w:rsidRPr="00145E0F">
        <w:rPr>
          <w:rFonts w:ascii="Times New Roman" w:hAnsi="Times New Roman"/>
          <w:sz w:val="24"/>
          <w:szCs w:val="24"/>
        </w:rPr>
        <w:t xml:space="preserve">. </w:t>
      </w:r>
    </w:p>
    <w:p w:rsidR="00EF48FF" w:rsidRPr="00145E0F" w:rsidRDefault="00EF48FF" w:rsidP="00862ECD">
      <w:pPr>
        <w:spacing w:after="0"/>
        <w:ind w:firstLine="709"/>
        <w:jc w:val="both"/>
        <w:rPr>
          <w:rFonts w:ascii="Times New Roman" w:hAnsi="Times New Roman"/>
          <w:sz w:val="24"/>
          <w:szCs w:val="24"/>
        </w:rPr>
      </w:pPr>
      <w:r w:rsidRPr="00145E0F">
        <w:rPr>
          <w:rFonts w:ascii="Times New Roman" w:hAnsi="Times New Roman"/>
          <w:sz w:val="24"/>
          <w:szCs w:val="24"/>
        </w:rPr>
        <w:t>В 2021-2023 годах д</w:t>
      </w:r>
      <w:r w:rsidR="004A0CFF" w:rsidRPr="00145E0F">
        <w:rPr>
          <w:rFonts w:ascii="Times New Roman" w:hAnsi="Times New Roman"/>
          <w:sz w:val="24"/>
          <w:szCs w:val="24"/>
        </w:rPr>
        <w:t xml:space="preserve">ействующими </w:t>
      </w:r>
      <w:r w:rsidR="00C37CB6" w:rsidRPr="00145E0F">
        <w:rPr>
          <w:rFonts w:ascii="Times New Roman" w:hAnsi="Times New Roman"/>
          <w:sz w:val="24"/>
          <w:szCs w:val="24"/>
        </w:rPr>
        <w:t>компаниями - резидентами ТОСЭР «Тольятти» планируется создать</w:t>
      </w:r>
      <w:r w:rsidR="004A0CFF" w:rsidRPr="00145E0F">
        <w:rPr>
          <w:rFonts w:ascii="Times New Roman" w:hAnsi="Times New Roman"/>
          <w:sz w:val="24"/>
          <w:szCs w:val="24"/>
        </w:rPr>
        <w:t xml:space="preserve"> </w:t>
      </w:r>
      <w:r w:rsidRPr="00145E0F">
        <w:rPr>
          <w:rFonts w:ascii="Times New Roman" w:hAnsi="Times New Roman"/>
          <w:sz w:val="24"/>
          <w:szCs w:val="24"/>
        </w:rPr>
        <w:t>3,9 тыс. новых рабочих мест, за весь период реализации - более</w:t>
      </w:r>
      <w:r w:rsidR="004A0CFF" w:rsidRPr="00145E0F">
        <w:rPr>
          <w:rFonts w:ascii="Times New Roman" w:hAnsi="Times New Roman"/>
          <w:sz w:val="24"/>
          <w:szCs w:val="24"/>
        </w:rPr>
        <w:t xml:space="preserve"> 8 тыс</w:t>
      </w:r>
      <w:r w:rsidR="00C80B6D" w:rsidRPr="00145E0F">
        <w:rPr>
          <w:rFonts w:ascii="Times New Roman" w:hAnsi="Times New Roman"/>
          <w:sz w:val="24"/>
          <w:szCs w:val="24"/>
        </w:rPr>
        <w:t>.</w:t>
      </w:r>
      <w:r w:rsidR="004A0CFF" w:rsidRPr="00145E0F">
        <w:rPr>
          <w:rFonts w:ascii="Times New Roman" w:hAnsi="Times New Roman"/>
          <w:sz w:val="24"/>
          <w:szCs w:val="24"/>
        </w:rPr>
        <w:t xml:space="preserve"> рабочих мест.</w:t>
      </w:r>
      <w:r w:rsidR="00C80B6D" w:rsidRPr="00145E0F">
        <w:rPr>
          <w:rFonts w:ascii="Times New Roman" w:hAnsi="Times New Roman"/>
          <w:sz w:val="24"/>
          <w:szCs w:val="24"/>
        </w:rPr>
        <w:t xml:space="preserve"> </w:t>
      </w:r>
      <w:r w:rsidR="00036693" w:rsidRPr="00145E0F">
        <w:rPr>
          <w:rFonts w:ascii="Times New Roman" w:hAnsi="Times New Roman"/>
          <w:sz w:val="24"/>
          <w:szCs w:val="24"/>
        </w:rPr>
        <w:t xml:space="preserve"> </w:t>
      </w:r>
    </w:p>
    <w:p w:rsidR="00862820" w:rsidRPr="00145E0F" w:rsidRDefault="00862820" w:rsidP="00862ECD">
      <w:pPr>
        <w:spacing w:after="0"/>
        <w:ind w:firstLine="709"/>
        <w:jc w:val="both"/>
        <w:rPr>
          <w:rFonts w:ascii="Times New Roman" w:hAnsi="Times New Roman"/>
          <w:sz w:val="24"/>
          <w:szCs w:val="24"/>
        </w:rPr>
      </w:pPr>
      <w:r w:rsidRPr="00145E0F">
        <w:rPr>
          <w:rFonts w:ascii="Times New Roman" w:hAnsi="Times New Roman"/>
          <w:sz w:val="24"/>
          <w:szCs w:val="24"/>
        </w:rPr>
        <w:t>Немаловажную роль в повышении данного показателя сыграет и введение с 2020 года на территории Самарской области особого налогового режима для самозанятых.</w:t>
      </w:r>
    </w:p>
    <w:p w:rsidR="00862820" w:rsidRPr="00581F53" w:rsidRDefault="00B9477E" w:rsidP="00862ECD">
      <w:pPr>
        <w:spacing w:after="0"/>
        <w:ind w:firstLine="709"/>
        <w:jc w:val="both"/>
        <w:rPr>
          <w:rFonts w:ascii="Times New Roman" w:hAnsi="Times New Roman"/>
          <w:sz w:val="24"/>
          <w:szCs w:val="24"/>
        </w:rPr>
      </w:pPr>
      <w:r w:rsidRPr="00581F53">
        <w:rPr>
          <w:rFonts w:ascii="Times New Roman" w:hAnsi="Times New Roman"/>
          <w:sz w:val="24"/>
          <w:szCs w:val="24"/>
        </w:rPr>
        <w:t>Б</w:t>
      </w:r>
      <w:r w:rsidR="00862820" w:rsidRPr="00581F53">
        <w:rPr>
          <w:rFonts w:ascii="Times New Roman" w:hAnsi="Times New Roman"/>
          <w:sz w:val="24"/>
          <w:szCs w:val="24"/>
        </w:rPr>
        <w:t>езработиц</w:t>
      </w:r>
      <w:r w:rsidRPr="00581F53">
        <w:rPr>
          <w:rFonts w:ascii="Times New Roman" w:hAnsi="Times New Roman"/>
          <w:sz w:val="24"/>
          <w:szCs w:val="24"/>
        </w:rPr>
        <w:t>а</w:t>
      </w:r>
      <w:r w:rsidR="00862820" w:rsidRPr="00581F53">
        <w:rPr>
          <w:rFonts w:ascii="Times New Roman" w:hAnsi="Times New Roman"/>
          <w:sz w:val="24"/>
          <w:szCs w:val="24"/>
        </w:rPr>
        <w:t xml:space="preserve"> </w:t>
      </w:r>
      <w:r w:rsidR="00120861" w:rsidRPr="00581F53">
        <w:rPr>
          <w:rFonts w:ascii="Times New Roman" w:hAnsi="Times New Roman"/>
          <w:sz w:val="24"/>
          <w:szCs w:val="24"/>
        </w:rPr>
        <w:t xml:space="preserve">будет последовательно снижаться: </w:t>
      </w:r>
      <w:r w:rsidR="00C96203">
        <w:rPr>
          <w:rFonts w:ascii="Times New Roman" w:hAnsi="Times New Roman"/>
          <w:sz w:val="24"/>
          <w:szCs w:val="24"/>
        </w:rPr>
        <w:t xml:space="preserve">по базовому варианту </w:t>
      </w:r>
      <w:r w:rsidR="00120861" w:rsidRPr="00581F53">
        <w:rPr>
          <w:rFonts w:ascii="Times New Roman" w:hAnsi="Times New Roman"/>
          <w:sz w:val="24"/>
          <w:szCs w:val="24"/>
        </w:rPr>
        <w:t>к концу 2021 года количество безработных граждан сократится вдвое, но</w:t>
      </w:r>
      <w:r w:rsidR="00862820" w:rsidRPr="00581F53">
        <w:rPr>
          <w:rFonts w:ascii="Times New Roman" w:hAnsi="Times New Roman"/>
          <w:sz w:val="24"/>
          <w:szCs w:val="24"/>
        </w:rPr>
        <w:t xml:space="preserve"> </w:t>
      </w:r>
      <w:r w:rsidRPr="00581F53">
        <w:rPr>
          <w:rFonts w:ascii="Times New Roman" w:hAnsi="Times New Roman"/>
          <w:sz w:val="24"/>
          <w:szCs w:val="24"/>
        </w:rPr>
        <w:t xml:space="preserve">в среднегодовом значении составит 15,2 тыс. человек, уровень средней безработицы </w:t>
      </w:r>
      <w:r w:rsidR="00862820" w:rsidRPr="00581F53">
        <w:rPr>
          <w:rFonts w:ascii="Times New Roman" w:hAnsi="Times New Roman"/>
          <w:sz w:val="24"/>
          <w:szCs w:val="24"/>
        </w:rPr>
        <w:t xml:space="preserve">прогнозируется на достаточно высоком уровне </w:t>
      </w:r>
      <w:r w:rsidRPr="00581F53">
        <w:rPr>
          <w:rFonts w:ascii="Times New Roman" w:hAnsi="Times New Roman"/>
          <w:sz w:val="24"/>
          <w:szCs w:val="24"/>
        </w:rPr>
        <w:t xml:space="preserve">- </w:t>
      </w:r>
      <w:r w:rsidR="00862820" w:rsidRPr="00581F53">
        <w:rPr>
          <w:rFonts w:ascii="Times New Roman" w:hAnsi="Times New Roman"/>
          <w:sz w:val="24"/>
          <w:szCs w:val="24"/>
        </w:rPr>
        <w:t>3,82%</w:t>
      </w:r>
      <w:r w:rsidRPr="00581F53">
        <w:rPr>
          <w:rFonts w:ascii="Times New Roman" w:hAnsi="Times New Roman"/>
          <w:sz w:val="24"/>
          <w:szCs w:val="24"/>
        </w:rPr>
        <w:t xml:space="preserve">, в том числе в связи с продлением </w:t>
      </w:r>
      <w:r w:rsidR="003657A2" w:rsidRPr="00581F53">
        <w:rPr>
          <w:rFonts w:ascii="Times New Roman" w:hAnsi="Times New Roman"/>
          <w:sz w:val="24"/>
          <w:szCs w:val="24"/>
        </w:rPr>
        <w:t>мер социальной поддержки безработных граждан</w:t>
      </w:r>
      <w:r w:rsidR="00862820" w:rsidRPr="00581F53">
        <w:rPr>
          <w:rFonts w:ascii="Times New Roman" w:hAnsi="Times New Roman"/>
          <w:sz w:val="24"/>
          <w:szCs w:val="24"/>
        </w:rPr>
        <w:t>. В течение всего прогнозного периода ее уровень будет снижаться и к 2023 году достигнет док</w:t>
      </w:r>
      <w:r w:rsidR="005B2ACE" w:rsidRPr="00581F53">
        <w:rPr>
          <w:rFonts w:ascii="Times New Roman" w:hAnsi="Times New Roman"/>
          <w:sz w:val="24"/>
          <w:szCs w:val="24"/>
        </w:rPr>
        <w:t>ризисных</w:t>
      </w:r>
      <w:r w:rsidR="00862820" w:rsidRPr="00581F53">
        <w:rPr>
          <w:rFonts w:ascii="Times New Roman" w:hAnsi="Times New Roman"/>
          <w:sz w:val="24"/>
          <w:szCs w:val="24"/>
        </w:rPr>
        <w:t xml:space="preserve"> значений </w:t>
      </w:r>
      <w:r w:rsidR="005B2ACE" w:rsidRPr="00581F53">
        <w:rPr>
          <w:rFonts w:ascii="Times New Roman" w:hAnsi="Times New Roman"/>
          <w:sz w:val="24"/>
          <w:szCs w:val="24"/>
        </w:rPr>
        <w:t xml:space="preserve">- </w:t>
      </w:r>
      <w:r w:rsidR="00862820" w:rsidRPr="00581F53">
        <w:rPr>
          <w:rFonts w:ascii="Times New Roman" w:hAnsi="Times New Roman"/>
          <w:sz w:val="24"/>
          <w:szCs w:val="24"/>
        </w:rPr>
        <w:t>0,92%.</w:t>
      </w:r>
    </w:p>
    <w:p w:rsidR="00862820" w:rsidRPr="00145E0F" w:rsidRDefault="00862820" w:rsidP="000343FC">
      <w:pPr>
        <w:pStyle w:val="af"/>
        <w:widowControl w:val="0"/>
        <w:numPr>
          <w:ilvl w:val="0"/>
          <w:numId w:val="2"/>
        </w:numPr>
        <w:shd w:val="clear" w:color="auto" w:fill="FFFFFF"/>
        <w:suppressAutoHyphens/>
        <w:spacing w:before="120" w:line="276" w:lineRule="auto"/>
        <w:ind w:left="0" w:firstLine="709"/>
        <w:jc w:val="both"/>
        <w:rPr>
          <w:sz w:val="24"/>
          <w:szCs w:val="24"/>
        </w:rPr>
      </w:pPr>
      <w:r w:rsidRPr="00145E0F">
        <w:rPr>
          <w:sz w:val="24"/>
          <w:szCs w:val="24"/>
        </w:rPr>
        <w:t xml:space="preserve">По консервативному варианту, в условиях неблагоприятных макроэкономических факторов и возможном продолжении неблагоприятной эпидемиологической обстановки, ситуация в сфере занятости </w:t>
      </w:r>
      <w:r w:rsidR="00C96203">
        <w:rPr>
          <w:sz w:val="24"/>
          <w:szCs w:val="24"/>
        </w:rPr>
        <w:t>будет</w:t>
      </w:r>
      <w:r w:rsidRPr="00145E0F">
        <w:rPr>
          <w:sz w:val="24"/>
          <w:szCs w:val="24"/>
        </w:rPr>
        <w:t xml:space="preserve"> восстанавливаться </w:t>
      </w:r>
      <w:r w:rsidR="00C96203">
        <w:rPr>
          <w:sz w:val="24"/>
          <w:szCs w:val="24"/>
        </w:rPr>
        <w:t>медленнее</w:t>
      </w:r>
      <w:r w:rsidRPr="00145E0F">
        <w:rPr>
          <w:sz w:val="24"/>
          <w:szCs w:val="24"/>
        </w:rPr>
        <w:t>. Трудовые ресурсы к 2023 году вырастут на 0,3% относительно 2020 года и достигнут 437,5 тыс. человек, а занятые в экономике вырастут на 1,6% и составят 358,8 тыс. человек.</w:t>
      </w:r>
      <w:r w:rsidR="00B9477E" w:rsidRPr="00145E0F">
        <w:rPr>
          <w:sz w:val="24"/>
          <w:szCs w:val="24"/>
        </w:rPr>
        <w:t xml:space="preserve"> </w:t>
      </w:r>
      <w:r w:rsidRPr="00145E0F">
        <w:rPr>
          <w:sz w:val="24"/>
          <w:szCs w:val="24"/>
        </w:rPr>
        <w:t>В 2023 году среднегодовая численность безработных составит 7,1 тыс. человек (</w:t>
      </w:r>
      <w:r w:rsidR="005B2ACE" w:rsidRPr="00145E0F">
        <w:rPr>
          <w:sz w:val="24"/>
          <w:szCs w:val="24"/>
        </w:rPr>
        <w:t>превысит</w:t>
      </w:r>
      <w:r w:rsidRPr="00145E0F">
        <w:rPr>
          <w:sz w:val="24"/>
          <w:szCs w:val="24"/>
        </w:rPr>
        <w:t xml:space="preserve"> докризисный уровень в 2 раза), а уровень безработицы относительно численности трудоспособного населения ожидается на уровне 1,78%.</w:t>
      </w:r>
    </w:p>
    <w:p w:rsidR="00E62254" w:rsidRPr="00145E0F" w:rsidRDefault="0024525F" w:rsidP="000343FC">
      <w:pPr>
        <w:pStyle w:val="af"/>
        <w:numPr>
          <w:ilvl w:val="0"/>
          <w:numId w:val="2"/>
        </w:numPr>
        <w:spacing w:before="120" w:line="276" w:lineRule="auto"/>
        <w:ind w:left="0" w:firstLine="0"/>
        <w:jc w:val="center"/>
        <w:rPr>
          <w:sz w:val="24"/>
          <w:szCs w:val="24"/>
        </w:rPr>
      </w:pPr>
      <w:r w:rsidRPr="00145E0F">
        <w:rPr>
          <w:b/>
          <w:sz w:val="24"/>
          <w:szCs w:val="24"/>
        </w:rPr>
        <w:t>Заработная плата</w:t>
      </w:r>
      <w:bookmarkStart w:id="5" w:name="зарплата"/>
      <w:bookmarkEnd w:id="5"/>
    </w:p>
    <w:p w:rsidR="00E837D2" w:rsidRPr="00145E0F" w:rsidRDefault="00E837D2" w:rsidP="000343FC">
      <w:pPr>
        <w:pStyle w:val="af"/>
        <w:spacing w:before="120"/>
        <w:rPr>
          <w:sz w:val="24"/>
          <w:szCs w:val="24"/>
        </w:rPr>
      </w:pPr>
    </w:p>
    <w:p w:rsidR="00862820" w:rsidRPr="00145E0F" w:rsidRDefault="00862820" w:rsidP="000343FC">
      <w:pPr>
        <w:pStyle w:val="af"/>
        <w:numPr>
          <w:ilvl w:val="0"/>
          <w:numId w:val="2"/>
        </w:numPr>
        <w:spacing w:before="120" w:line="276" w:lineRule="auto"/>
        <w:ind w:left="0" w:firstLine="709"/>
        <w:jc w:val="both"/>
        <w:rPr>
          <w:sz w:val="24"/>
          <w:szCs w:val="24"/>
        </w:rPr>
      </w:pPr>
      <w:r w:rsidRPr="00145E0F">
        <w:rPr>
          <w:sz w:val="24"/>
          <w:szCs w:val="24"/>
        </w:rPr>
        <w:t xml:space="preserve">С учетом ожидаемых темпов развития экономики среднемесячная номинальная начисленная заработная плата работников организаций </w:t>
      </w:r>
      <w:r w:rsidR="00CC4504">
        <w:rPr>
          <w:sz w:val="24"/>
          <w:szCs w:val="24"/>
        </w:rPr>
        <w:t>городского округа</w:t>
      </w:r>
      <w:r w:rsidR="00862ECD">
        <w:rPr>
          <w:sz w:val="24"/>
          <w:szCs w:val="24"/>
        </w:rPr>
        <w:t xml:space="preserve"> Тольятти</w:t>
      </w:r>
      <w:r w:rsidRPr="00145E0F">
        <w:rPr>
          <w:sz w:val="24"/>
          <w:szCs w:val="24"/>
        </w:rPr>
        <w:t>, не относящихся к субъектам малого предпринимательства (далее по разделу – заработная плата), в прогнозном периоде будет расти.</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В целом за прогнозный период 2021–2023 годов с учетом реализации мер, проводимых в целях решения поставленных Указом Президента Российской Федерации от 07.05.2018 № 204 задач, направленных на обеспечение роста производительности труда в экономике, а также с учетом планируемых темпов повышения заработной платы отдельным категориям работников бюджетной сферы в соответствии с реализацией планов мероприятий («дорожных карт») по совершенствованию оплаты труда в сфере культуры, образования и физической культуры, заработная плата по базовому в</w:t>
      </w:r>
      <w:r w:rsidR="00235C8D">
        <w:rPr>
          <w:sz w:val="24"/>
          <w:szCs w:val="24"/>
        </w:rPr>
        <w:t xml:space="preserve">арианту может увеличиться на </w:t>
      </w:r>
      <w:r w:rsidR="00B970F8">
        <w:rPr>
          <w:sz w:val="24"/>
          <w:szCs w:val="24"/>
        </w:rPr>
        <w:t>14,4</w:t>
      </w:r>
      <w:r w:rsidRPr="00145E0F">
        <w:rPr>
          <w:sz w:val="24"/>
          <w:szCs w:val="24"/>
        </w:rPr>
        <w:t xml:space="preserve">%, достигнув в 2023 году </w:t>
      </w:r>
      <w:r w:rsidR="00B970F8">
        <w:rPr>
          <w:sz w:val="24"/>
          <w:szCs w:val="24"/>
        </w:rPr>
        <w:t>47,8</w:t>
      </w:r>
      <w:r w:rsidRPr="00145E0F">
        <w:rPr>
          <w:sz w:val="24"/>
          <w:szCs w:val="24"/>
        </w:rPr>
        <w:t xml:space="preserve"> тыс. рублей.</w:t>
      </w:r>
    </w:p>
    <w:p w:rsidR="00862820" w:rsidRPr="00145E0F" w:rsidRDefault="00862820" w:rsidP="000343FC">
      <w:pPr>
        <w:pStyle w:val="af"/>
        <w:numPr>
          <w:ilvl w:val="0"/>
          <w:numId w:val="2"/>
        </w:numPr>
        <w:spacing w:before="120" w:line="276" w:lineRule="auto"/>
        <w:ind w:left="0" w:firstLine="709"/>
        <w:jc w:val="both"/>
        <w:rPr>
          <w:sz w:val="24"/>
          <w:szCs w:val="24"/>
        </w:rPr>
      </w:pPr>
      <w:r w:rsidRPr="00145E0F">
        <w:rPr>
          <w:sz w:val="24"/>
          <w:szCs w:val="24"/>
        </w:rPr>
        <w:t xml:space="preserve">По консервативному варианту заработная плата вырастет на </w:t>
      </w:r>
      <w:r w:rsidR="00B970F8">
        <w:rPr>
          <w:sz w:val="24"/>
          <w:szCs w:val="24"/>
        </w:rPr>
        <w:t>13,0</w:t>
      </w:r>
      <w:r w:rsidRPr="00145E0F">
        <w:rPr>
          <w:sz w:val="24"/>
          <w:szCs w:val="24"/>
        </w:rPr>
        <w:t xml:space="preserve">% и составит в 2023 году </w:t>
      </w:r>
      <w:r w:rsidR="00235C8D">
        <w:rPr>
          <w:sz w:val="24"/>
          <w:szCs w:val="24"/>
        </w:rPr>
        <w:t>4</w:t>
      </w:r>
      <w:r w:rsidR="00B970F8">
        <w:rPr>
          <w:sz w:val="24"/>
          <w:szCs w:val="24"/>
        </w:rPr>
        <w:t>7</w:t>
      </w:r>
      <w:r w:rsidR="00235C8D">
        <w:rPr>
          <w:sz w:val="24"/>
          <w:szCs w:val="24"/>
        </w:rPr>
        <w:t>,2</w:t>
      </w:r>
      <w:r w:rsidRPr="00145E0F">
        <w:rPr>
          <w:sz w:val="24"/>
          <w:szCs w:val="24"/>
        </w:rPr>
        <w:t xml:space="preserve"> тыс. рублей.</w:t>
      </w:r>
    </w:p>
    <w:p w:rsidR="00252845" w:rsidRPr="00145E0F" w:rsidRDefault="00252845" w:rsidP="000343FC">
      <w:pPr>
        <w:spacing w:before="120" w:after="0"/>
        <w:jc w:val="center"/>
        <w:rPr>
          <w:rFonts w:ascii="Times New Roman" w:hAnsi="Times New Roman"/>
          <w:b/>
          <w:sz w:val="24"/>
          <w:szCs w:val="24"/>
        </w:rPr>
      </w:pPr>
      <w:r w:rsidRPr="00145E0F">
        <w:rPr>
          <w:rFonts w:ascii="Times New Roman" w:hAnsi="Times New Roman"/>
          <w:b/>
          <w:sz w:val="24"/>
          <w:szCs w:val="24"/>
        </w:rPr>
        <w:t>Транспорт</w:t>
      </w:r>
      <w:bookmarkStart w:id="6" w:name="транспорт"/>
      <w:bookmarkEnd w:id="6"/>
    </w:p>
    <w:p w:rsidR="00712815" w:rsidRPr="00145E0F" w:rsidRDefault="00712815" w:rsidP="000343FC">
      <w:pPr>
        <w:pStyle w:val="aa"/>
        <w:widowControl w:val="0"/>
        <w:spacing w:before="120" w:after="0" w:line="276" w:lineRule="auto"/>
        <w:ind w:firstLine="720"/>
        <w:jc w:val="both"/>
        <w:rPr>
          <w:lang w:eastAsia="ru-RU"/>
        </w:rPr>
      </w:pPr>
      <w:r w:rsidRPr="00145E0F">
        <w:rPr>
          <w:lang w:eastAsia="ru-RU"/>
        </w:rPr>
        <w:t xml:space="preserve">Создание условий для предоставления транспортных услуг населению и организациям транспортного обслуживания населения в границах городского округа Тольятти является одним из важных вопросов местного значения. </w:t>
      </w:r>
    </w:p>
    <w:p w:rsidR="00712815" w:rsidRPr="00145E0F" w:rsidRDefault="00712815"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На протяжении всего прогнозного периода по консервативному и базовому вариантам прогноза ожидается незначительный рост показателя пассажирооборота. </w:t>
      </w:r>
    </w:p>
    <w:p w:rsidR="00712815" w:rsidRPr="00145E0F" w:rsidRDefault="00712815"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Улучшение показателя </w:t>
      </w:r>
      <w:r w:rsidR="00B9477E" w:rsidRPr="00145E0F">
        <w:rPr>
          <w:rFonts w:ascii="Times New Roman" w:hAnsi="Times New Roman"/>
          <w:sz w:val="24"/>
          <w:szCs w:val="24"/>
        </w:rPr>
        <w:t>ожидается</w:t>
      </w:r>
      <w:r w:rsidRPr="00145E0F">
        <w:rPr>
          <w:rFonts w:ascii="Times New Roman" w:hAnsi="Times New Roman"/>
          <w:sz w:val="24"/>
          <w:szCs w:val="24"/>
        </w:rPr>
        <w:t xml:space="preserve"> за счет </w:t>
      </w:r>
      <w:r w:rsidR="00C96203">
        <w:rPr>
          <w:rFonts w:ascii="Times New Roman" w:hAnsi="Times New Roman"/>
          <w:sz w:val="24"/>
          <w:szCs w:val="24"/>
        </w:rPr>
        <w:t xml:space="preserve">постепенного восстановления экономической активности в городском округе Тольятти, </w:t>
      </w:r>
      <w:r w:rsidRPr="00145E0F">
        <w:rPr>
          <w:rFonts w:ascii="Times New Roman" w:hAnsi="Times New Roman"/>
          <w:sz w:val="24"/>
          <w:szCs w:val="24"/>
        </w:rPr>
        <w:t>обновления подвижного состава на более комфортабельные и вместительные автобусы и троллейбусы, усиления контрольно-</w:t>
      </w:r>
      <w:r w:rsidR="00C96203">
        <w:rPr>
          <w:rFonts w:ascii="Times New Roman" w:hAnsi="Times New Roman"/>
          <w:sz w:val="24"/>
          <w:szCs w:val="24"/>
        </w:rPr>
        <w:t>ревизионной службы</w:t>
      </w:r>
      <w:r w:rsidRPr="00145E0F">
        <w:rPr>
          <w:rFonts w:ascii="Times New Roman" w:hAnsi="Times New Roman"/>
          <w:sz w:val="24"/>
          <w:szCs w:val="24"/>
        </w:rPr>
        <w:t xml:space="preserve">: </w:t>
      </w:r>
      <w:r w:rsidR="00C96203">
        <w:rPr>
          <w:rFonts w:ascii="Times New Roman" w:hAnsi="Times New Roman"/>
          <w:sz w:val="24"/>
          <w:szCs w:val="24"/>
        </w:rPr>
        <w:t>к</w:t>
      </w:r>
      <w:r w:rsidRPr="00145E0F">
        <w:rPr>
          <w:rFonts w:ascii="Times New Roman" w:hAnsi="Times New Roman"/>
          <w:sz w:val="24"/>
          <w:szCs w:val="24"/>
        </w:rPr>
        <w:t xml:space="preserve"> 2023 году ожидается увеличение пассажирооборота к уровню 2020 года на 7,5% до 1 112,9 и на 8,0% до 1 117,5 млн. пассажиро-километров по первому и второму вариантам соответственно.</w:t>
      </w:r>
    </w:p>
    <w:p w:rsidR="00712815" w:rsidRPr="00145E0F" w:rsidRDefault="00712815" w:rsidP="00C96203">
      <w:pPr>
        <w:pStyle w:val="af"/>
        <w:spacing w:line="276" w:lineRule="auto"/>
        <w:ind w:left="0" w:firstLine="708"/>
        <w:jc w:val="both"/>
        <w:rPr>
          <w:sz w:val="24"/>
          <w:szCs w:val="24"/>
        </w:rPr>
      </w:pPr>
      <w:r w:rsidRPr="00145E0F">
        <w:rPr>
          <w:sz w:val="24"/>
          <w:szCs w:val="24"/>
        </w:rPr>
        <w:t xml:space="preserve">По </w:t>
      </w:r>
      <w:r w:rsidR="00C96203">
        <w:rPr>
          <w:sz w:val="24"/>
          <w:szCs w:val="24"/>
        </w:rPr>
        <w:t>обоим</w:t>
      </w:r>
      <w:r w:rsidRPr="00145E0F">
        <w:rPr>
          <w:sz w:val="24"/>
          <w:szCs w:val="24"/>
        </w:rPr>
        <w:t xml:space="preserve"> вариантам прогноза показатель рассчитан исходя из планового количества пассажиров в прогнозном периоде и средней дальности поездки одного пассажира.</w:t>
      </w:r>
    </w:p>
    <w:p w:rsidR="00712815" w:rsidRPr="00145E0F" w:rsidRDefault="00712815" w:rsidP="00C96203">
      <w:pPr>
        <w:pStyle w:val="aa"/>
        <w:widowControl w:val="0"/>
        <w:spacing w:before="0" w:after="0" w:line="276" w:lineRule="auto"/>
        <w:ind w:firstLine="720"/>
        <w:jc w:val="both"/>
        <w:rPr>
          <w:lang w:eastAsia="ru-RU"/>
        </w:rPr>
      </w:pPr>
      <w:r w:rsidRPr="00145E0F">
        <w:rPr>
          <w:lang w:eastAsia="ru-RU"/>
        </w:rPr>
        <w:t xml:space="preserve">В прогнозном периоде будут прорабатываться вопросы повышения качества и доступности транспортных услуг, увеличения доли обеспеченности нового подвижного состава парка муниципальных транспортных предприятий, в связи с чем, увеличится привлекательность пассажирского транспорта и создадутся более комфортные условия передвижения на общественном транспорте жителей и гостей </w:t>
      </w:r>
      <w:r w:rsidR="00CC4504">
        <w:rPr>
          <w:lang w:eastAsia="ru-RU"/>
        </w:rPr>
        <w:t xml:space="preserve">городского </w:t>
      </w:r>
      <w:r w:rsidR="00AC0D52">
        <w:rPr>
          <w:lang w:eastAsia="ru-RU"/>
        </w:rPr>
        <w:t>округа Тольятти</w:t>
      </w:r>
      <w:r w:rsidRPr="00145E0F">
        <w:rPr>
          <w:lang w:eastAsia="ru-RU"/>
        </w:rPr>
        <w:t>.</w:t>
      </w:r>
    </w:p>
    <w:p w:rsidR="00712815" w:rsidRPr="00145E0F" w:rsidRDefault="00712815" w:rsidP="00862ECD">
      <w:pPr>
        <w:autoSpaceDE w:val="0"/>
        <w:autoSpaceDN w:val="0"/>
        <w:adjustRightInd w:val="0"/>
        <w:spacing w:after="0"/>
        <w:ind w:firstLine="709"/>
        <w:jc w:val="both"/>
        <w:rPr>
          <w:rFonts w:ascii="Times New Roman" w:hAnsi="Times New Roman"/>
          <w:sz w:val="24"/>
          <w:szCs w:val="24"/>
        </w:rPr>
      </w:pPr>
      <w:r w:rsidRPr="00145E0F">
        <w:rPr>
          <w:rFonts w:ascii="Times New Roman" w:hAnsi="Times New Roman"/>
          <w:sz w:val="24"/>
          <w:szCs w:val="24"/>
        </w:rPr>
        <w:t xml:space="preserve">В прогнозном периоде по первому и второму вариантам ожидается рост грузооборота к концу 2023 года по сравнению с 2019 годом: по первому варианту – </w:t>
      </w:r>
      <w:r w:rsidR="000C3F13" w:rsidRPr="00145E0F">
        <w:rPr>
          <w:rFonts w:ascii="Times New Roman" w:hAnsi="Times New Roman"/>
          <w:sz w:val="24"/>
          <w:szCs w:val="24"/>
        </w:rPr>
        <w:t>на 4</w:t>
      </w:r>
      <w:r w:rsidRPr="00145E0F">
        <w:rPr>
          <w:rFonts w:ascii="Times New Roman" w:hAnsi="Times New Roman"/>
          <w:sz w:val="24"/>
          <w:szCs w:val="24"/>
        </w:rPr>
        <w:t xml:space="preserve">% и </w:t>
      </w:r>
      <w:r w:rsidR="000C3F13" w:rsidRPr="00145E0F">
        <w:rPr>
          <w:rFonts w:ascii="Times New Roman" w:hAnsi="Times New Roman"/>
          <w:sz w:val="24"/>
          <w:szCs w:val="24"/>
        </w:rPr>
        <w:t>на 1</w:t>
      </w:r>
      <w:r w:rsidRPr="00145E0F">
        <w:rPr>
          <w:rFonts w:ascii="Times New Roman" w:hAnsi="Times New Roman"/>
          <w:sz w:val="24"/>
          <w:szCs w:val="24"/>
        </w:rPr>
        <w:t xml:space="preserve">5% по второму варианту. </w:t>
      </w:r>
    </w:p>
    <w:p w:rsidR="00712815" w:rsidRPr="00145E0F" w:rsidRDefault="00712815" w:rsidP="00862ECD">
      <w:pPr>
        <w:pStyle w:val="aa"/>
        <w:widowControl w:val="0"/>
        <w:spacing w:before="0" w:after="0" w:line="276" w:lineRule="auto"/>
        <w:ind w:firstLine="720"/>
        <w:jc w:val="both"/>
        <w:rPr>
          <w:lang w:eastAsia="ru-RU"/>
        </w:rPr>
      </w:pPr>
      <w:r w:rsidRPr="00145E0F">
        <w:rPr>
          <w:lang w:eastAsia="ru-RU"/>
        </w:rPr>
        <w:t xml:space="preserve">Рост показателя связан </w:t>
      </w:r>
      <w:r w:rsidR="00B9477E" w:rsidRPr="00145E0F">
        <w:rPr>
          <w:lang w:eastAsia="ru-RU"/>
        </w:rPr>
        <w:t xml:space="preserve">с ростом промышленного производства, </w:t>
      </w:r>
      <w:r w:rsidRPr="00145E0F">
        <w:rPr>
          <w:lang w:eastAsia="ru-RU"/>
        </w:rPr>
        <w:t xml:space="preserve">строительством мостового перехода через реку Волга с обходом городского округа Тольятти и выходом на автомобильную дорогу М-5 «Урал» и с проектом создания и эксплуатации инфраструктуры железнодорожного транспорта для обеспечения деятельности ОЭЗ ППТ «Тольятти». Ожидается рост конкурентоспособной среды на рынке автомобильных грузоперевозок, что приведет к повышению качества услуг и увеличению грузооборота. </w:t>
      </w:r>
    </w:p>
    <w:p w:rsidR="00712815" w:rsidRPr="00145E0F" w:rsidRDefault="00712815" w:rsidP="00862ECD">
      <w:pPr>
        <w:pStyle w:val="aa"/>
        <w:widowControl w:val="0"/>
        <w:spacing w:before="0" w:after="0" w:line="276" w:lineRule="auto"/>
        <w:ind w:firstLine="720"/>
        <w:jc w:val="both"/>
        <w:rPr>
          <w:lang w:eastAsia="ru-RU"/>
        </w:rPr>
      </w:pPr>
      <w:r w:rsidRPr="00145E0F">
        <w:rPr>
          <w:lang w:eastAsia="ru-RU"/>
        </w:rPr>
        <w:t xml:space="preserve">В сфере дорожного хозяйства в рамках мероприятий по </w:t>
      </w:r>
      <w:r w:rsidR="00DC2E8E">
        <w:rPr>
          <w:lang w:eastAsia="ru-RU"/>
        </w:rPr>
        <w:t>национальному</w:t>
      </w:r>
      <w:r w:rsidRPr="00145E0F">
        <w:rPr>
          <w:lang w:eastAsia="ru-RU"/>
        </w:rPr>
        <w:t xml:space="preserve"> проекту «Безопасные и качественные дороги</w:t>
      </w:r>
      <w:r w:rsidR="00DC2E8E">
        <w:rPr>
          <w:lang w:eastAsia="ru-RU"/>
        </w:rPr>
        <w:t>»</w:t>
      </w:r>
      <w:r w:rsidRPr="00145E0F">
        <w:rPr>
          <w:lang w:eastAsia="ru-RU"/>
        </w:rPr>
        <w:t xml:space="preserve"> в 2021-2023 годах предусмотрены мероприятия по повышению безопасности дорожного движения на автомобильных дорогах общего пользования местного значения в рамках реализации региональной составляющей </w:t>
      </w:r>
      <w:r w:rsidR="00DC2E8E">
        <w:rPr>
          <w:lang w:eastAsia="ru-RU"/>
        </w:rPr>
        <w:t>данного национального проекта.</w:t>
      </w:r>
    </w:p>
    <w:p w:rsidR="00712815" w:rsidRPr="00145E0F" w:rsidRDefault="00712815" w:rsidP="00C96203">
      <w:pPr>
        <w:pStyle w:val="aa"/>
        <w:widowControl w:val="0"/>
        <w:spacing w:before="120" w:after="0" w:line="276" w:lineRule="auto"/>
        <w:ind w:firstLine="720"/>
        <w:jc w:val="both"/>
        <w:rPr>
          <w:color w:val="000000"/>
        </w:rPr>
      </w:pPr>
      <w:r w:rsidRPr="00145E0F">
        <w:rPr>
          <w:lang w:eastAsia="ru-RU"/>
        </w:rPr>
        <w:t xml:space="preserve">В 2021-2023 годах запланировано </w:t>
      </w:r>
      <w:r w:rsidRPr="00145E0F">
        <w:t xml:space="preserve">строительство: </w:t>
      </w:r>
      <w:r w:rsidRPr="00145E0F">
        <w:rPr>
          <w:color w:val="000000"/>
        </w:rPr>
        <w:t>парковочных автостоянок вдоль Южных проходных АО «АВТОВАЗ» по Южному шоссе (1,0 км), подъездной дороги к физкультурно-оздоровительному комплексу СДЮШОР № 8 «Союз» (0,1 км), ул. Ивана Красюка (0,3 км), ул. Казачьей (0,8 км), бокового проезда по ул. Тополиной (0,9 км) и по ул. Спортивной (0,9 км), ул. Механизаторов (от ул. Громовой до ул. Лизы Чайкиной). Также в прогнозном периоде предусмотрено устройство линий наружного электроосвещения, дорожных знаков, пешеходных ограждений и другое.</w:t>
      </w:r>
    </w:p>
    <w:p w:rsidR="00252845" w:rsidRPr="00145E0F" w:rsidRDefault="00252845" w:rsidP="00C96203">
      <w:pPr>
        <w:spacing w:before="120" w:after="0"/>
        <w:jc w:val="center"/>
        <w:rPr>
          <w:rFonts w:ascii="Times New Roman" w:hAnsi="Times New Roman"/>
          <w:b/>
          <w:sz w:val="24"/>
          <w:szCs w:val="24"/>
        </w:rPr>
      </w:pPr>
      <w:r w:rsidRPr="00145E0F">
        <w:rPr>
          <w:rFonts w:ascii="Times New Roman" w:hAnsi="Times New Roman"/>
          <w:b/>
          <w:sz w:val="24"/>
          <w:szCs w:val="24"/>
        </w:rPr>
        <w:t>Связь</w:t>
      </w:r>
      <w:bookmarkStart w:id="7" w:name="связь"/>
      <w:bookmarkEnd w:id="7"/>
    </w:p>
    <w:p w:rsidR="00E21760" w:rsidRPr="00145E0F" w:rsidRDefault="00E21760" w:rsidP="00C96203">
      <w:pPr>
        <w:spacing w:before="120"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 xml:space="preserve">В 2021-2023 годах ожидается дальнейшее развитие услуг в сфере связи. Телефонизация неразрывно связана с развитием первичной сети, заменой физически и морально устаревшего оборудования на значительных участках региональных сетей, а также внедрением новых технологий. </w:t>
      </w:r>
    </w:p>
    <w:p w:rsidR="00E21760" w:rsidRPr="00145E0F" w:rsidRDefault="00E21760" w:rsidP="00862ECD">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 xml:space="preserve">Наряду с развитием традиционных видов связи планируется расширение сетей сотовой связи (в том числе развитие технологии LTE), Интернета, IP-телефонии, интеллектуальных сетей и других видов связи. </w:t>
      </w:r>
    </w:p>
    <w:p w:rsidR="00E21760" w:rsidRPr="00145E0F" w:rsidRDefault="00E21760" w:rsidP="00862ECD">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 xml:space="preserve">С учетом умеренных темпов роста доходов населения консервативный вариант развития предусматривает рост объема услуг связи: к 2023 году </w:t>
      </w:r>
      <w:r w:rsidR="00C96203">
        <w:rPr>
          <w:rFonts w:ascii="Times New Roman" w:hAnsi="Times New Roman"/>
          <w:color w:val="000000"/>
          <w:sz w:val="24"/>
          <w:szCs w:val="24"/>
          <w:lang w:eastAsia="ar-SA"/>
        </w:rPr>
        <w:t>темп роста</w:t>
      </w:r>
      <w:r w:rsidRPr="00145E0F">
        <w:rPr>
          <w:rFonts w:ascii="Times New Roman" w:hAnsi="Times New Roman"/>
          <w:color w:val="000000"/>
          <w:sz w:val="24"/>
          <w:szCs w:val="24"/>
          <w:lang w:eastAsia="ar-SA"/>
        </w:rPr>
        <w:t xml:space="preserve"> показателя в действующих ценах составит </w:t>
      </w:r>
      <w:r w:rsidR="00C96203">
        <w:rPr>
          <w:rFonts w:ascii="Times New Roman" w:hAnsi="Times New Roman"/>
          <w:color w:val="000000"/>
          <w:sz w:val="24"/>
          <w:szCs w:val="24"/>
          <w:lang w:eastAsia="ar-SA"/>
        </w:rPr>
        <w:t>1</w:t>
      </w:r>
      <w:r w:rsidRPr="00145E0F">
        <w:rPr>
          <w:rFonts w:ascii="Times New Roman" w:hAnsi="Times New Roman"/>
          <w:color w:val="000000"/>
          <w:sz w:val="24"/>
          <w:szCs w:val="24"/>
          <w:lang w:eastAsia="ar-SA"/>
        </w:rPr>
        <w:t>10,1% к 2020 году до 3 793,4 млн. рублей.</w:t>
      </w:r>
    </w:p>
    <w:p w:rsidR="00E21760" w:rsidRPr="00145E0F" w:rsidRDefault="00E21760" w:rsidP="00862ECD">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Ожидается существенное ослабление интереса у населения к телефонной стационарной связи. Количество операторов стационарной связи пойдет на спад, они направят свои силы на развитие более востребованных услуг, таких как интернет, IP-TV. Количество абонентов домашнего интернета будет уменьшатся в связи с тем, что абоненты будут искать более дешевые варианты выхода в интернет, такие как мобильный интернет. Число таксофонов также будет снижаться, так как они не пользуются спросом.</w:t>
      </w:r>
    </w:p>
    <w:p w:rsidR="00E21760" w:rsidRPr="00145E0F" w:rsidRDefault="00E21760" w:rsidP="00862ECD">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 xml:space="preserve">По базовому варианту объем услуг связи в прогнозном периоде будет расти более высокими темпами. Так, за период 2020 – 2023 годов </w:t>
      </w:r>
      <w:r w:rsidR="005929A3">
        <w:rPr>
          <w:rFonts w:ascii="Times New Roman" w:hAnsi="Times New Roman"/>
          <w:color w:val="000000"/>
          <w:sz w:val="24"/>
          <w:szCs w:val="24"/>
          <w:lang w:eastAsia="ar-SA"/>
        </w:rPr>
        <w:t>при</w:t>
      </w:r>
      <w:r w:rsidRPr="00145E0F">
        <w:rPr>
          <w:rFonts w:ascii="Times New Roman" w:hAnsi="Times New Roman"/>
          <w:color w:val="000000"/>
          <w:sz w:val="24"/>
          <w:szCs w:val="24"/>
          <w:lang w:eastAsia="ar-SA"/>
        </w:rPr>
        <w:t>рост показателя в действующих ценах может составить 33,1% до 4 586,9 млн. рублей.</w:t>
      </w:r>
    </w:p>
    <w:p w:rsidR="00E21760" w:rsidRPr="00145E0F" w:rsidRDefault="00E21760" w:rsidP="00862ECD">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Ожидается стабильное и планомерное развитие рынка мобильной связи на территории городского округа Тольятти: продолжится внедрение протокола беспроводного доступа в сеть Интернет по различным технологиям операторами сотовой связи и провайдерами Интернет (услуги широкополосного высокоскоростного доступа в Интернет как по технологии 3G, 4G модем, так и по технологии «оптика до здания» - FTTB).</w:t>
      </w:r>
    </w:p>
    <w:p w:rsidR="00E21760" w:rsidRPr="00145E0F" w:rsidRDefault="00E21760" w:rsidP="00862ECD">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Количество операторов связи, в основном, останется на прежнем уровне. Прирост абонентов Интернета будет небольшим, но стабильным. Доступ в сеть интернет станет основой, на которой в течение следующих лет будут развиваться и другие современные телекоммуникационные услуги. К примеру, IP-TV</w:t>
      </w:r>
      <w:r w:rsidR="00DC2E8E">
        <w:rPr>
          <w:rFonts w:ascii="Times New Roman" w:hAnsi="Times New Roman"/>
          <w:color w:val="000000"/>
          <w:sz w:val="24"/>
          <w:szCs w:val="24"/>
          <w:lang w:eastAsia="ar-SA"/>
        </w:rPr>
        <w:t xml:space="preserve"> </w:t>
      </w:r>
      <w:r w:rsidRPr="00145E0F">
        <w:rPr>
          <w:rFonts w:ascii="Times New Roman" w:hAnsi="Times New Roman"/>
          <w:color w:val="000000"/>
          <w:sz w:val="24"/>
          <w:szCs w:val="24"/>
          <w:lang w:eastAsia="ar-SA"/>
        </w:rPr>
        <w:t>c неограниченным количеством телевизионных каналов, SIP-телефония с возможностью видеосвязи и многие другие.</w:t>
      </w:r>
    </w:p>
    <w:p w:rsidR="00E21760" w:rsidRPr="00145E0F" w:rsidRDefault="00E21760" w:rsidP="005929A3">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Работа операторов телевидения в городском округе Тольятти направлена на увеличение количества транслируемых каналов по линиям кабельного телевидения, а также на увеличение количества транслируемых программ, улучшению качества предоставляемых услуг и другое.</w:t>
      </w:r>
    </w:p>
    <w:p w:rsidR="00E21760" w:rsidRPr="00145E0F" w:rsidRDefault="00E21760" w:rsidP="005929A3">
      <w:pPr>
        <w:spacing w:after="0"/>
        <w:ind w:firstLine="709"/>
        <w:jc w:val="both"/>
        <w:rPr>
          <w:rFonts w:ascii="Times New Roman" w:hAnsi="Times New Roman"/>
          <w:color w:val="000000"/>
          <w:sz w:val="24"/>
          <w:szCs w:val="24"/>
          <w:lang w:eastAsia="ar-SA"/>
        </w:rPr>
      </w:pPr>
      <w:r w:rsidRPr="00145E0F">
        <w:rPr>
          <w:rFonts w:ascii="Times New Roman" w:hAnsi="Times New Roman"/>
          <w:color w:val="000000"/>
          <w:sz w:val="24"/>
          <w:szCs w:val="24"/>
          <w:lang w:eastAsia="ar-SA"/>
        </w:rPr>
        <w:t>Таким образом, положительная динамика показателя в прогнозном периоде будет обусловлена ростом числа дополнительных сервисов и внедрением новых видов услуг.</w:t>
      </w:r>
    </w:p>
    <w:p w:rsidR="006E0886" w:rsidRPr="00145E0F" w:rsidRDefault="006E0886" w:rsidP="005929A3">
      <w:pPr>
        <w:spacing w:before="120" w:after="0" w:line="312" w:lineRule="auto"/>
        <w:jc w:val="center"/>
        <w:rPr>
          <w:rFonts w:ascii="Times New Roman" w:hAnsi="Times New Roman"/>
          <w:b/>
          <w:sz w:val="24"/>
          <w:szCs w:val="24"/>
        </w:rPr>
      </w:pPr>
      <w:r w:rsidRPr="00145E0F">
        <w:rPr>
          <w:rFonts w:ascii="Times New Roman" w:hAnsi="Times New Roman"/>
          <w:b/>
          <w:sz w:val="24"/>
          <w:szCs w:val="24"/>
        </w:rPr>
        <w:t>Образование</w:t>
      </w:r>
    </w:p>
    <w:p w:rsidR="006E0886" w:rsidRPr="00145E0F" w:rsidRDefault="006E0886" w:rsidP="005929A3">
      <w:pPr>
        <w:widowControl w:val="0"/>
        <w:spacing w:before="120"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Продолжится реализация мероприятий по созданию дополнительных мест в учреждениях образования.</w:t>
      </w:r>
    </w:p>
    <w:p w:rsidR="006E0886" w:rsidRPr="00145E0F" w:rsidRDefault="006E0886" w:rsidP="00862ECD">
      <w:pPr>
        <w:widowControl w:val="0"/>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Проблема дефицита мест в дошкольных учреждениях будет решаться за счет строительства и реконструкции зданий дошкольных учреждений</w:t>
      </w:r>
      <w:r w:rsidR="00DC2E8E">
        <w:rPr>
          <w:rFonts w:ascii="Times New Roman" w:hAnsi="Times New Roman"/>
          <w:sz w:val="24"/>
          <w:szCs w:val="24"/>
          <w:lang w:eastAsia="ar-SA"/>
        </w:rPr>
        <w:t>,</w:t>
      </w:r>
      <w:r w:rsidRPr="00145E0F">
        <w:rPr>
          <w:rFonts w:ascii="Times New Roman" w:hAnsi="Times New Roman"/>
          <w:sz w:val="24"/>
          <w:szCs w:val="24"/>
          <w:lang w:eastAsia="ar-SA"/>
        </w:rPr>
        <w:t xml:space="preserve"> открытия групп на базе образовательных учреждений. </w:t>
      </w:r>
    </w:p>
    <w:p w:rsidR="006E0886" w:rsidRPr="00145E0F" w:rsidRDefault="006E0886" w:rsidP="00862ECD">
      <w:pPr>
        <w:pStyle w:val="aa"/>
        <w:spacing w:before="0" w:after="0" w:line="276" w:lineRule="auto"/>
        <w:ind w:firstLine="709"/>
        <w:jc w:val="both"/>
      </w:pPr>
      <w:r w:rsidRPr="00145E0F">
        <w:t>Следует отметить, что в связи с высокой рождаемостью, наблюдаемой в город</w:t>
      </w:r>
      <w:r w:rsidR="00DC2E8E">
        <w:t>ском округе</w:t>
      </w:r>
      <w:r w:rsidRPr="00145E0F">
        <w:t xml:space="preserve"> после 2000-х годов (пик рождаемости за последние 20 лет пришелся на 2012-2015 годы), темпы роста общего количества детей в возрасте 3-6 лет в городском округе Тольятти значительно опережа</w:t>
      </w:r>
      <w:r w:rsidR="00B9477E" w:rsidRPr="00145E0F">
        <w:t>ли</w:t>
      </w:r>
      <w:r w:rsidRPr="00145E0F">
        <w:t xml:space="preserve"> темпы увеличения количества мест в муниципальных дошкольных образовательных учреждениях (ДОУ). </w:t>
      </w:r>
    </w:p>
    <w:p w:rsidR="006E0886" w:rsidRPr="00145E0F" w:rsidRDefault="006E0886" w:rsidP="00862ECD">
      <w:pPr>
        <w:pStyle w:val="aa"/>
        <w:spacing w:before="0" w:after="0" w:line="276" w:lineRule="auto"/>
        <w:ind w:firstLine="709"/>
        <w:jc w:val="both"/>
      </w:pPr>
      <w:r w:rsidRPr="00145E0F">
        <w:t xml:space="preserve">Начиная с 2021 года, данная тенденция изменится: количество детей данной возрастной категории будет снижаться (за счет спада рождаемости с 2017 года), а обеспеченность дошкольными образовательными учреждениями в 2023 году может составить порядка 1117 </w:t>
      </w:r>
      <w:r w:rsidR="005929A3" w:rsidRPr="005929A3">
        <w:t xml:space="preserve">на 1000 детей в возрасте 3-6 лет </w:t>
      </w:r>
      <w:r w:rsidR="005929A3">
        <w:t xml:space="preserve">по консервативному варианту прогноза и </w:t>
      </w:r>
      <w:r w:rsidRPr="00145E0F">
        <w:t xml:space="preserve">1131 детей </w:t>
      </w:r>
      <w:r w:rsidR="005929A3">
        <w:t>по</w:t>
      </w:r>
      <w:r w:rsidRPr="00145E0F">
        <w:t xml:space="preserve"> базовому варианту прогноза.</w:t>
      </w:r>
    </w:p>
    <w:p w:rsidR="006E0886" w:rsidRPr="00145E0F" w:rsidRDefault="006E0886" w:rsidP="00862ECD">
      <w:pPr>
        <w:pStyle w:val="aa"/>
        <w:spacing w:before="0" w:after="0" w:line="276" w:lineRule="auto"/>
        <w:ind w:firstLine="709"/>
        <w:jc w:val="both"/>
      </w:pPr>
      <w:r w:rsidRPr="00145E0F">
        <w:t xml:space="preserve">Численность детей, состоящих на учете для определения в дошкольные образовательные учреждения, будет снижаться и к концу 2023 года составит 3,8 тыс. детей </w:t>
      </w:r>
      <w:r w:rsidR="005929A3">
        <w:t xml:space="preserve">по базовому варианту прогноза </w:t>
      </w:r>
      <w:r w:rsidRPr="00145E0F">
        <w:t xml:space="preserve">(снижение на 43,4% к 2020 году), за счет вновь создаваемых мест, а также за счет сокращения численности детей в </w:t>
      </w:r>
      <w:r w:rsidR="00862ECD">
        <w:t>городском округе Тольятти</w:t>
      </w:r>
      <w:r w:rsidRPr="00145E0F">
        <w:t xml:space="preserve"> (рождаемость, миграция).</w:t>
      </w:r>
    </w:p>
    <w:p w:rsidR="006E0886" w:rsidRPr="00145E0F" w:rsidRDefault="006E0886" w:rsidP="00862ECD">
      <w:pPr>
        <w:pStyle w:val="aa"/>
        <w:spacing w:before="0" w:after="0" w:line="276" w:lineRule="auto"/>
        <w:ind w:firstLine="709"/>
        <w:jc w:val="both"/>
      </w:pPr>
      <w:r w:rsidRPr="00145E0F">
        <w:t>В прогнозном периоде численность детей в возрасте 7-17 лет, напротив, будет расти и к 2023 году составит порядка 88,7 тыс. человек (</w:t>
      </w:r>
      <w:r w:rsidR="005929A3">
        <w:t xml:space="preserve">прирост </w:t>
      </w:r>
      <w:r w:rsidRPr="00145E0F">
        <w:t>на 7,5% относительно 2020</w:t>
      </w:r>
      <w:r w:rsidR="005929A3">
        <w:t xml:space="preserve"> </w:t>
      </w:r>
      <w:r w:rsidRPr="00145E0F">
        <w:t xml:space="preserve">года). Численность обучающихся в муниципальных бюджетных общеобразовательных организациях увеличится </w:t>
      </w:r>
      <w:r w:rsidR="005929A3">
        <w:t>к</w:t>
      </w:r>
      <w:r w:rsidRPr="00145E0F">
        <w:t xml:space="preserve"> 2023 году на 5,5% к уровню 2020 года и составит порядка 79,0 тыс. человек. Численность детей, обучающихся в первую смену будет незначительно увеличиваться, а во вторую смену – снижаться.</w:t>
      </w:r>
    </w:p>
    <w:p w:rsidR="006E0886" w:rsidRPr="00145E0F" w:rsidRDefault="006E0886" w:rsidP="00862ECD">
      <w:pPr>
        <w:pStyle w:val="aa"/>
        <w:spacing w:before="0" w:after="0" w:line="276" w:lineRule="auto"/>
        <w:ind w:firstLine="709"/>
        <w:jc w:val="both"/>
      </w:pPr>
      <w:r w:rsidRPr="00145E0F">
        <w:t>В 2020 году продолжена работа по реализации национальных проектов</w:t>
      </w:r>
      <w:r w:rsidR="005929A3">
        <w:t xml:space="preserve"> в сфере образования</w:t>
      </w:r>
      <w:r w:rsidRPr="00145E0F">
        <w:t>.</w:t>
      </w:r>
    </w:p>
    <w:p w:rsidR="006E0886" w:rsidRPr="00145E0F" w:rsidRDefault="006E0886" w:rsidP="00862ECD">
      <w:pPr>
        <w:pStyle w:val="aa"/>
        <w:spacing w:before="0" w:after="0" w:line="276" w:lineRule="auto"/>
        <w:ind w:firstLine="709"/>
        <w:jc w:val="both"/>
      </w:pPr>
      <w:r w:rsidRPr="00145E0F">
        <w:t>Руководствуясь постановлением Правительства Самарской области</w:t>
      </w:r>
      <w:r w:rsidR="00DC2E8E">
        <w:t xml:space="preserve"> от 02.11.2018 № </w:t>
      </w:r>
      <w:proofErr w:type="gramStart"/>
      <w:r w:rsidR="00DC2E8E">
        <w:t>635</w:t>
      </w:r>
      <w:r w:rsidRPr="00145E0F">
        <w:t>  «</w:t>
      </w:r>
      <w:proofErr w:type="gramEnd"/>
      <w:r w:rsidRPr="00145E0F">
        <w:t>Об общей координации реализации национальных и федеральных проектов и внесении изменений в отдельные постановления Правительства Самарской области» и другими нормативн</w:t>
      </w:r>
      <w:r w:rsidR="00DC2E8E">
        <w:t xml:space="preserve">ыми </w:t>
      </w:r>
      <w:r w:rsidRPr="00145E0F">
        <w:t xml:space="preserve">правовыми </w:t>
      </w:r>
      <w:r w:rsidR="00DC2E8E">
        <w:t>актами</w:t>
      </w:r>
      <w:r w:rsidRPr="00145E0F">
        <w:t xml:space="preserve"> различных уровней, в городском округе Тольятти по отрасли «Образование» реализуются  два национальных проекта «Образование» и «Демография».</w:t>
      </w:r>
    </w:p>
    <w:p w:rsidR="006E0886" w:rsidRPr="00145E0F" w:rsidRDefault="006E0886"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 xml:space="preserve"> Национальный проект «Образование» реализуется по 6-ти направлениям: «Современная школа», «Учитель будущего», «Успех каждого ребенка», «Социальная активность», «Цифровая образовательная среда», «Поддержка семей, имеющих детей». Национальный проект «Демография» реализуется по 3-м направлениям: «Содействие занятости женщин – создание условий дошкольного образования для детей в возрасте до трех лет», «Старшее поколение», «Финансовая поддержка семей при рождении детей».</w:t>
      </w:r>
    </w:p>
    <w:p w:rsidR="006E0886" w:rsidRPr="00145E0F" w:rsidRDefault="006E0886" w:rsidP="00862ECD">
      <w:pPr>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 xml:space="preserve">Финансовая составляющая региональных проектов по городскому округу </w:t>
      </w:r>
      <w:r w:rsidR="007A25C7" w:rsidRPr="00145E0F">
        <w:rPr>
          <w:rFonts w:ascii="Times New Roman" w:hAnsi="Times New Roman"/>
          <w:sz w:val="24"/>
          <w:szCs w:val="24"/>
          <w:lang w:eastAsia="ar-SA"/>
        </w:rPr>
        <w:t>Тольятти заложена</w:t>
      </w:r>
      <w:r w:rsidRPr="00145E0F">
        <w:rPr>
          <w:rFonts w:ascii="Times New Roman" w:hAnsi="Times New Roman"/>
          <w:sz w:val="24"/>
          <w:szCs w:val="24"/>
          <w:lang w:eastAsia="ar-SA"/>
        </w:rPr>
        <w:t xml:space="preserve"> в федеральных проектах «Современная школа» и «Цифровая образовательная среда» национального проекта «Образование», а также в национальном проекте «Демография» (в части, касающейся образования: строительство детских садов, создание дополнительных мест для детей дошкольного и ясельного возраста в действующих садах городского округа Тольятти).    </w:t>
      </w:r>
    </w:p>
    <w:p w:rsidR="006E0886" w:rsidRPr="00145E0F" w:rsidRDefault="006E0886" w:rsidP="00862ECD">
      <w:pPr>
        <w:shd w:val="clear" w:color="auto" w:fill="FFFFFF"/>
        <w:suppressAutoHyphens/>
        <w:spacing w:after="0"/>
        <w:ind w:firstLine="709"/>
        <w:jc w:val="both"/>
        <w:outlineLvl w:val="0"/>
        <w:rPr>
          <w:rFonts w:ascii="Times New Roman" w:hAnsi="Times New Roman"/>
          <w:sz w:val="24"/>
          <w:szCs w:val="24"/>
          <w:lang w:eastAsia="ar-SA"/>
        </w:rPr>
      </w:pPr>
      <w:r w:rsidRPr="00145E0F">
        <w:rPr>
          <w:rFonts w:ascii="Times New Roman" w:hAnsi="Times New Roman"/>
          <w:sz w:val="24"/>
          <w:szCs w:val="24"/>
          <w:lang w:eastAsia="ar-SA"/>
        </w:rPr>
        <w:t>Развитие  системы  общего образования осуществляется  в соответствии с постановлением Правительства Российской Федерации от 23.05.2015 №</w:t>
      </w:r>
      <w:r w:rsidR="00DC2E8E">
        <w:rPr>
          <w:rFonts w:ascii="Times New Roman" w:hAnsi="Times New Roman"/>
          <w:sz w:val="24"/>
          <w:szCs w:val="24"/>
          <w:lang w:eastAsia="ar-SA"/>
        </w:rPr>
        <w:t> </w:t>
      </w:r>
      <w:r w:rsidRPr="00145E0F">
        <w:rPr>
          <w:rFonts w:ascii="Times New Roman" w:hAnsi="Times New Roman"/>
          <w:sz w:val="24"/>
          <w:szCs w:val="24"/>
          <w:lang w:eastAsia="ar-SA"/>
        </w:rPr>
        <w:t>497 «О Федеральной целевой программе развития образования на 2016 - 2020 годы», распоряжениями Правительства Российской Федерации от 29.05.2015 № 996-р «Стратегия развития воспитания в Российской Федерации на период до 2025 года», от 25.08.2014 №</w:t>
      </w:r>
      <w:r w:rsidR="00DC2E8E">
        <w:rPr>
          <w:rFonts w:ascii="Times New Roman" w:hAnsi="Times New Roman"/>
          <w:sz w:val="24"/>
          <w:szCs w:val="24"/>
          <w:lang w:eastAsia="ar-SA"/>
        </w:rPr>
        <w:t> </w:t>
      </w:r>
      <w:r w:rsidRPr="00145E0F">
        <w:rPr>
          <w:rFonts w:ascii="Times New Roman" w:hAnsi="Times New Roman"/>
          <w:sz w:val="24"/>
          <w:szCs w:val="24"/>
          <w:lang w:eastAsia="ar-SA"/>
        </w:rPr>
        <w:t>1618-р «Об утверждении «Концепции государственной семейной политики в Российской Федерации на период до 2025 года»,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муниципальной программой «Развитие системы образования городского округа Тольятти на 2017 - 2020 гг.»  (утверждена постановлением мэрии городского округа Тольятти от 13.10.2016 № 3219-п/1).</w:t>
      </w:r>
    </w:p>
    <w:p w:rsidR="006E0886" w:rsidRPr="00145E0F" w:rsidRDefault="006E0886" w:rsidP="00862ECD">
      <w:pPr>
        <w:shd w:val="clear" w:color="auto" w:fill="FFFFFF"/>
        <w:suppressAutoHyphens/>
        <w:spacing w:after="0"/>
        <w:ind w:firstLine="709"/>
        <w:jc w:val="both"/>
        <w:outlineLvl w:val="0"/>
        <w:rPr>
          <w:rFonts w:ascii="Times New Roman" w:hAnsi="Times New Roman"/>
          <w:sz w:val="24"/>
          <w:szCs w:val="24"/>
          <w:lang w:eastAsia="ar-SA"/>
        </w:rPr>
      </w:pPr>
      <w:r w:rsidRPr="00145E0F">
        <w:rPr>
          <w:rFonts w:ascii="Times New Roman" w:hAnsi="Times New Roman"/>
          <w:sz w:val="24"/>
          <w:szCs w:val="24"/>
          <w:lang w:eastAsia="ar-SA"/>
        </w:rPr>
        <w:t xml:space="preserve">Основные направления деятельности в сфере организации предоставления общедоступного и бесплатного дошкольного образования: </w:t>
      </w:r>
    </w:p>
    <w:p w:rsidR="006E0886" w:rsidRPr="00145E0F" w:rsidRDefault="006E0886" w:rsidP="00862ECD">
      <w:pPr>
        <w:numPr>
          <w:ilvl w:val="0"/>
          <w:numId w:val="16"/>
        </w:numPr>
        <w:tabs>
          <w:tab w:val="left" w:pos="993"/>
        </w:tabs>
        <w:suppressAutoHyphens/>
        <w:spacing w:after="0"/>
        <w:ind w:left="0" w:firstLine="709"/>
        <w:jc w:val="both"/>
        <w:rPr>
          <w:rFonts w:ascii="Times New Roman" w:hAnsi="Times New Roman"/>
          <w:sz w:val="24"/>
          <w:szCs w:val="24"/>
          <w:lang w:eastAsia="ar-SA"/>
        </w:rPr>
      </w:pPr>
      <w:r w:rsidRPr="00145E0F">
        <w:rPr>
          <w:rFonts w:ascii="Times New Roman" w:hAnsi="Times New Roman"/>
          <w:sz w:val="24"/>
          <w:szCs w:val="24"/>
          <w:lang w:eastAsia="ar-SA"/>
        </w:rPr>
        <w:t>Повышение качества и доступности дошкольного образования для каждого ребенка.</w:t>
      </w:r>
    </w:p>
    <w:p w:rsidR="006E0886" w:rsidRPr="00145E0F" w:rsidRDefault="006E0886" w:rsidP="00862ECD">
      <w:pPr>
        <w:suppressAutoHyphens/>
        <w:spacing w:after="0"/>
        <w:ind w:firstLine="709"/>
        <w:jc w:val="both"/>
        <w:rPr>
          <w:rFonts w:ascii="Times New Roman" w:hAnsi="Times New Roman"/>
          <w:sz w:val="24"/>
          <w:szCs w:val="24"/>
          <w:lang w:eastAsia="ar-SA"/>
        </w:rPr>
      </w:pPr>
      <w:r w:rsidRPr="00145E0F">
        <w:rPr>
          <w:rFonts w:ascii="Times New Roman" w:hAnsi="Times New Roman"/>
          <w:sz w:val="24"/>
          <w:szCs w:val="24"/>
          <w:lang w:eastAsia="ar-SA"/>
        </w:rPr>
        <w:t xml:space="preserve"> В период до 2021 года необходимо обеспечить в городском округе Тольятти доступность дошкольного образования для детей в возрасте от 1,5 до 3-х лет до 100%. Таким образом, потребуются дополнительные места в детских садах для детей раннего возраста.</w:t>
      </w:r>
    </w:p>
    <w:p w:rsidR="006E0886" w:rsidRPr="00145E0F" w:rsidRDefault="006E0886" w:rsidP="00862ECD">
      <w:pPr>
        <w:pStyle w:val="22"/>
        <w:spacing w:after="0" w:line="276" w:lineRule="auto"/>
        <w:ind w:firstLine="709"/>
        <w:jc w:val="both"/>
        <w:rPr>
          <w:sz w:val="24"/>
          <w:szCs w:val="24"/>
        </w:rPr>
      </w:pPr>
      <w:r w:rsidRPr="00145E0F">
        <w:rPr>
          <w:sz w:val="24"/>
          <w:szCs w:val="24"/>
        </w:rPr>
        <w:t>Остается актуальной проблема отдельных территорий городского округа Тольятти по обеспечению местами детей в детских садах (кварталы-новостройки и приближенные к ним кварталы).</w:t>
      </w:r>
    </w:p>
    <w:p w:rsidR="00644600" w:rsidRPr="00145E0F" w:rsidRDefault="006E0886" w:rsidP="00862ECD">
      <w:pPr>
        <w:spacing w:after="0"/>
        <w:ind w:firstLine="709"/>
        <w:jc w:val="both"/>
        <w:rPr>
          <w:rFonts w:ascii="Times New Roman" w:hAnsi="Times New Roman"/>
          <w:sz w:val="24"/>
          <w:szCs w:val="24"/>
        </w:rPr>
      </w:pPr>
      <w:r w:rsidRPr="00145E0F">
        <w:rPr>
          <w:rFonts w:ascii="Times New Roman" w:hAnsi="Times New Roman"/>
          <w:sz w:val="24"/>
          <w:szCs w:val="24"/>
        </w:rPr>
        <w:t>Согласно плану основных мероприятий по подготовке и проведению празднования 50-летия первого легкового автомобиля ВАЗ в городском округе Тольятти предусмотрено строительство 2-х школ в Автозаводском районе Тольятти: на 1600 мест (20 квартал) и на 630 мест (18 квартал).</w:t>
      </w:r>
    </w:p>
    <w:p w:rsidR="00157FC7" w:rsidRDefault="006E0886"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На данный момент </w:t>
      </w:r>
      <w:r w:rsidRPr="00145E0F">
        <w:rPr>
          <w:rFonts w:ascii="Times New Roman" w:hAnsi="Times New Roman"/>
          <w:bCs/>
          <w:sz w:val="24"/>
          <w:szCs w:val="24"/>
        </w:rPr>
        <w:t xml:space="preserve">получено положительное заключение проектно-сметной документации и </w:t>
      </w:r>
      <w:r w:rsidRPr="00145E0F">
        <w:rPr>
          <w:rFonts w:ascii="Times New Roman" w:hAnsi="Times New Roman"/>
          <w:sz w:val="24"/>
          <w:szCs w:val="24"/>
        </w:rPr>
        <w:t>определено место под строительство общеобразовательной школы на 1600 мест, расположенной в 20 квартале Автозаводского района. В 2020 году планируется начать 1 этап строительства на сумму 381 415, 720 тыс. рублей (37 6415,7 тыс. рублей - средства областного бюджета, 4 892,4 тыс. рублей - средства бюджета</w:t>
      </w:r>
      <w:r w:rsidR="00157FC7" w:rsidRPr="00157FC7">
        <w:rPr>
          <w:rFonts w:ascii="Times New Roman" w:hAnsi="Times New Roman"/>
          <w:sz w:val="24"/>
          <w:szCs w:val="24"/>
        </w:rPr>
        <w:t xml:space="preserve"> </w:t>
      </w:r>
      <w:r w:rsidR="00157FC7" w:rsidRPr="00145E0F">
        <w:rPr>
          <w:rFonts w:ascii="Times New Roman" w:hAnsi="Times New Roman"/>
          <w:sz w:val="24"/>
          <w:szCs w:val="24"/>
        </w:rPr>
        <w:t>городского</w:t>
      </w:r>
      <w:r w:rsidR="00157FC7">
        <w:rPr>
          <w:rFonts w:ascii="Times New Roman" w:hAnsi="Times New Roman"/>
          <w:sz w:val="24"/>
          <w:szCs w:val="24"/>
        </w:rPr>
        <w:t xml:space="preserve"> округа</w:t>
      </w:r>
      <w:r w:rsidR="00862ECD">
        <w:rPr>
          <w:rFonts w:ascii="Times New Roman" w:hAnsi="Times New Roman"/>
          <w:sz w:val="24"/>
          <w:szCs w:val="24"/>
        </w:rPr>
        <w:t xml:space="preserve"> Тольятти</w:t>
      </w:r>
      <w:r w:rsidRPr="00145E0F">
        <w:rPr>
          <w:rFonts w:ascii="Times New Roman" w:hAnsi="Times New Roman"/>
          <w:sz w:val="24"/>
          <w:szCs w:val="24"/>
        </w:rPr>
        <w:t xml:space="preserve">). Особо важным моментом для выбора данного типового проекта была возможность наличия бассейна, дополнительных помещений для организации внеурочной и спортивной работы в соответствии с требованиями </w:t>
      </w:r>
      <w:r w:rsidR="00157FC7" w:rsidRPr="00157FC7">
        <w:rPr>
          <w:rFonts w:ascii="Times New Roman" w:hAnsi="Times New Roman"/>
          <w:sz w:val="24"/>
          <w:szCs w:val="24"/>
        </w:rPr>
        <w:t>федерального государственного образовательного стандарта дошкольного образования</w:t>
      </w:r>
      <w:r w:rsidR="00157FC7">
        <w:rPr>
          <w:rFonts w:ascii="Times New Roman" w:hAnsi="Times New Roman"/>
          <w:sz w:val="24"/>
          <w:szCs w:val="24"/>
        </w:rPr>
        <w:t>.</w:t>
      </w:r>
      <w:r w:rsidR="00157FC7" w:rsidRPr="00157FC7">
        <w:rPr>
          <w:rFonts w:ascii="Times New Roman" w:hAnsi="Times New Roman"/>
          <w:sz w:val="24"/>
          <w:szCs w:val="24"/>
        </w:rPr>
        <w:t xml:space="preserve"> </w:t>
      </w:r>
    </w:p>
    <w:p w:rsidR="006E0886" w:rsidRPr="00145E0F" w:rsidRDefault="006E0886" w:rsidP="00862ECD">
      <w:pPr>
        <w:spacing w:after="0"/>
        <w:ind w:firstLine="709"/>
        <w:jc w:val="both"/>
        <w:rPr>
          <w:rFonts w:ascii="Times New Roman" w:hAnsi="Times New Roman"/>
          <w:sz w:val="24"/>
          <w:szCs w:val="24"/>
        </w:rPr>
      </w:pPr>
      <w:r w:rsidRPr="00145E0F">
        <w:rPr>
          <w:rFonts w:ascii="Times New Roman" w:hAnsi="Times New Roman"/>
          <w:sz w:val="24"/>
          <w:szCs w:val="24"/>
        </w:rPr>
        <w:t>Также определено место под строительство школы на 630 мест, расположенной в 18 квартале Автозаводского района. Проектно-сметная документация на данный объект проходит процедуру государственной экспертизы.</w:t>
      </w:r>
    </w:p>
    <w:p w:rsidR="006E0886" w:rsidRPr="00145E0F" w:rsidRDefault="006E0886" w:rsidP="00862ECD">
      <w:pPr>
        <w:spacing w:after="0"/>
        <w:ind w:firstLine="709"/>
        <w:contextualSpacing/>
        <w:jc w:val="both"/>
        <w:rPr>
          <w:rFonts w:ascii="Times New Roman" w:hAnsi="Times New Roman"/>
          <w:bCs/>
          <w:snapToGrid w:val="0"/>
          <w:color w:val="000000"/>
          <w:sz w:val="24"/>
          <w:szCs w:val="24"/>
        </w:rPr>
      </w:pPr>
      <w:r w:rsidRPr="00145E0F">
        <w:rPr>
          <w:rFonts w:ascii="Times New Roman" w:hAnsi="Times New Roman"/>
          <w:bCs/>
          <w:snapToGrid w:val="0"/>
          <w:color w:val="000000"/>
          <w:sz w:val="24"/>
          <w:szCs w:val="24"/>
        </w:rPr>
        <w:t xml:space="preserve">Ведутся работы по проектированию детского сада мкр. «Северный» на 350 мест (планируемый срок получения заключения государственной экспертизы по проектно – сметной документации до 01.09.2020) и детского сада ЛДС-2 в составе 2 этапа в </w:t>
      </w:r>
      <w:proofErr w:type="gramStart"/>
      <w:r w:rsidRPr="00145E0F">
        <w:rPr>
          <w:rFonts w:ascii="Times New Roman" w:hAnsi="Times New Roman"/>
          <w:bCs/>
          <w:snapToGrid w:val="0"/>
          <w:color w:val="000000"/>
          <w:sz w:val="24"/>
          <w:szCs w:val="24"/>
        </w:rPr>
        <w:t>14</w:t>
      </w:r>
      <w:proofErr w:type="gramEnd"/>
      <w:r w:rsidRPr="00145E0F">
        <w:rPr>
          <w:rFonts w:ascii="Times New Roman" w:hAnsi="Times New Roman"/>
          <w:bCs/>
          <w:snapToGrid w:val="0"/>
          <w:color w:val="000000"/>
          <w:sz w:val="24"/>
          <w:szCs w:val="24"/>
        </w:rPr>
        <w:t xml:space="preserve"> а квартале Автозаводского района (планируемый срок получения заключения государственной экспертизы по проектно – сметной документации ноябрь – декабрь 2020 г.). Строительство будет осуществляться в 2021-2022 </w:t>
      </w:r>
      <w:r w:rsidR="005929A3">
        <w:rPr>
          <w:rFonts w:ascii="Times New Roman" w:hAnsi="Times New Roman"/>
          <w:bCs/>
          <w:snapToGrid w:val="0"/>
          <w:color w:val="000000"/>
          <w:sz w:val="24"/>
          <w:szCs w:val="24"/>
        </w:rPr>
        <w:t>годах</w:t>
      </w:r>
      <w:r w:rsidRPr="00145E0F">
        <w:rPr>
          <w:rFonts w:ascii="Times New Roman" w:hAnsi="Times New Roman"/>
          <w:bCs/>
          <w:snapToGrid w:val="0"/>
          <w:color w:val="000000"/>
          <w:sz w:val="24"/>
          <w:szCs w:val="24"/>
        </w:rPr>
        <w:t>.</w:t>
      </w:r>
    </w:p>
    <w:p w:rsidR="006E0886" w:rsidRPr="00145E0F" w:rsidRDefault="006E0886" w:rsidP="00862ECD">
      <w:pPr>
        <w:pStyle w:val="Default"/>
        <w:numPr>
          <w:ilvl w:val="0"/>
          <w:numId w:val="16"/>
        </w:numPr>
        <w:tabs>
          <w:tab w:val="left" w:pos="993"/>
        </w:tabs>
        <w:suppressAutoHyphens/>
        <w:spacing w:line="276" w:lineRule="auto"/>
        <w:ind w:left="0" w:firstLine="709"/>
        <w:jc w:val="both"/>
        <w:rPr>
          <w:color w:val="auto"/>
          <w:lang w:eastAsia="ar-SA"/>
        </w:rPr>
      </w:pPr>
      <w:r w:rsidRPr="00145E0F">
        <w:rPr>
          <w:color w:val="auto"/>
          <w:lang w:eastAsia="ar-SA"/>
        </w:rPr>
        <w:t>Обеспечение стабильного функционирования образовательных учреждений.</w:t>
      </w:r>
    </w:p>
    <w:p w:rsidR="006E0886" w:rsidRPr="00145E0F" w:rsidRDefault="006E0886" w:rsidP="00862ECD">
      <w:pPr>
        <w:pStyle w:val="Default"/>
        <w:numPr>
          <w:ilvl w:val="0"/>
          <w:numId w:val="16"/>
        </w:numPr>
        <w:tabs>
          <w:tab w:val="left" w:pos="993"/>
        </w:tabs>
        <w:suppressAutoHyphens/>
        <w:spacing w:line="276" w:lineRule="auto"/>
        <w:ind w:left="0" w:firstLine="709"/>
        <w:jc w:val="both"/>
        <w:rPr>
          <w:color w:val="auto"/>
          <w:lang w:eastAsia="ar-SA"/>
        </w:rPr>
      </w:pPr>
      <w:r w:rsidRPr="00145E0F">
        <w:rPr>
          <w:color w:val="auto"/>
          <w:lang w:eastAsia="ar-SA"/>
        </w:rPr>
        <w:t>Поэтапное обновление содержания образования, реализация федерального государственного образовательного стандарта дошкольного образования.</w:t>
      </w:r>
    </w:p>
    <w:p w:rsidR="006E0886" w:rsidRPr="00145E0F" w:rsidRDefault="006E0886" w:rsidP="00862ECD">
      <w:pPr>
        <w:pStyle w:val="Default"/>
        <w:tabs>
          <w:tab w:val="left" w:pos="993"/>
        </w:tabs>
        <w:suppressAutoHyphens/>
        <w:spacing w:line="276" w:lineRule="auto"/>
        <w:ind w:firstLine="709"/>
        <w:jc w:val="both"/>
        <w:rPr>
          <w:color w:val="auto"/>
          <w:lang w:eastAsia="ar-SA"/>
        </w:rPr>
      </w:pPr>
      <w:r w:rsidRPr="00145E0F">
        <w:rPr>
          <w:color w:val="auto"/>
          <w:lang w:eastAsia="ar-SA"/>
        </w:rPr>
        <w:t>В ближайшие три года деятельность дошкольных образовательных учреждений городского округа Тольятти будет направлена на оптимальное использование всех имеющихся ресурсов, современных технологий, на открытость и тесное взаимодействие с другими социальными институтами, помогающими им решать образовательные задачи.</w:t>
      </w:r>
    </w:p>
    <w:p w:rsidR="006E0886" w:rsidRPr="00145E0F" w:rsidRDefault="006E0886" w:rsidP="00862ECD">
      <w:pPr>
        <w:pStyle w:val="Default"/>
        <w:numPr>
          <w:ilvl w:val="0"/>
          <w:numId w:val="16"/>
        </w:numPr>
        <w:tabs>
          <w:tab w:val="left" w:pos="0"/>
          <w:tab w:val="left" w:pos="993"/>
        </w:tabs>
        <w:suppressAutoHyphens/>
        <w:spacing w:line="276" w:lineRule="auto"/>
        <w:ind w:left="0" w:firstLine="709"/>
        <w:jc w:val="both"/>
        <w:rPr>
          <w:color w:val="auto"/>
          <w:lang w:eastAsia="ar-SA"/>
        </w:rPr>
      </w:pPr>
      <w:r w:rsidRPr="00145E0F">
        <w:rPr>
          <w:color w:val="auto"/>
          <w:lang w:eastAsia="ar-SA"/>
        </w:rPr>
        <w:t>Развитие системы инклюзивного образования, создание в подведомственных учреждениях «доступной среды» для детей с ограниченными возможностями здоровья.</w:t>
      </w:r>
    </w:p>
    <w:p w:rsidR="006E0886" w:rsidRPr="00145E0F" w:rsidRDefault="006E0886" w:rsidP="00862ECD">
      <w:pPr>
        <w:pStyle w:val="Default"/>
        <w:tabs>
          <w:tab w:val="left" w:pos="0"/>
        </w:tabs>
        <w:suppressAutoHyphens/>
        <w:spacing w:line="276" w:lineRule="auto"/>
        <w:ind w:firstLine="709"/>
        <w:jc w:val="both"/>
        <w:rPr>
          <w:color w:val="auto"/>
          <w:lang w:eastAsia="ar-SA"/>
        </w:rPr>
      </w:pPr>
      <w:r w:rsidRPr="00145E0F">
        <w:rPr>
          <w:color w:val="auto"/>
          <w:lang w:eastAsia="ar-SA"/>
        </w:rPr>
        <w:t>Необходимым условием развития инклюзивного процесса будет создание образовательного пространства, соответствующего различным потребностям всех детей. Педагоги делают и будут делать все возможное, чтобы дети с ограниченными возможностями здоровья не чувствовали себя «не такими, как все».</w:t>
      </w:r>
    </w:p>
    <w:p w:rsidR="006E0886" w:rsidRPr="00145E0F" w:rsidRDefault="006E0886" w:rsidP="00862ECD">
      <w:pPr>
        <w:pStyle w:val="Default"/>
        <w:numPr>
          <w:ilvl w:val="0"/>
          <w:numId w:val="16"/>
        </w:numPr>
        <w:tabs>
          <w:tab w:val="left" w:pos="0"/>
          <w:tab w:val="left" w:pos="993"/>
        </w:tabs>
        <w:suppressAutoHyphens/>
        <w:spacing w:line="276" w:lineRule="auto"/>
        <w:ind w:left="0" w:firstLine="709"/>
        <w:jc w:val="both"/>
        <w:rPr>
          <w:color w:val="auto"/>
        </w:rPr>
      </w:pPr>
      <w:r w:rsidRPr="00145E0F">
        <w:rPr>
          <w:color w:val="auto"/>
          <w:lang w:eastAsia="ar-SA"/>
        </w:rPr>
        <w:t>Приведение условий в соотве</w:t>
      </w:r>
      <w:r w:rsidRPr="00145E0F">
        <w:rPr>
          <w:color w:val="auto"/>
        </w:rPr>
        <w:t>тствие с требованиями надзорных органов, устранение замечаний и требований предписаниям и судебным решениям.</w:t>
      </w:r>
    </w:p>
    <w:p w:rsidR="006E0886" w:rsidRPr="00145E0F" w:rsidRDefault="006E0886" w:rsidP="00862ECD">
      <w:pPr>
        <w:pStyle w:val="Default"/>
        <w:numPr>
          <w:ilvl w:val="0"/>
          <w:numId w:val="16"/>
        </w:numPr>
        <w:tabs>
          <w:tab w:val="left" w:pos="0"/>
          <w:tab w:val="left" w:pos="993"/>
        </w:tabs>
        <w:suppressAutoHyphens/>
        <w:spacing w:line="276" w:lineRule="auto"/>
        <w:ind w:left="0" w:firstLine="709"/>
        <w:jc w:val="both"/>
        <w:rPr>
          <w:color w:val="auto"/>
        </w:rPr>
      </w:pPr>
      <w:r w:rsidRPr="00145E0F">
        <w:rPr>
          <w:color w:val="auto"/>
        </w:rPr>
        <w:t xml:space="preserve"> Укрепление материально-технической базы учреждений, в том числе </w:t>
      </w:r>
      <w:r w:rsidRPr="00145E0F">
        <w:rPr>
          <w:color w:val="auto"/>
          <w:shd w:val="clear" w:color="auto" w:fill="FFFFFF"/>
        </w:rPr>
        <w:t>развитию в них необходимой развивающей предметно-пространственной среды, обеспечивающей реализацию различных образовательных программ дошкольного образования.</w:t>
      </w:r>
    </w:p>
    <w:p w:rsidR="006E0886" w:rsidRPr="00145E0F" w:rsidRDefault="006E0886" w:rsidP="00862ECD">
      <w:pPr>
        <w:tabs>
          <w:tab w:val="left" w:pos="360"/>
        </w:tabs>
        <w:suppressAutoHyphens/>
        <w:spacing w:after="0"/>
        <w:ind w:firstLine="709"/>
        <w:jc w:val="both"/>
        <w:rPr>
          <w:rFonts w:ascii="Times New Roman" w:hAnsi="Times New Roman"/>
          <w:bCs/>
          <w:sz w:val="24"/>
          <w:szCs w:val="24"/>
        </w:rPr>
      </w:pPr>
      <w:r w:rsidRPr="00145E0F">
        <w:rPr>
          <w:rFonts w:ascii="Times New Roman" w:hAnsi="Times New Roman"/>
          <w:bCs/>
          <w:sz w:val="24"/>
          <w:szCs w:val="24"/>
        </w:rPr>
        <w:t xml:space="preserve">Система дополнительного образования, созданная на территории городского округа Тольятти, обеспечивает многообразие видов деятельности. </w:t>
      </w:r>
    </w:p>
    <w:p w:rsidR="006E0886" w:rsidRPr="00145E0F" w:rsidRDefault="006E0886" w:rsidP="00862ECD">
      <w:pPr>
        <w:shd w:val="clear" w:color="auto" w:fill="FFFFFF"/>
        <w:suppressAutoHyphens/>
        <w:spacing w:after="0"/>
        <w:ind w:firstLine="709"/>
        <w:jc w:val="both"/>
        <w:rPr>
          <w:rFonts w:ascii="Times New Roman" w:hAnsi="Times New Roman"/>
          <w:bCs/>
          <w:sz w:val="24"/>
          <w:szCs w:val="24"/>
        </w:rPr>
      </w:pPr>
      <w:r w:rsidRPr="00145E0F">
        <w:rPr>
          <w:rFonts w:ascii="Times New Roman" w:hAnsi="Times New Roman"/>
          <w:bCs/>
          <w:sz w:val="24"/>
          <w:szCs w:val="24"/>
        </w:rPr>
        <w:t xml:space="preserve">При этом отмечается необходимость продолжения работы по увеличению охвата детей, занятых в системе дополнительного образования по программам технического творчества, естественнонаучной направленности. </w:t>
      </w:r>
    </w:p>
    <w:p w:rsidR="006E0886" w:rsidRPr="00145E0F" w:rsidRDefault="006E0886" w:rsidP="00862ECD">
      <w:pPr>
        <w:shd w:val="clear" w:color="auto" w:fill="FFFFFF"/>
        <w:suppressAutoHyphens/>
        <w:spacing w:after="0"/>
        <w:ind w:firstLine="709"/>
        <w:jc w:val="both"/>
        <w:rPr>
          <w:rFonts w:ascii="Times New Roman" w:hAnsi="Times New Roman"/>
          <w:sz w:val="24"/>
          <w:szCs w:val="24"/>
        </w:rPr>
      </w:pPr>
      <w:r w:rsidRPr="00145E0F">
        <w:rPr>
          <w:rFonts w:ascii="Times New Roman" w:hAnsi="Times New Roman"/>
          <w:sz w:val="24"/>
          <w:szCs w:val="24"/>
        </w:rPr>
        <w:t xml:space="preserve">Развитие технического потенциала подрастающего поколения - одна из стратегических задач развития городского округа Тольятти и Самарской области. </w:t>
      </w:r>
    </w:p>
    <w:p w:rsidR="006E0886" w:rsidRPr="00145E0F" w:rsidRDefault="006E0886" w:rsidP="00862ECD">
      <w:pPr>
        <w:tabs>
          <w:tab w:val="left" w:pos="426"/>
        </w:tabs>
        <w:spacing w:after="0"/>
        <w:ind w:firstLine="709"/>
        <w:jc w:val="both"/>
        <w:rPr>
          <w:rFonts w:ascii="Times New Roman" w:hAnsi="Times New Roman"/>
          <w:sz w:val="24"/>
          <w:szCs w:val="24"/>
        </w:rPr>
      </w:pPr>
      <w:r w:rsidRPr="00145E0F">
        <w:rPr>
          <w:rFonts w:ascii="Times New Roman" w:hAnsi="Times New Roman"/>
          <w:sz w:val="24"/>
          <w:szCs w:val="24"/>
        </w:rPr>
        <w:t xml:space="preserve">В рамках составляющей национального проекта «Успех каждого ребенка», в целях увеличения к 2024 году, доли детей в возрасте от 5 до 18 лет, охваченных дополнительным образованием, на территории городского </w:t>
      </w:r>
      <w:r w:rsidR="00AC0D52">
        <w:rPr>
          <w:rFonts w:ascii="Times New Roman" w:hAnsi="Times New Roman"/>
          <w:sz w:val="24"/>
          <w:szCs w:val="24"/>
        </w:rPr>
        <w:t>округа Тольятти</w:t>
      </w:r>
      <w:r w:rsidRPr="00145E0F">
        <w:rPr>
          <w:rFonts w:ascii="Times New Roman" w:hAnsi="Times New Roman"/>
          <w:sz w:val="24"/>
          <w:szCs w:val="24"/>
        </w:rPr>
        <w:t xml:space="preserve"> создан детский технопарк «Кванториум», осуществлять подготовку будущих кадров для территории опережающего развития и национального центра инжиниринга в городском округе Тольятти на качественно ином уровне.</w:t>
      </w:r>
    </w:p>
    <w:p w:rsidR="006E0886" w:rsidRPr="00145E0F" w:rsidRDefault="006E0886" w:rsidP="00862ECD">
      <w:pPr>
        <w:tabs>
          <w:tab w:val="left" w:pos="426"/>
        </w:tabs>
        <w:spacing w:after="0"/>
        <w:ind w:firstLine="709"/>
        <w:jc w:val="both"/>
        <w:rPr>
          <w:rFonts w:ascii="Times New Roman" w:hAnsi="Times New Roman"/>
          <w:sz w:val="24"/>
          <w:szCs w:val="24"/>
        </w:rPr>
      </w:pPr>
      <w:r w:rsidRPr="00145E0F">
        <w:rPr>
          <w:rFonts w:ascii="Times New Roman" w:eastAsia="Calibri" w:hAnsi="Times New Roman"/>
          <w:sz w:val="24"/>
          <w:szCs w:val="24"/>
        </w:rPr>
        <w:t>В настоящее время 1 000 детей обучаются в д</w:t>
      </w:r>
      <w:r w:rsidR="004D0678" w:rsidRPr="00145E0F">
        <w:rPr>
          <w:rFonts w:ascii="Times New Roman" w:eastAsia="Calibri" w:hAnsi="Times New Roman"/>
          <w:sz w:val="24"/>
          <w:szCs w:val="24"/>
        </w:rPr>
        <w:t xml:space="preserve">етском технопарке «Кванториум», </w:t>
      </w:r>
      <w:r w:rsidRPr="00145E0F">
        <w:rPr>
          <w:rFonts w:ascii="Times New Roman" w:hAnsi="Times New Roman"/>
          <w:sz w:val="24"/>
          <w:szCs w:val="24"/>
        </w:rPr>
        <w:t xml:space="preserve">к 2022 году планируется охватить до 2 500 школьников. </w:t>
      </w:r>
    </w:p>
    <w:p w:rsidR="006E0886" w:rsidRPr="00145E0F" w:rsidRDefault="00171062" w:rsidP="00862ECD">
      <w:pPr>
        <w:tabs>
          <w:tab w:val="left" w:pos="993"/>
        </w:tabs>
        <w:snapToGrid w:val="0"/>
        <w:spacing w:after="0"/>
        <w:ind w:firstLine="709"/>
        <w:jc w:val="both"/>
        <w:rPr>
          <w:rFonts w:ascii="Times New Roman" w:hAnsi="Times New Roman"/>
          <w:sz w:val="24"/>
          <w:szCs w:val="24"/>
        </w:rPr>
      </w:pPr>
      <w:r w:rsidRPr="00145E0F">
        <w:rPr>
          <w:rFonts w:ascii="Times New Roman" w:hAnsi="Times New Roman"/>
          <w:sz w:val="24"/>
          <w:szCs w:val="24"/>
        </w:rPr>
        <w:t>Сводный п</w:t>
      </w:r>
      <w:r w:rsidR="006E0886" w:rsidRPr="00145E0F">
        <w:rPr>
          <w:rFonts w:ascii="Times New Roman" w:hAnsi="Times New Roman"/>
          <w:sz w:val="24"/>
          <w:szCs w:val="24"/>
        </w:rPr>
        <w:t xml:space="preserve">оказатель охвата дополнительным образованием детей в прогнозном периоде будет снижаться </w:t>
      </w:r>
      <w:r w:rsidR="005929A3">
        <w:rPr>
          <w:rFonts w:ascii="Times New Roman" w:hAnsi="Times New Roman"/>
          <w:sz w:val="24"/>
          <w:szCs w:val="24"/>
        </w:rPr>
        <w:t>и по базовому варианту прогноза составит</w:t>
      </w:r>
      <w:r w:rsidR="006E0886" w:rsidRPr="00145E0F">
        <w:rPr>
          <w:rFonts w:ascii="Times New Roman" w:hAnsi="Times New Roman"/>
          <w:sz w:val="24"/>
          <w:szCs w:val="24"/>
        </w:rPr>
        <w:t xml:space="preserve"> 79,5% в связи с тем, что количество детей в возрасте 5-18 лет в городском округе Тольятти (знаменатель) будет расти более высокими темпами (порядка 4,9%), чем количество мест в учреждениях дополнительного образования (рост на 2,4%).</w:t>
      </w:r>
    </w:p>
    <w:p w:rsidR="00171062" w:rsidRPr="00145E0F" w:rsidRDefault="004B4F9A" w:rsidP="00862ECD">
      <w:pPr>
        <w:spacing w:after="0"/>
        <w:ind w:firstLine="709"/>
        <w:jc w:val="both"/>
        <w:rPr>
          <w:rFonts w:ascii="Times New Roman" w:hAnsi="Times New Roman"/>
          <w:sz w:val="24"/>
          <w:szCs w:val="24"/>
        </w:rPr>
      </w:pPr>
      <w:r w:rsidRPr="00145E0F">
        <w:rPr>
          <w:rFonts w:ascii="Times New Roman" w:hAnsi="Times New Roman"/>
          <w:sz w:val="24"/>
          <w:szCs w:val="24"/>
        </w:rPr>
        <w:t>Следует отметить, что</w:t>
      </w:r>
      <w:r w:rsidR="00171062" w:rsidRPr="00145E0F">
        <w:rPr>
          <w:rFonts w:ascii="Times New Roman" w:hAnsi="Times New Roman"/>
          <w:sz w:val="24"/>
          <w:szCs w:val="24"/>
        </w:rPr>
        <w:t xml:space="preserve"> показатель охвата дополнительным образованием детей в возрасте от 5 до 18 лет включает численность детей по учреждениям отраслей «Образование», «Культура» и «Физкультура».</w:t>
      </w:r>
      <w:r w:rsidR="00171062" w:rsidRPr="00145E0F">
        <w:rPr>
          <w:rFonts w:ascii="Times New Roman" w:hAnsi="Times New Roman"/>
          <w:iCs/>
          <w:sz w:val="24"/>
          <w:szCs w:val="24"/>
        </w:rPr>
        <w:t xml:space="preserve"> С 01.04.2020 муниципальные бюджетные учреждения дополнительного образования (комплексные) специализированные детско-юношеские спортивные школы олимпийского резерва, находящиеся в ведомственном подчинении Управления физической культуры и спорта администрации переведены в организации спортивной подготовки – муниципальные бюджетные учреждения спортивные школы (олимпийского резерва) и не являются учреждениями дополнительного образования, но при этом </w:t>
      </w:r>
      <w:r w:rsidRPr="00145E0F">
        <w:rPr>
          <w:rFonts w:ascii="Times New Roman" w:hAnsi="Times New Roman"/>
          <w:iCs/>
          <w:sz w:val="24"/>
          <w:szCs w:val="24"/>
        </w:rPr>
        <w:t xml:space="preserve">не исключены из расчета показателя </w:t>
      </w:r>
      <w:r w:rsidR="00171062" w:rsidRPr="00145E0F">
        <w:rPr>
          <w:rFonts w:ascii="Times New Roman" w:hAnsi="Times New Roman"/>
          <w:sz w:val="24"/>
          <w:szCs w:val="24"/>
        </w:rPr>
        <w:t xml:space="preserve">в соответствии с действующей </w:t>
      </w:r>
      <w:r w:rsidR="00157FC7">
        <w:rPr>
          <w:rFonts w:ascii="Times New Roman" w:hAnsi="Times New Roman"/>
          <w:sz w:val="24"/>
          <w:szCs w:val="24"/>
        </w:rPr>
        <w:t>м</w:t>
      </w:r>
      <w:r w:rsidR="00171062" w:rsidRPr="00145E0F">
        <w:rPr>
          <w:rFonts w:ascii="Times New Roman" w:hAnsi="Times New Roman"/>
          <w:sz w:val="24"/>
          <w:szCs w:val="24"/>
        </w:rPr>
        <w:t>етодикой расчета</w:t>
      </w:r>
      <w:r w:rsidRPr="00145E0F">
        <w:rPr>
          <w:rFonts w:ascii="Times New Roman" w:hAnsi="Times New Roman"/>
          <w:sz w:val="24"/>
          <w:szCs w:val="24"/>
        </w:rPr>
        <w:t xml:space="preserve"> и наиболее полного учета</w:t>
      </w:r>
      <w:r w:rsidR="00171062" w:rsidRPr="00145E0F">
        <w:rPr>
          <w:rFonts w:ascii="Times New Roman" w:hAnsi="Times New Roman"/>
          <w:sz w:val="24"/>
          <w:szCs w:val="24"/>
        </w:rPr>
        <w:t>.</w:t>
      </w:r>
    </w:p>
    <w:p w:rsidR="006E0886" w:rsidRPr="00145E0F" w:rsidRDefault="006E0886" w:rsidP="005929A3">
      <w:pPr>
        <w:spacing w:before="120" w:after="0"/>
        <w:ind w:firstLine="709"/>
        <w:jc w:val="both"/>
        <w:rPr>
          <w:rFonts w:ascii="Times New Roman" w:hAnsi="Times New Roman"/>
          <w:sz w:val="24"/>
          <w:szCs w:val="24"/>
        </w:rPr>
      </w:pPr>
      <w:r w:rsidRPr="00145E0F">
        <w:rPr>
          <w:rFonts w:ascii="Times New Roman" w:hAnsi="Times New Roman"/>
          <w:sz w:val="24"/>
          <w:szCs w:val="24"/>
        </w:rPr>
        <w:t xml:space="preserve">Городские мероприятия для молодежи городского округа Тольятти предусмотрены в рамках муниципальной программы организации работы с детьми и молодежью в городском округе Тольятти «Молодежь Тольятти» на 2014-2020 гг. В 2021 году планируется сохранить 100% </w:t>
      </w:r>
      <w:r w:rsidRPr="00145E0F">
        <w:rPr>
          <w:rFonts w:ascii="Times New Roman" w:hAnsi="Times New Roman"/>
          <w:color w:val="000000"/>
          <w:sz w:val="24"/>
          <w:szCs w:val="24"/>
        </w:rPr>
        <w:t>уровня достижения результата.</w:t>
      </w:r>
    </w:p>
    <w:p w:rsidR="0024525F" w:rsidRPr="00145E0F" w:rsidRDefault="0024525F" w:rsidP="005929A3">
      <w:pPr>
        <w:tabs>
          <w:tab w:val="left" w:pos="993"/>
        </w:tabs>
        <w:snapToGrid w:val="0"/>
        <w:spacing w:before="120" w:after="0"/>
        <w:jc w:val="center"/>
        <w:rPr>
          <w:rFonts w:ascii="Times New Roman" w:hAnsi="Times New Roman"/>
          <w:b/>
          <w:bCs/>
          <w:sz w:val="24"/>
          <w:szCs w:val="24"/>
        </w:rPr>
      </w:pPr>
      <w:r w:rsidRPr="00145E0F">
        <w:rPr>
          <w:rFonts w:ascii="Times New Roman" w:hAnsi="Times New Roman"/>
          <w:b/>
          <w:bCs/>
          <w:sz w:val="24"/>
          <w:szCs w:val="24"/>
        </w:rPr>
        <w:t>Культура</w:t>
      </w:r>
      <w:bookmarkStart w:id="8" w:name="культура"/>
      <w:bookmarkEnd w:id="8"/>
    </w:p>
    <w:p w:rsidR="00862820" w:rsidRPr="00145E0F" w:rsidRDefault="00862820" w:rsidP="005929A3">
      <w:pPr>
        <w:pStyle w:val="af"/>
        <w:numPr>
          <w:ilvl w:val="0"/>
          <w:numId w:val="2"/>
        </w:numPr>
        <w:spacing w:before="120" w:line="276" w:lineRule="auto"/>
        <w:ind w:left="0" w:firstLine="709"/>
        <w:jc w:val="both"/>
        <w:rPr>
          <w:sz w:val="24"/>
          <w:szCs w:val="24"/>
        </w:rPr>
      </w:pPr>
      <w:r w:rsidRPr="00145E0F">
        <w:rPr>
          <w:sz w:val="24"/>
          <w:szCs w:val="24"/>
        </w:rPr>
        <w:t xml:space="preserve">В 2021 году и плановом периоде 2022-2023 годов развитие отрасли культуры на территории городского </w:t>
      </w:r>
      <w:r w:rsidR="00AC0D52">
        <w:rPr>
          <w:sz w:val="24"/>
          <w:szCs w:val="24"/>
        </w:rPr>
        <w:t>округа Тольятти</w:t>
      </w:r>
      <w:r w:rsidRPr="00145E0F">
        <w:rPr>
          <w:sz w:val="24"/>
          <w:szCs w:val="24"/>
        </w:rPr>
        <w:t xml:space="preserve"> будет осуществляться с учетом оптимизации и эффективного использования ресурсов муниципальных учреждений культуры и искусства. Разработка прогноза осуществлена в соответствии со стратегическими документами, действующими муниципальными и государственными программами, планом мероприятий («дорожная карта») «Изменения в отраслях социальной сферы, направленные на повышение эффективности сферы культуры» и др.</w:t>
      </w:r>
    </w:p>
    <w:p w:rsidR="00862820" w:rsidRPr="00145E0F" w:rsidRDefault="00862820" w:rsidP="00862ECD">
      <w:pPr>
        <w:pStyle w:val="2"/>
        <w:numPr>
          <w:ilvl w:val="0"/>
          <w:numId w:val="2"/>
        </w:numPr>
        <w:spacing w:after="0" w:line="276" w:lineRule="auto"/>
        <w:ind w:left="0" w:firstLine="709"/>
        <w:jc w:val="both"/>
        <w:rPr>
          <w:rFonts w:ascii="Times New Roman" w:hAnsi="Times New Roman"/>
          <w:sz w:val="24"/>
          <w:szCs w:val="24"/>
        </w:rPr>
      </w:pPr>
      <w:r w:rsidRPr="00145E0F">
        <w:rPr>
          <w:rFonts w:ascii="Times New Roman" w:hAnsi="Times New Roman"/>
          <w:sz w:val="24"/>
          <w:szCs w:val="24"/>
        </w:rPr>
        <w:t>В целях дальнейшего социально-экономического развития, создания условий и возможностей для самореализации и раскрытия таланта каждого человека, формирование культурной политики в прогнозный период предполагается активизировать работу в соответствии с Указом Президента Российской Федерации от 07.05.2018 №</w:t>
      </w:r>
      <w:r w:rsidR="00157FC7">
        <w:rPr>
          <w:rFonts w:ascii="Times New Roman" w:hAnsi="Times New Roman"/>
          <w:sz w:val="24"/>
          <w:szCs w:val="24"/>
        </w:rPr>
        <w:t> </w:t>
      </w:r>
      <w:r w:rsidRPr="00145E0F">
        <w:rPr>
          <w:rFonts w:ascii="Times New Roman" w:hAnsi="Times New Roman"/>
          <w:sz w:val="24"/>
          <w:szCs w:val="24"/>
        </w:rPr>
        <w:t>204 «О национальных целях и стратегических задачах развития Российской Федерации на период до 2024 года».</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При сохранении количества общедоступных библиотек (43 единицы), а также за счет прогнозируемого снижения численности населения городского округа Тольятти значение показателя обеспеченности общедоступными библиотеками ожидается на уровне 0,62 учреждения на 10 тыс. населения в 2021-2022 годах и 0,63 учреждения на 10 тыс. населения в 2023 году.</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 xml:space="preserve">В прогнозном периоде ожидается сохранение обеспеченности учреждениями культурно-досугового типа (5 единиц) на уровне 0,07 учреждений на 10 тыс. населения. </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 xml:space="preserve">В целом, за прогнозный период с учетом планируемых мероприятий, количество посещений социокультурных мероприятий может увеличиться относительно оценки 2020 года по консервативному варианту на 1,7% и по базовому варианту на 76,7%, достигнув к 2023 году 1537-2670 посещений на 1000 человек населения в зависимости от вариантов прогноза. </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 xml:space="preserve">В случае отмены ограничительных мероприятий в полном объеме либо изменения методики расчета количества посещений в части учета мероприятий в виртуальном формате на </w:t>
      </w:r>
      <w:proofErr w:type="spellStart"/>
      <w:r w:rsidRPr="00145E0F">
        <w:rPr>
          <w:sz w:val="24"/>
          <w:szCs w:val="24"/>
        </w:rPr>
        <w:t>интернет-ресурсах</w:t>
      </w:r>
      <w:proofErr w:type="spellEnd"/>
      <w:r w:rsidRPr="00145E0F">
        <w:rPr>
          <w:sz w:val="24"/>
          <w:szCs w:val="24"/>
        </w:rPr>
        <w:t>, рассматривается реализация базового сценария и значение показателя «Количество посещений социокультурных мероприятий на территории муниципального образования» будет увеличиваться, в том числе с учетом выполнения показателя национального проекта «Культура» «Увеличение количества посещений учреждений культуры» увеличение количества посещений, относительно докризисных значений 2019 года, по базовому сценарию составит 4,2%, относительно 2020 года рост – 76,7%.</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 xml:space="preserve">На 2021-2023 годы при сохранении требований по соблюдению мер социального </w:t>
      </w:r>
      <w:proofErr w:type="spellStart"/>
      <w:r w:rsidRPr="00145E0F">
        <w:rPr>
          <w:sz w:val="24"/>
          <w:szCs w:val="24"/>
        </w:rPr>
        <w:t>дистанцирования</w:t>
      </w:r>
      <w:proofErr w:type="spellEnd"/>
      <w:r w:rsidRPr="00145E0F">
        <w:rPr>
          <w:sz w:val="24"/>
          <w:szCs w:val="24"/>
        </w:rPr>
        <w:t xml:space="preserve"> и иных ограничительных мер и требований к проведению культурно-массовых мероприятий рассматривается как консервативный сценарий, в этом случае предполагается незначительное увеличение показателя по сравнению с оценкой 2020 года (1,7%).</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Увеличение значений показателя «Количество посещений социокультурных мероприятий на территории муниципального образования» прогнозируется с учетом основных направлений деятельности: участие в мероприятиях и конкурсах национального проекта «Культура», участие в федеральном проекте «Театр – детям» (2021-2022 годы), участие в региональном проекте «Содействие» (2021-2022 годы), оснащение МБУ ДО ШИ им. М.А. Балакирева (ул. Мурысева,89а) музыкальными инструментами, оборудованием и учебными материалами (2022 г.), осуществление капитального ремонта МБУ ДО ШИ № 1 (2022 год), участие в федеральном конкурсе на создание модельных библиотек на базе МБУК «Объединение детских библиотек» и МБУК «Библиотеки Тольятти» (2022-2023 годы), разработка проектно-сметной документации и капитальный ремонт МБУИ «Тольяттинский театр кукол» (2021-2023 годы).</w:t>
      </w:r>
    </w:p>
    <w:p w:rsidR="00862820" w:rsidRPr="00145E0F" w:rsidRDefault="00862820" w:rsidP="00862ECD">
      <w:pPr>
        <w:pStyle w:val="af"/>
        <w:numPr>
          <w:ilvl w:val="0"/>
          <w:numId w:val="2"/>
        </w:numPr>
        <w:spacing w:line="276" w:lineRule="auto"/>
        <w:ind w:left="0" w:firstLine="709"/>
        <w:jc w:val="both"/>
        <w:rPr>
          <w:sz w:val="24"/>
          <w:szCs w:val="24"/>
        </w:rPr>
      </w:pPr>
      <w:r w:rsidRPr="00145E0F">
        <w:rPr>
          <w:sz w:val="24"/>
          <w:szCs w:val="24"/>
        </w:rPr>
        <w:t xml:space="preserve">Благоустройство городской среды в </w:t>
      </w:r>
      <w:r w:rsidR="00862ECD" w:rsidRPr="00145E0F">
        <w:rPr>
          <w:sz w:val="24"/>
          <w:szCs w:val="24"/>
        </w:rPr>
        <w:t>городско</w:t>
      </w:r>
      <w:r w:rsidR="00862ECD">
        <w:rPr>
          <w:sz w:val="24"/>
          <w:szCs w:val="24"/>
        </w:rPr>
        <w:t>м округе Тольятти</w:t>
      </w:r>
      <w:r w:rsidRPr="00145E0F">
        <w:rPr>
          <w:sz w:val="24"/>
          <w:szCs w:val="24"/>
        </w:rPr>
        <w:t xml:space="preserve"> позволит расширить места отдыха для населения и создать условия для проведения мероприятий на открытых площадках по месту жительства.</w:t>
      </w:r>
    </w:p>
    <w:p w:rsidR="00862820" w:rsidRPr="00145E0F" w:rsidRDefault="00862820" w:rsidP="00862ECD">
      <w:pPr>
        <w:pStyle w:val="2"/>
        <w:numPr>
          <w:ilvl w:val="0"/>
          <w:numId w:val="2"/>
        </w:numPr>
        <w:spacing w:after="0" w:line="276" w:lineRule="auto"/>
        <w:ind w:left="0" w:firstLine="709"/>
        <w:jc w:val="both"/>
        <w:rPr>
          <w:rFonts w:ascii="Times New Roman" w:hAnsi="Times New Roman"/>
          <w:sz w:val="24"/>
          <w:szCs w:val="24"/>
        </w:rPr>
      </w:pPr>
      <w:r w:rsidRPr="00145E0F">
        <w:rPr>
          <w:rFonts w:ascii="Times New Roman" w:hAnsi="Times New Roman"/>
          <w:sz w:val="24"/>
          <w:szCs w:val="24"/>
        </w:rPr>
        <w:t>Прогнозируемое обновление ресурсов муниципальных учреждений культуры позволит сохранить динамику развития отрасли «Культура». Основными направлениями деятельности отрасли в прогнозном периоде остаются: укрепление материально-технической базы учреждений (приобретение специализированного оборудования, обеспечение безопасности посетителей, повышение комфортности и привлекательности учреждений); совершенствование системы оплаты труда работников культуры; улучшение качества оказываемых услуг.</w:t>
      </w:r>
    </w:p>
    <w:p w:rsidR="00862820" w:rsidRPr="00145E0F" w:rsidRDefault="00862820" w:rsidP="00862ECD">
      <w:pPr>
        <w:pStyle w:val="a8"/>
        <w:widowControl w:val="0"/>
        <w:numPr>
          <w:ilvl w:val="0"/>
          <w:numId w:val="2"/>
        </w:numPr>
        <w:spacing w:line="276" w:lineRule="auto"/>
        <w:ind w:left="0" w:firstLine="709"/>
        <w:jc w:val="both"/>
        <w:rPr>
          <w:rFonts w:ascii="Times New Roman" w:hAnsi="Times New Roman"/>
          <w:b/>
          <w:sz w:val="24"/>
          <w:szCs w:val="24"/>
        </w:rPr>
      </w:pPr>
      <w:r w:rsidRPr="00145E0F">
        <w:rPr>
          <w:rFonts w:ascii="Times New Roman" w:hAnsi="Times New Roman" w:cs="Times New Roman"/>
          <w:sz w:val="24"/>
          <w:szCs w:val="24"/>
          <w:lang w:eastAsia="ru-RU"/>
        </w:rPr>
        <w:t>Ключевой проблемой, препятствующей развитию сферы культур</w:t>
      </w:r>
      <w:r w:rsidR="00157FC7">
        <w:rPr>
          <w:rFonts w:ascii="Times New Roman" w:hAnsi="Times New Roman" w:cs="Times New Roman"/>
          <w:sz w:val="24"/>
          <w:szCs w:val="24"/>
          <w:lang w:eastAsia="ru-RU"/>
        </w:rPr>
        <w:t>ы</w:t>
      </w:r>
      <w:r w:rsidRPr="00145E0F">
        <w:rPr>
          <w:rFonts w:ascii="Times New Roman" w:hAnsi="Times New Roman" w:cs="Times New Roman"/>
          <w:sz w:val="24"/>
          <w:szCs w:val="24"/>
          <w:lang w:eastAsia="ru-RU"/>
        </w:rPr>
        <w:t xml:space="preserve"> в городском округе </w:t>
      </w:r>
      <w:r w:rsidR="00862ECD">
        <w:rPr>
          <w:rFonts w:ascii="Times New Roman" w:hAnsi="Times New Roman" w:cs="Times New Roman"/>
          <w:sz w:val="24"/>
          <w:szCs w:val="24"/>
          <w:lang w:eastAsia="ru-RU"/>
        </w:rPr>
        <w:t xml:space="preserve">Тольятти </w:t>
      </w:r>
      <w:r w:rsidRPr="00145E0F">
        <w:rPr>
          <w:rFonts w:ascii="Times New Roman" w:hAnsi="Times New Roman" w:cs="Times New Roman"/>
          <w:sz w:val="24"/>
          <w:szCs w:val="24"/>
          <w:lang w:eastAsia="ru-RU"/>
        </w:rPr>
        <w:t>продолжает оставаться потребность в существенном обновлении материально-технического оснащения учреждений культуры и искусства, в том числе недостаточность ресурсов на разработку проектно-сметной документации и осуществлений капитального ремонта существующих и строительства новых зданий для объектов культуры и искусства. Развитие кадрового потенциала отрасли планируется через проведение и участие в конкурсах профессионального мастерства в целях поддержки и профессионального развития специалистов учреждений культуры, участие в программах повышения квалификации в рамках реализации национального проекта «Культура».</w:t>
      </w:r>
    </w:p>
    <w:p w:rsidR="000C5A22" w:rsidRPr="00145E0F" w:rsidRDefault="000C5A22" w:rsidP="00861D76">
      <w:pPr>
        <w:pStyle w:val="32"/>
        <w:widowControl w:val="0"/>
        <w:numPr>
          <w:ilvl w:val="0"/>
          <w:numId w:val="2"/>
        </w:numPr>
        <w:spacing w:before="120" w:after="0"/>
        <w:ind w:left="0" w:firstLine="0"/>
        <w:jc w:val="center"/>
        <w:rPr>
          <w:rFonts w:ascii="Times New Roman" w:hAnsi="Times New Roman"/>
          <w:b/>
          <w:sz w:val="24"/>
          <w:szCs w:val="24"/>
        </w:rPr>
      </w:pPr>
      <w:r w:rsidRPr="00145E0F">
        <w:rPr>
          <w:rFonts w:ascii="Times New Roman" w:hAnsi="Times New Roman"/>
          <w:b/>
          <w:sz w:val="24"/>
          <w:szCs w:val="24"/>
        </w:rPr>
        <w:t>Физическая культура и спорт</w:t>
      </w:r>
    </w:p>
    <w:p w:rsidR="000C5A22" w:rsidRPr="00145E0F" w:rsidRDefault="000C5A22" w:rsidP="00861D76">
      <w:pPr>
        <w:pStyle w:val="af"/>
        <w:widowControl w:val="0"/>
        <w:numPr>
          <w:ilvl w:val="0"/>
          <w:numId w:val="2"/>
        </w:numPr>
        <w:spacing w:before="120" w:line="276" w:lineRule="auto"/>
        <w:ind w:left="0" w:firstLine="709"/>
        <w:jc w:val="both"/>
        <w:rPr>
          <w:sz w:val="24"/>
          <w:szCs w:val="24"/>
        </w:rPr>
      </w:pPr>
      <w:r w:rsidRPr="00145E0F">
        <w:rPr>
          <w:sz w:val="24"/>
          <w:szCs w:val="24"/>
        </w:rPr>
        <w:t xml:space="preserve">Основной целью развития отрасли является создание в городском округе </w:t>
      </w:r>
      <w:r w:rsidR="00862ECD">
        <w:rPr>
          <w:sz w:val="24"/>
          <w:szCs w:val="24"/>
        </w:rPr>
        <w:t xml:space="preserve">Тольятти </w:t>
      </w:r>
      <w:r w:rsidRPr="00145E0F">
        <w:rPr>
          <w:sz w:val="24"/>
          <w:szCs w:val="24"/>
        </w:rPr>
        <w:t>условий для роста численности населения, систематически занимающегося физической культурой и спортом.</w:t>
      </w:r>
    </w:p>
    <w:p w:rsidR="000C5A22" w:rsidRPr="00145E0F" w:rsidRDefault="000C5A22" w:rsidP="00862ECD">
      <w:pPr>
        <w:pStyle w:val="af"/>
        <w:widowControl w:val="0"/>
        <w:numPr>
          <w:ilvl w:val="0"/>
          <w:numId w:val="2"/>
        </w:numPr>
        <w:spacing w:line="276" w:lineRule="auto"/>
        <w:ind w:left="0" w:firstLine="709"/>
        <w:jc w:val="both"/>
        <w:rPr>
          <w:sz w:val="24"/>
          <w:szCs w:val="24"/>
        </w:rPr>
      </w:pPr>
      <w:r w:rsidRPr="00145E0F">
        <w:rPr>
          <w:sz w:val="24"/>
          <w:szCs w:val="24"/>
        </w:rPr>
        <w:t>Для положительной динамики численности населения, систематически занимающихся физической культурой и спортом, планируется введение ставок инструкторов. В целях создания необходимых условий для увеличения количества населения, постоянно занимающихся физкультурой и спортом по месту жительства, необходимо постепенно увеличить количество ставок инструкторов по спорту в МБУС Центр физической культуры и спорта, введенных в 2016-2017 годах с 17 единиц до 89 единиц, в соответствии с рекомендациями Министерства спорта Самарской области, устанавливающими показатель из расчета - 1 инструктор на 8 000 жителей.</w:t>
      </w:r>
    </w:p>
    <w:p w:rsidR="000C5A22" w:rsidRPr="00145E0F" w:rsidRDefault="000C5A22" w:rsidP="00862ECD">
      <w:pPr>
        <w:pStyle w:val="af"/>
        <w:widowControl w:val="0"/>
        <w:numPr>
          <w:ilvl w:val="0"/>
          <w:numId w:val="2"/>
        </w:numPr>
        <w:spacing w:line="276" w:lineRule="auto"/>
        <w:ind w:left="0" w:firstLine="709"/>
        <w:jc w:val="both"/>
        <w:rPr>
          <w:sz w:val="24"/>
          <w:szCs w:val="24"/>
        </w:rPr>
      </w:pPr>
      <w:r w:rsidRPr="00145E0F">
        <w:rPr>
          <w:sz w:val="24"/>
          <w:szCs w:val="24"/>
        </w:rPr>
        <w:t xml:space="preserve">Приоритетным направлением работы по развитию физической культуры и спорта в прогнозном периоде определено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увеличения пропускной способности. </w:t>
      </w:r>
    </w:p>
    <w:p w:rsidR="000C5A22" w:rsidRPr="00145E0F" w:rsidRDefault="000C5A22" w:rsidP="00862ECD">
      <w:pPr>
        <w:pStyle w:val="af"/>
        <w:widowControl w:val="0"/>
        <w:numPr>
          <w:ilvl w:val="0"/>
          <w:numId w:val="2"/>
        </w:numPr>
        <w:spacing w:line="276" w:lineRule="auto"/>
        <w:ind w:left="0" w:firstLine="709"/>
        <w:jc w:val="both"/>
        <w:rPr>
          <w:sz w:val="24"/>
          <w:szCs w:val="24"/>
        </w:rPr>
      </w:pPr>
      <w:r w:rsidRPr="00145E0F">
        <w:rPr>
          <w:sz w:val="24"/>
          <w:szCs w:val="24"/>
        </w:rPr>
        <w:t>В целях проведения учебно-тренировочных занятий, физкультурных и спортивных мероприятий, привлечения обучающихся образовательных организаций к регулярным занятиям физической культурой и спортом, необходимо обеспечить модернизацию пришкольных спортивных площадок и оснащение их оборудованием в соответствии с современными требованиями.</w:t>
      </w:r>
    </w:p>
    <w:p w:rsidR="000C5A22" w:rsidRPr="00145E0F" w:rsidRDefault="000C5A22" w:rsidP="00862ECD">
      <w:pPr>
        <w:pStyle w:val="af"/>
        <w:numPr>
          <w:ilvl w:val="0"/>
          <w:numId w:val="2"/>
        </w:numPr>
        <w:tabs>
          <w:tab w:val="left" w:pos="1400"/>
        </w:tabs>
        <w:spacing w:line="276" w:lineRule="auto"/>
        <w:ind w:left="0" w:firstLine="709"/>
        <w:jc w:val="both"/>
        <w:rPr>
          <w:sz w:val="24"/>
          <w:szCs w:val="24"/>
        </w:rPr>
      </w:pPr>
      <w:r w:rsidRPr="00145E0F">
        <w:rPr>
          <w:sz w:val="24"/>
          <w:szCs w:val="24"/>
        </w:rPr>
        <w:t>В рамках национального проекта «Демография» реализовываются цели и задачи, поставленные в Указе Президента</w:t>
      </w:r>
      <w:r w:rsidR="00157FC7">
        <w:rPr>
          <w:sz w:val="24"/>
          <w:szCs w:val="24"/>
        </w:rPr>
        <w:t xml:space="preserve"> Российской Федерации</w:t>
      </w:r>
      <w:r w:rsidRPr="00145E0F">
        <w:rPr>
          <w:sz w:val="24"/>
          <w:szCs w:val="24"/>
        </w:rPr>
        <w:t xml:space="preserve"> от 0</w:t>
      </w:r>
      <w:r w:rsidRPr="00145E0F">
        <w:rPr>
          <w:bCs/>
          <w:sz w:val="24"/>
          <w:szCs w:val="24"/>
        </w:rPr>
        <w:t xml:space="preserve">7.05.2018 </w:t>
      </w:r>
      <w:r w:rsidR="00157FC7">
        <w:rPr>
          <w:bCs/>
          <w:sz w:val="24"/>
          <w:szCs w:val="24"/>
        </w:rPr>
        <w:t>№ 204</w:t>
      </w:r>
      <w:r w:rsidRPr="00145E0F">
        <w:rPr>
          <w:bCs/>
          <w:sz w:val="24"/>
          <w:szCs w:val="24"/>
        </w:rPr>
        <w:t xml:space="preserve"> «О национальных целях и стратегических задачах развития Российской Федерации на период до 2024 года». В</w:t>
      </w:r>
      <w:r w:rsidRPr="00145E0F">
        <w:rPr>
          <w:sz w:val="24"/>
          <w:szCs w:val="24"/>
        </w:rPr>
        <w:t xml:space="preserve"> сфере физической культуры и спорта действует федеральный проект «Спорт - норма жизни».</w:t>
      </w:r>
    </w:p>
    <w:p w:rsidR="000C5A22" w:rsidRPr="00145E0F" w:rsidRDefault="000C5A22" w:rsidP="00862ECD">
      <w:pPr>
        <w:pStyle w:val="ConsPlusTitle"/>
        <w:numPr>
          <w:ilvl w:val="0"/>
          <w:numId w:val="2"/>
        </w:numPr>
        <w:spacing w:line="276" w:lineRule="auto"/>
        <w:ind w:left="0" w:firstLine="709"/>
        <w:jc w:val="both"/>
        <w:outlineLvl w:val="1"/>
        <w:rPr>
          <w:rFonts w:ascii="Times New Roman" w:hAnsi="Times New Roman" w:cs="Times New Roman"/>
          <w:b w:val="0"/>
          <w:sz w:val="24"/>
          <w:szCs w:val="24"/>
        </w:rPr>
      </w:pPr>
      <w:r w:rsidRPr="00145E0F">
        <w:rPr>
          <w:rFonts w:ascii="Times New Roman" w:hAnsi="Times New Roman" w:cs="Times New Roman"/>
          <w:b w:val="0"/>
          <w:sz w:val="24"/>
          <w:szCs w:val="24"/>
        </w:rPr>
        <w:t>Целью проекта, является доведение к 2024 году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rsidR="000C5A22" w:rsidRPr="00145E0F" w:rsidRDefault="000C5A22" w:rsidP="00862ECD">
      <w:pPr>
        <w:pStyle w:val="af"/>
        <w:widowControl w:val="0"/>
        <w:numPr>
          <w:ilvl w:val="0"/>
          <w:numId w:val="2"/>
        </w:numPr>
        <w:spacing w:line="276" w:lineRule="auto"/>
        <w:ind w:left="0" w:firstLine="709"/>
        <w:jc w:val="both"/>
        <w:rPr>
          <w:sz w:val="24"/>
          <w:szCs w:val="24"/>
        </w:rPr>
      </w:pPr>
      <w:r w:rsidRPr="00145E0F">
        <w:rPr>
          <w:sz w:val="24"/>
          <w:szCs w:val="24"/>
        </w:rPr>
        <w:t xml:space="preserve">В связи с наличием проблемы недостаточности материально-технической базы для занятий физической культурой и спортом на территории городского округа Тольятти разработана муниципальная программа «Развитие физической культуры и спорта в городском округе Тольятти на 2017-2021 годы», одной из задач которой предусматривается строительство, реконструкция и капитальный ремонт спортивных объектов в прогнозном периоде. </w:t>
      </w:r>
    </w:p>
    <w:p w:rsidR="000C5A22" w:rsidRPr="00145E0F" w:rsidRDefault="000C5A22" w:rsidP="00862ECD">
      <w:pPr>
        <w:pStyle w:val="af"/>
        <w:widowControl w:val="0"/>
        <w:numPr>
          <w:ilvl w:val="0"/>
          <w:numId w:val="2"/>
        </w:numPr>
        <w:spacing w:line="276" w:lineRule="auto"/>
        <w:ind w:left="0" w:firstLine="709"/>
        <w:jc w:val="both"/>
        <w:rPr>
          <w:sz w:val="24"/>
          <w:szCs w:val="24"/>
        </w:rPr>
      </w:pPr>
      <w:r w:rsidRPr="00145E0F">
        <w:rPr>
          <w:sz w:val="24"/>
          <w:szCs w:val="24"/>
        </w:rPr>
        <w:t>Учитывая проблему городского округа Тольятти с дефицитом бюджетных средств для планомерного строительства, ремонта и реконструкции спортивных сооружений, и принимая во внимание необходимость реализации приоритетных направлений отрасли по увеличению низкого уровня обеспеченности населения спортивными сооружениями подготовлены и направлены заявки в Министерство спорта Самарской области о софинансировании строительства на территории городского округа Тольятти спортивных объектов.</w:t>
      </w:r>
    </w:p>
    <w:p w:rsidR="000C5A22" w:rsidRPr="00145E0F" w:rsidRDefault="000C5A22" w:rsidP="00862ECD">
      <w:pPr>
        <w:pStyle w:val="af"/>
        <w:numPr>
          <w:ilvl w:val="0"/>
          <w:numId w:val="2"/>
        </w:numPr>
        <w:tabs>
          <w:tab w:val="left" w:pos="1553"/>
        </w:tabs>
        <w:spacing w:line="276" w:lineRule="auto"/>
        <w:ind w:left="0" w:firstLine="709"/>
        <w:jc w:val="both"/>
        <w:rPr>
          <w:sz w:val="24"/>
          <w:szCs w:val="24"/>
        </w:rPr>
      </w:pPr>
      <w:r w:rsidRPr="00145E0F">
        <w:rPr>
          <w:sz w:val="24"/>
          <w:szCs w:val="24"/>
        </w:rPr>
        <w:t>Согласно поданным заявкам в государственную программу Самарской области «Развитие физической культуры и спорта в Самарской области на 2014-2022 годы» за счет средств областного и федерального бюджетов запланированы к реализации мероприятия по проектированию и строительству следующих спортивных объектов:</w:t>
      </w:r>
    </w:p>
    <w:p w:rsidR="000C5A22" w:rsidRPr="00145E0F" w:rsidRDefault="000C5A22" w:rsidP="00862ECD">
      <w:pPr>
        <w:pStyle w:val="af"/>
        <w:numPr>
          <w:ilvl w:val="0"/>
          <w:numId w:val="2"/>
        </w:numPr>
        <w:suppressAutoHyphens/>
        <w:autoSpaceDE w:val="0"/>
        <w:autoSpaceDN w:val="0"/>
        <w:adjustRightInd w:val="0"/>
        <w:spacing w:line="276" w:lineRule="auto"/>
        <w:ind w:left="0" w:firstLine="709"/>
        <w:jc w:val="both"/>
        <w:rPr>
          <w:sz w:val="24"/>
          <w:szCs w:val="24"/>
        </w:rPr>
      </w:pPr>
      <w:r w:rsidRPr="00145E0F">
        <w:rPr>
          <w:sz w:val="24"/>
          <w:szCs w:val="24"/>
        </w:rPr>
        <w:t xml:space="preserve">1.  Многофункциональные физкультурно-спортивные комплексы (2 ед.) (бассейн, универсальный игровой зал, искусственный лед) в Комсомольском районе около речного порта и в </w:t>
      </w:r>
      <w:proofErr w:type="spellStart"/>
      <w:r w:rsidRPr="00145E0F">
        <w:rPr>
          <w:sz w:val="24"/>
          <w:szCs w:val="24"/>
        </w:rPr>
        <w:t>мкр.Шлюзовой</w:t>
      </w:r>
      <w:proofErr w:type="spellEnd"/>
      <w:r w:rsidRPr="00145E0F">
        <w:rPr>
          <w:sz w:val="24"/>
          <w:szCs w:val="24"/>
        </w:rPr>
        <w:t xml:space="preserve"> на пересечении улиц Шлюзовая и Железнодорожная, срок реализации на 2018-2022 годы;</w:t>
      </w:r>
    </w:p>
    <w:p w:rsidR="000C5A22" w:rsidRPr="00145E0F" w:rsidRDefault="000C5A22" w:rsidP="00862ECD">
      <w:pPr>
        <w:pStyle w:val="af"/>
        <w:numPr>
          <w:ilvl w:val="0"/>
          <w:numId w:val="2"/>
        </w:numPr>
        <w:suppressAutoHyphens/>
        <w:autoSpaceDE w:val="0"/>
        <w:autoSpaceDN w:val="0"/>
        <w:adjustRightInd w:val="0"/>
        <w:spacing w:line="276" w:lineRule="auto"/>
        <w:ind w:left="0" w:firstLine="709"/>
        <w:jc w:val="both"/>
        <w:rPr>
          <w:sz w:val="24"/>
          <w:szCs w:val="24"/>
        </w:rPr>
      </w:pPr>
      <w:r w:rsidRPr="00145E0F">
        <w:rPr>
          <w:sz w:val="24"/>
          <w:szCs w:val="24"/>
        </w:rPr>
        <w:t>2. Центр спортивной гимнастики «Немов-центр в Автозаводском районе.</w:t>
      </w:r>
    </w:p>
    <w:p w:rsidR="000C5A22" w:rsidRPr="00145E0F" w:rsidRDefault="000C5A22" w:rsidP="00862ECD">
      <w:pPr>
        <w:pStyle w:val="af"/>
        <w:numPr>
          <w:ilvl w:val="0"/>
          <w:numId w:val="2"/>
        </w:numPr>
        <w:suppressAutoHyphens/>
        <w:autoSpaceDE w:val="0"/>
        <w:autoSpaceDN w:val="0"/>
        <w:adjustRightInd w:val="0"/>
        <w:spacing w:line="276" w:lineRule="auto"/>
        <w:ind w:left="0" w:firstLine="709"/>
        <w:jc w:val="both"/>
        <w:rPr>
          <w:sz w:val="24"/>
          <w:szCs w:val="24"/>
        </w:rPr>
      </w:pPr>
      <w:r w:rsidRPr="00145E0F">
        <w:rPr>
          <w:sz w:val="24"/>
          <w:szCs w:val="24"/>
        </w:rPr>
        <w:t>Наличие новых спортивных объектов и действующих объектов, приведенных в соответствие с современным требованиям в совокупности будет способствовать созданию сети спортивных клубов по месту жительства, сможет повысить интерес различных категорий граждан к занятиям физической культурой и спортом, будет способствовать развитию массового спорта, Спартакиадного движения, увеличению двигательной активности населения, увеличения количества занимающихся среди инвалидов и соответственно позволит обеспечить рост показателей отрасли.</w:t>
      </w:r>
    </w:p>
    <w:p w:rsidR="000C5A22" w:rsidRPr="00145E0F" w:rsidRDefault="000C5A22" w:rsidP="00862ECD">
      <w:pPr>
        <w:pStyle w:val="aa"/>
        <w:numPr>
          <w:ilvl w:val="0"/>
          <w:numId w:val="2"/>
        </w:numPr>
        <w:shd w:val="clear" w:color="auto" w:fill="FFFFFF" w:themeFill="background1"/>
        <w:spacing w:before="0" w:after="0" w:line="276" w:lineRule="auto"/>
        <w:ind w:left="0" w:firstLine="709"/>
        <w:jc w:val="both"/>
      </w:pPr>
      <w:r w:rsidRPr="00145E0F">
        <w:t>В прогнозном периоде предполагается рост уровня фактической обеспеченности населения объектами спорта от нормативной потребности: данный показатель к 2023 году достигнет значения 32,0% и 32,4% по двум вариантам прогноза соответственно за счёт строительства универсальных спортивных площадок и пяти физкультурно-спортивных комплексов.</w:t>
      </w:r>
    </w:p>
    <w:p w:rsidR="000C5A22" w:rsidRPr="00145E0F" w:rsidRDefault="000C5A22" w:rsidP="00862ECD">
      <w:pPr>
        <w:pStyle w:val="af"/>
        <w:widowControl w:val="0"/>
        <w:numPr>
          <w:ilvl w:val="0"/>
          <w:numId w:val="2"/>
        </w:numPr>
        <w:spacing w:line="276" w:lineRule="auto"/>
        <w:ind w:left="0" w:firstLine="709"/>
        <w:jc w:val="both"/>
        <w:rPr>
          <w:sz w:val="24"/>
          <w:szCs w:val="24"/>
        </w:rPr>
      </w:pPr>
      <w:r w:rsidRPr="00145E0F">
        <w:rPr>
          <w:sz w:val="24"/>
          <w:szCs w:val="24"/>
        </w:rPr>
        <w:t xml:space="preserve">Корректировка показателя «Уровень фактической обеспеченности населения объектами спорта от нормативной численности» в сторону увеличения по сравнению с прошлогодними параметрами (на 0,5-0,8 процентных пункта в 2021 и 2022 годах по базовому варианту) произведена на основании фактически сложившихся значений показателя, а также ростом количества организаций, осуществляющих работу в сфере физической культуры и спорта. </w:t>
      </w:r>
    </w:p>
    <w:p w:rsidR="000C5A22" w:rsidRPr="00145E0F" w:rsidRDefault="000C5A22" w:rsidP="00862ECD">
      <w:pPr>
        <w:pStyle w:val="af"/>
        <w:widowControl w:val="0"/>
        <w:numPr>
          <w:ilvl w:val="0"/>
          <w:numId w:val="2"/>
        </w:numPr>
        <w:spacing w:line="276" w:lineRule="auto"/>
        <w:ind w:left="0" w:firstLine="709"/>
        <w:jc w:val="both"/>
        <w:rPr>
          <w:sz w:val="24"/>
          <w:szCs w:val="24"/>
        </w:rPr>
      </w:pPr>
      <w:r w:rsidRPr="00145E0F">
        <w:rPr>
          <w:sz w:val="24"/>
          <w:szCs w:val="24"/>
        </w:rPr>
        <w:t>Наличие новых спортивных объектов и действующих объектов, приведенных в соответствие с современным требованиям в совокупности будет способствовать созданию сети спортивных клубов по месту жительства, сможет повысить интерес различных категорий граждан к занятиям физической культурой и спортом, будет способствовать развитию массового спорта, спартакиадного движения, увеличению двигательной активности населения, увеличения количества занимающихся среди инвалидов и соответственно позволит обеспечить рост показателей отрасли.</w:t>
      </w:r>
    </w:p>
    <w:p w:rsidR="000C5A22" w:rsidRPr="00145E0F" w:rsidRDefault="000C5A22" w:rsidP="00861D76">
      <w:pPr>
        <w:pStyle w:val="af"/>
        <w:widowControl w:val="0"/>
        <w:numPr>
          <w:ilvl w:val="0"/>
          <w:numId w:val="2"/>
        </w:numPr>
        <w:spacing w:before="120" w:line="276" w:lineRule="auto"/>
        <w:ind w:left="0" w:firstLine="709"/>
        <w:jc w:val="both"/>
        <w:rPr>
          <w:sz w:val="24"/>
          <w:szCs w:val="24"/>
        </w:rPr>
      </w:pPr>
      <w:r w:rsidRPr="00145E0F">
        <w:rPr>
          <w:sz w:val="24"/>
          <w:szCs w:val="24"/>
        </w:rPr>
        <w:t>Таким образом, в прогнозном периоде предполагается увеличение доли населения, систематически занимающегося физической культурой и спортом. По оценке, данный показатель к 2023 году достигнет значения: 46,0% - по консервативному варианту, 51,2% - по базовому варианту развития.</w:t>
      </w:r>
    </w:p>
    <w:p w:rsidR="00252845" w:rsidRPr="00145E0F" w:rsidRDefault="00252845" w:rsidP="00861D76">
      <w:pPr>
        <w:widowControl w:val="0"/>
        <w:spacing w:before="120" w:after="0"/>
        <w:jc w:val="center"/>
        <w:rPr>
          <w:rFonts w:ascii="Times New Roman" w:hAnsi="Times New Roman"/>
          <w:b/>
          <w:sz w:val="24"/>
          <w:szCs w:val="24"/>
        </w:rPr>
      </w:pPr>
      <w:r w:rsidRPr="00145E0F">
        <w:rPr>
          <w:rFonts w:ascii="Times New Roman" w:hAnsi="Times New Roman"/>
          <w:b/>
          <w:sz w:val="24"/>
          <w:szCs w:val="24"/>
        </w:rPr>
        <w:t>Потребительский рынок товаров</w:t>
      </w:r>
      <w:bookmarkStart w:id="9" w:name="потреб"/>
      <w:bookmarkEnd w:id="9"/>
    </w:p>
    <w:p w:rsidR="00432209" w:rsidRPr="00145E0F" w:rsidRDefault="00432209" w:rsidP="00861D76">
      <w:pPr>
        <w:suppressAutoHyphens/>
        <w:spacing w:before="120" w:after="0"/>
        <w:ind w:firstLine="709"/>
        <w:jc w:val="both"/>
        <w:rPr>
          <w:rFonts w:ascii="Times New Roman" w:hAnsi="Times New Roman"/>
          <w:sz w:val="24"/>
          <w:szCs w:val="24"/>
        </w:rPr>
      </w:pPr>
      <w:r w:rsidRPr="00145E0F">
        <w:rPr>
          <w:rFonts w:ascii="Times New Roman" w:hAnsi="Times New Roman"/>
          <w:sz w:val="24"/>
          <w:szCs w:val="24"/>
        </w:rPr>
        <w:t>Состояние рынка потребительских товаров в прогнозном периоде будет характеризоваться уровнем потребительского спроса со стороны домашних хозяйств, основанн</w:t>
      </w:r>
      <w:r w:rsidR="00443C84" w:rsidRPr="00145E0F">
        <w:rPr>
          <w:rFonts w:ascii="Times New Roman" w:hAnsi="Times New Roman"/>
          <w:sz w:val="24"/>
          <w:szCs w:val="24"/>
        </w:rPr>
        <w:t>о</w:t>
      </w:r>
      <w:r w:rsidRPr="00145E0F">
        <w:rPr>
          <w:rFonts w:ascii="Times New Roman" w:hAnsi="Times New Roman"/>
          <w:sz w:val="24"/>
          <w:szCs w:val="24"/>
        </w:rPr>
        <w:t xml:space="preserve">м на динамике роста заработной платы, сохранении инфляции на достаточно </w:t>
      </w:r>
      <w:r w:rsidR="00861D76">
        <w:rPr>
          <w:rFonts w:ascii="Times New Roman" w:hAnsi="Times New Roman"/>
          <w:sz w:val="24"/>
          <w:szCs w:val="24"/>
        </w:rPr>
        <w:t>невысоком</w:t>
      </w:r>
      <w:r w:rsidRPr="00145E0F">
        <w:rPr>
          <w:rFonts w:ascii="Times New Roman" w:hAnsi="Times New Roman"/>
          <w:sz w:val="24"/>
          <w:szCs w:val="24"/>
        </w:rPr>
        <w:t xml:space="preserve"> уровне, </w:t>
      </w:r>
      <w:r w:rsidR="004B4F9A" w:rsidRPr="00145E0F">
        <w:rPr>
          <w:rFonts w:ascii="Times New Roman" w:hAnsi="Times New Roman"/>
          <w:sz w:val="24"/>
          <w:szCs w:val="24"/>
        </w:rPr>
        <w:t>ростом</w:t>
      </w:r>
      <w:r w:rsidRPr="00145E0F">
        <w:rPr>
          <w:rFonts w:ascii="Times New Roman" w:hAnsi="Times New Roman"/>
          <w:sz w:val="24"/>
          <w:szCs w:val="24"/>
        </w:rPr>
        <w:t xml:space="preserve"> потребительского кредитования.</w:t>
      </w:r>
    </w:p>
    <w:p w:rsidR="001F30E2" w:rsidRPr="00307735" w:rsidRDefault="001F30E2" w:rsidP="00862ECD">
      <w:pPr>
        <w:autoSpaceDE w:val="0"/>
        <w:autoSpaceDN w:val="0"/>
        <w:adjustRightInd w:val="0"/>
        <w:spacing w:after="0"/>
        <w:ind w:firstLine="709"/>
        <w:jc w:val="both"/>
        <w:rPr>
          <w:rFonts w:ascii="Times New Roman" w:hAnsi="Times New Roman"/>
          <w:sz w:val="24"/>
          <w:szCs w:val="24"/>
        </w:rPr>
      </w:pPr>
      <w:r w:rsidRPr="00307735">
        <w:rPr>
          <w:rFonts w:ascii="Times New Roman" w:hAnsi="Times New Roman"/>
          <w:sz w:val="24"/>
          <w:szCs w:val="24"/>
        </w:rPr>
        <w:t xml:space="preserve">Консервативный вариант развития предусматривает сдержанную динамику потребительского спроса, обусловленную невысоким ростом доходов населения. Кроме этого, ожидаемое снижение численности населения </w:t>
      </w:r>
      <w:r w:rsidR="00CC4504">
        <w:rPr>
          <w:rFonts w:ascii="Times New Roman" w:hAnsi="Times New Roman"/>
          <w:sz w:val="24"/>
          <w:szCs w:val="24"/>
        </w:rPr>
        <w:t xml:space="preserve">городского </w:t>
      </w:r>
      <w:r w:rsidR="00AC0D52">
        <w:rPr>
          <w:rFonts w:ascii="Times New Roman" w:hAnsi="Times New Roman"/>
          <w:sz w:val="24"/>
          <w:szCs w:val="24"/>
        </w:rPr>
        <w:t>округа Тольятти</w:t>
      </w:r>
      <w:r w:rsidRPr="00307735">
        <w:rPr>
          <w:rFonts w:ascii="Times New Roman" w:hAnsi="Times New Roman"/>
          <w:sz w:val="24"/>
          <w:szCs w:val="24"/>
        </w:rPr>
        <w:t xml:space="preserve"> также будет сдерживать темпы роста показателя оборота розничной торговли. В итоге, </w:t>
      </w:r>
      <w:r w:rsidR="00861D76">
        <w:rPr>
          <w:rFonts w:ascii="Times New Roman" w:hAnsi="Times New Roman"/>
          <w:sz w:val="24"/>
          <w:szCs w:val="24"/>
        </w:rPr>
        <w:t>за три прогнозных года</w:t>
      </w:r>
      <w:r w:rsidRPr="00307735">
        <w:rPr>
          <w:rFonts w:ascii="Times New Roman" w:hAnsi="Times New Roman"/>
          <w:sz w:val="24"/>
          <w:szCs w:val="24"/>
        </w:rPr>
        <w:t xml:space="preserve"> оборот розничной торговли снизится в сопоставимых ценах на 0,1% к 2020 году </w:t>
      </w:r>
      <w:r w:rsidR="00861D76">
        <w:rPr>
          <w:rFonts w:ascii="Times New Roman" w:hAnsi="Times New Roman"/>
          <w:sz w:val="24"/>
          <w:szCs w:val="24"/>
        </w:rPr>
        <w:t xml:space="preserve">и составит 200,2 млрд. рублей </w:t>
      </w:r>
      <w:r w:rsidRPr="00307735">
        <w:rPr>
          <w:rFonts w:ascii="Times New Roman" w:hAnsi="Times New Roman"/>
          <w:sz w:val="24"/>
          <w:szCs w:val="24"/>
        </w:rPr>
        <w:t xml:space="preserve">(в действующих ценах рост показателя за тот же период времени составит 11,8%). </w:t>
      </w:r>
    </w:p>
    <w:p w:rsidR="001F30E2" w:rsidRDefault="001F30E2" w:rsidP="00862ECD">
      <w:pPr>
        <w:suppressAutoHyphens/>
        <w:spacing w:after="0"/>
        <w:ind w:firstLine="720"/>
        <w:jc w:val="both"/>
        <w:rPr>
          <w:rFonts w:ascii="Times New Roman" w:hAnsi="Times New Roman"/>
          <w:sz w:val="24"/>
          <w:szCs w:val="24"/>
        </w:rPr>
      </w:pPr>
      <w:r w:rsidRPr="00307735">
        <w:rPr>
          <w:rFonts w:ascii="Times New Roman" w:hAnsi="Times New Roman"/>
          <w:sz w:val="24"/>
          <w:szCs w:val="24"/>
        </w:rPr>
        <w:t xml:space="preserve">По второму (базовому) варианту прогноза прирост оборота розничной торговли в 2023 году к 2020 году в сопоставимых ценах составит 1,7% </w:t>
      </w:r>
      <w:r w:rsidR="00861D76">
        <w:rPr>
          <w:rFonts w:ascii="Times New Roman" w:hAnsi="Times New Roman"/>
          <w:sz w:val="24"/>
          <w:szCs w:val="24"/>
        </w:rPr>
        <w:t xml:space="preserve">до 204,1 млрд. рублей </w:t>
      </w:r>
      <w:r w:rsidRPr="00307735">
        <w:rPr>
          <w:rFonts w:ascii="Times New Roman" w:hAnsi="Times New Roman"/>
          <w:sz w:val="24"/>
          <w:szCs w:val="24"/>
        </w:rPr>
        <w:t>(</w:t>
      </w:r>
      <w:r w:rsidR="00861D76">
        <w:rPr>
          <w:rFonts w:ascii="Times New Roman" w:hAnsi="Times New Roman"/>
          <w:sz w:val="24"/>
          <w:szCs w:val="24"/>
        </w:rPr>
        <w:t xml:space="preserve">рост </w:t>
      </w:r>
      <w:r w:rsidRPr="00307735">
        <w:rPr>
          <w:rFonts w:ascii="Times New Roman" w:hAnsi="Times New Roman"/>
          <w:sz w:val="24"/>
          <w:szCs w:val="24"/>
        </w:rPr>
        <w:t>14% - в действующих ценах).</w:t>
      </w:r>
    </w:p>
    <w:p w:rsidR="00432209" w:rsidRPr="00145E0F" w:rsidRDefault="00432209" w:rsidP="00862ECD">
      <w:pPr>
        <w:spacing w:after="0"/>
        <w:ind w:right="-1" w:firstLine="709"/>
        <w:jc w:val="both"/>
        <w:textAlignment w:val="top"/>
        <w:rPr>
          <w:rFonts w:ascii="Times New Roman" w:hAnsi="Times New Roman"/>
          <w:sz w:val="24"/>
          <w:szCs w:val="24"/>
        </w:rPr>
      </w:pPr>
      <w:r w:rsidRPr="00145E0F">
        <w:rPr>
          <w:rFonts w:ascii="Times New Roman" w:hAnsi="Times New Roman"/>
          <w:sz w:val="24"/>
          <w:szCs w:val="24"/>
        </w:rPr>
        <w:t>В прогнозном периоде реализация мероприятий в сфере потребительского рынка будет осуществляться в рамках муниципальной программы «Развитие потребительского рынка в городском округе Тольятти на 2017–2021 гг.», утвержденной постановлением мэрии от 21.10.2016 № 3307-п/1. В рамках данной Программы предусмотрено проведение мониторинга мелкорозничной торговли, размещенной на территории городского округа Тольятти, организация работы по вывозу незаконно размещенных объектов потребительского рынка и др.</w:t>
      </w:r>
    </w:p>
    <w:p w:rsidR="00432209" w:rsidRPr="00145E0F" w:rsidRDefault="00432209" w:rsidP="00861D76">
      <w:pPr>
        <w:spacing w:before="120" w:after="0"/>
        <w:ind w:right="-1" w:firstLine="709"/>
        <w:jc w:val="both"/>
        <w:textAlignment w:val="top"/>
        <w:rPr>
          <w:rFonts w:ascii="Times New Roman" w:hAnsi="Times New Roman"/>
          <w:sz w:val="24"/>
          <w:szCs w:val="24"/>
        </w:rPr>
      </w:pPr>
      <w:r w:rsidRPr="00145E0F">
        <w:rPr>
          <w:rFonts w:ascii="Times New Roman" w:hAnsi="Times New Roman"/>
          <w:sz w:val="24"/>
          <w:szCs w:val="24"/>
        </w:rPr>
        <w:t xml:space="preserve">Кроме того, в целях развития потребительского рынка, поддержки местных товаропроизводителей, конкурентной среды, а также снижения и стабилизации цен на товары и услуги в прогнозном периоде планируется реализация следующих мероприятий: определение обеспеченности жителей городского округа Тольятти торговыми площадями, посадочными местами предприятий общественного питания и рабочими местами предприятий бытового обслуживания; мониторинг цен на отдельные виды социально значимых товаров;  развитие локальных сетей розничной торговли шаговой доступности и др. Также, с целью реализации продукции местных товаропроизводителей, в прогнозном периоде будет осуществляться ярмарочная торговля. </w:t>
      </w:r>
    </w:p>
    <w:p w:rsidR="00065A6A" w:rsidRPr="00145E0F" w:rsidRDefault="00065A6A" w:rsidP="00861D76">
      <w:pPr>
        <w:widowControl w:val="0"/>
        <w:spacing w:before="120" w:after="0"/>
        <w:jc w:val="center"/>
        <w:rPr>
          <w:rFonts w:ascii="Times New Roman" w:hAnsi="Times New Roman"/>
          <w:b/>
          <w:sz w:val="24"/>
          <w:szCs w:val="24"/>
        </w:rPr>
      </w:pPr>
      <w:r w:rsidRPr="00145E0F">
        <w:rPr>
          <w:rFonts w:ascii="Times New Roman" w:hAnsi="Times New Roman"/>
          <w:b/>
          <w:sz w:val="24"/>
          <w:szCs w:val="24"/>
        </w:rPr>
        <w:t>Охрана окружающей среды</w:t>
      </w:r>
      <w:bookmarkStart w:id="10" w:name="экология"/>
      <w:bookmarkEnd w:id="10"/>
    </w:p>
    <w:p w:rsidR="00336EFC" w:rsidRPr="00145E0F" w:rsidRDefault="00336EFC" w:rsidP="00861D76">
      <w:pPr>
        <w:spacing w:before="120" w:after="0"/>
        <w:ind w:firstLine="720"/>
        <w:jc w:val="both"/>
        <w:rPr>
          <w:rFonts w:ascii="Times New Roman" w:hAnsi="Times New Roman"/>
          <w:bCs/>
          <w:sz w:val="24"/>
          <w:szCs w:val="24"/>
        </w:rPr>
      </w:pPr>
      <w:r w:rsidRPr="00145E0F">
        <w:rPr>
          <w:rFonts w:ascii="Times New Roman" w:hAnsi="Times New Roman"/>
          <w:bCs/>
          <w:sz w:val="24"/>
          <w:szCs w:val="24"/>
        </w:rPr>
        <w:t>В 2021 - 2023 годах экологическая обстановка, сложившаяся в городском округе Тольятти, будет определяться характером и масштабами воздействия на окружающую среду предприятий промышленности, автомобильного транспорта, коммунального хозяйства, а также эффективностью реализованных ими природоохранных мероприятий.</w:t>
      </w:r>
    </w:p>
    <w:p w:rsidR="00336EFC" w:rsidRPr="00145E0F" w:rsidRDefault="00336EFC" w:rsidP="00862ECD">
      <w:pPr>
        <w:spacing w:after="0"/>
        <w:ind w:right="-5" w:firstLine="709"/>
        <w:jc w:val="both"/>
        <w:rPr>
          <w:rFonts w:ascii="Times New Roman" w:hAnsi="Times New Roman"/>
          <w:bCs/>
          <w:sz w:val="24"/>
          <w:szCs w:val="24"/>
        </w:rPr>
      </w:pPr>
      <w:r w:rsidRPr="00145E0F">
        <w:rPr>
          <w:rFonts w:ascii="Times New Roman" w:hAnsi="Times New Roman"/>
          <w:bCs/>
          <w:sz w:val="24"/>
          <w:szCs w:val="24"/>
        </w:rPr>
        <w:t>При условии реализации консервативного варианта прогноза, вследствие увеличения выпуска продукции и числа источников выбросов, в 2021 - 2023 годах прогнозируется тенденция увеличения объёмов вредных веществ, выбрасываемых в атмосферный воздух стационарными источниками загрязнения, по сравнению с 2020 годом (данный показатель может увеличиться на 0,8% до 36,0 тыс. тонн).</w:t>
      </w:r>
    </w:p>
    <w:p w:rsidR="00336EFC" w:rsidRPr="00145E0F" w:rsidRDefault="00336EFC" w:rsidP="00862ECD">
      <w:pPr>
        <w:spacing w:after="0"/>
        <w:jc w:val="both"/>
        <w:rPr>
          <w:rFonts w:ascii="Times New Roman" w:hAnsi="Times New Roman"/>
          <w:sz w:val="24"/>
          <w:szCs w:val="24"/>
        </w:rPr>
      </w:pPr>
      <w:r w:rsidRPr="00145E0F">
        <w:rPr>
          <w:rFonts w:ascii="Times New Roman" w:hAnsi="Times New Roman"/>
          <w:sz w:val="24"/>
          <w:szCs w:val="24"/>
        </w:rPr>
        <w:tab/>
        <w:t>Объём сброса загрязненных сточных вод в поверхностные водные объекты к 2023 году уменьшится относительно 2020 года по консервативному прогнозу на 4 % и составит 114 373,3 тыс.куб.м.</w:t>
      </w:r>
    </w:p>
    <w:p w:rsidR="00F037C8" w:rsidRDefault="00336EFC" w:rsidP="00862ECD">
      <w:pPr>
        <w:spacing w:after="0"/>
        <w:ind w:firstLine="720"/>
        <w:jc w:val="both"/>
        <w:rPr>
          <w:rFonts w:ascii="Times New Roman" w:hAnsi="Times New Roman"/>
          <w:bCs/>
          <w:sz w:val="24"/>
          <w:szCs w:val="24"/>
        </w:rPr>
      </w:pPr>
      <w:r w:rsidRPr="00145E0F">
        <w:rPr>
          <w:rFonts w:ascii="Times New Roman" w:hAnsi="Times New Roman"/>
          <w:bCs/>
          <w:sz w:val="24"/>
          <w:szCs w:val="24"/>
        </w:rPr>
        <w:t xml:space="preserve">При условии реализации базового варианта прогноза, вследствие </w:t>
      </w:r>
      <w:r w:rsidR="00E210A5" w:rsidRPr="00145E0F">
        <w:rPr>
          <w:rFonts w:ascii="Times New Roman" w:hAnsi="Times New Roman"/>
          <w:bCs/>
          <w:sz w:val="24"/>
          <w:szCs w:val="24"/>
        </w:rPr>
        <w:t xml:space="preserve">полномасштабной </w:t>
      </w:r>
      <w:r w:rsidRPr="00145E0F">
        <w:rPr>
          <w:rFonts w:ascii="Times New Roman" w:hAnsi="Times New Roman"/>
          <w:bCs/>
          <w:sz w:val="24"/>
          <w:szCs w:val="24"/>
        </w:rPr>
        <w:t xml:space="preserve">реализации крупными промышленными предприятиями мероприятий, направленных на снижение негативного воздействия на окружающую среду, в 2021 - 2023 годах прогнозируется тенденция снижения объёмов вредных веществ, выбрасываемых в атмосферный воздух стационарными источниками загрязнения, по сравнению с 2020 годом. </w:t>
      </w:r>
      <w:r w:rsidR="00F037C8">
        <w:rPr>
          <w:rFonts w:ascii="Times New Roman" w:hAnsi="Times New Roman"/>
          <w:bCs/>
          <w:sz w:val="24"/>
          <w:szCs w:val="24"/>
        </w:rPr>
        <w:t>В</w:t>
      </w:r>
      <w:r w:rsidRPr="00145E0F">
        <w:rPr>
          <w:rFonts w:ascii="Times New Roman" w:hAnsi="Times New Roman"/>
          <w:bCs/>
          <w:sz w:val="24"/>
          <w:szCs w:val="24"/>
        </w:rPr>
        <w:t xml:space="preserve"> 2023 году относительно 2020 года данный показатель может уменьшиться на 0,8 % до 35,4 тыс. тонн.</w:t>
      </w:r>
      <w:r w:rsidR="00F037C8">
        <w:rPr>
          <w:rFonts w:ascii="Times New Roman" w:hAnsi="Times New Roman"/>
          <w:bCs/>
          <w:sz w:val="24"/>
          <w:szCs w:val="24"/>
        </w:rPr>
        <w:t xml:space="preserve"> </w:t>
      </w:r>
    </w:p>
    <w:p w:rsidR="00336EFC" w:rsidRPr="00145E0F" w:rsidRDefault="00336EFC" w:rsidP="00862ECD">
      <w:pPr>
        <w:spacing w:after="0"/>
        <w:ind w:firstLine="720"/>
        <w:jc w:val="both"/>
        <w:rPr>
          <w:rFonts w:ascii="Times New Roman" w:hAnsi="Times New Roman"/>
          <w:sz w:val="24"/>
          <w:szCs w:val="24"/>
        </w:rPr>
      </w:pPr>
      <w:r w:rsidRPr="00145E0F">
        <w:rPr>
          <w:rFonts w:ascii="Times New Roman" w:hAnsi="Times New Roman"/>
          <w:sz w:val="24"/>
          <w:szCs w:val="24"/>
        </w:rPr>
        <w:t>Объём сброса загрязненных сточных вод в поверхностные водные объекты в 2023 году уменьшится относительно 2020 года по базовому варианту прогноза на 4,2% и составит 114 031,00 тыс.куб.м.</w:t>
      </w:r>
    </w:p>
    <w:p w:rsidR="00336EFC" w:rsidRPr="00145E0F" w:rsidRDefault="00336EFC"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Муниципальной программой «Охрана окружающей среды на территории городского округа Тольятти на 2017-2021 годы» в рамках задачи рекультивации полигона ТБО с. Узюково планируется продолжение реализации мероприятия: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 которое также запланировано в Государственной программе Самарской области «Охрана окружающей среды Самарской области на 2014 - 2020 годы», утвержденной </w:t>
      </w:r>
      <w:r w:rsidR="00157FC7">
        <w:rPr>
          <w:rFonts w:ascii="Times New Roman" w:hAnsi="Times New Roman"/>
          <w:sz w:val="24"/>
          <w:szCs w:val="24"/>
        </w:rPr>
        <w:t>п</w:t>
      </w:r>
      <w:r w:rsidRPr="00145E0F">
        <w:rPr>
          <w:rFonts w:ascii="Times New Roman" w:hAnsi="Times New Roman"/>
          <w:sz w:val="24"/>
          <w:szCs w:val="24"/>
        </w:rPr>
        <w:t>остановлением Правительства Самарской области от 27.11.2013 №</w:t>
      </w:r>
      <w:r w:rsidR="00E210A5" w:rsidRPr="00145E0F">
        <w:rPr>
          <w:rFonts w:ascii="Times New Roman" w:hAnsi="Times New Roman"/>
          <w:sz w:val="24"/>
          <w:szCs w:val="24"/>
        </w:rPr>
        <w:t xml:space="preserve"> </w:t>
      </w:r>
      <w:r w:rsidRPr="00145E0F">
        <w:rPr>
          <w:rFonts w:ascii="Times New Roman" w:hAnsi="Times New Roman"/>
          <w:sz w:val="24"/>
          <w:szCs w:val="24"/>
        </w:rPr>
        <w:t xml:space="preserve">668. </w:t>
      </w:r>
    </w:p>
    <w:p w:rsidR="00336EFC" w:rsidRPr="00145E0F" w:rsidRDefault="00336EFC" w:rsidP="00862ECD">
      <w:pPr>
        <w:spacing w:after="0"/>
        <w:ind w:firstLine="720"/>
        <w:jc w:val="both"/>
        <w:rPr>
          <w:rFonts w:ascii="Times New Roman" w:hAnsi="Times New Roman"/>
          <w:bCs/>
          <w:sz w:val="24"/>
          <w:szCs w:val="24"/>
        </w:rPr>
      </w:pPr>
      <w:r w:rsidRPr="00145E0F">
        <w:rPr>
          <w:rFonts w:ascii="Times New Roman" w:hAnsi="Times New Roman"/>
          <w:bCs/>
          <w:sz w:val="24"/>
          <w:szCs w:val="24"/>
        </w:rPr>
        <w:t>В рамках реализации государственной программы Самарской области «Оздоровление Волги. Строительство и реконструкция (модернизация) очистных сооружений централизованных систем водоотведения» на 2020-2024 годы городской округ Тольятти участвует со следующими мероприятиями:</w:t>
      </w:r>
    </w:p>
    <w:p w:rsidR="00336EFC" w:rsidRPr="00145E0F" w:rsidRDefault="00336EFC" w:rsidP="00862ECD">
      <w:pPr>
        <w:tabs>
          <w:tab w:val="left" w:pos="7938"/>
        </w:tabs>
        <w:spacing w:after="0"/>
        <w:ind w:firstLine="720"/>
        <w:jc w:val="both"/>
        <w:rPr>
          <w:rFonts w:ascii="Times New Roman" w:hAnsi="Times New Roman"/>
          <w:bCs/>
          <w:sz w:val="24"/>
          <w:szCs w:val="24"/>
        </w:rPr>
      </w:pPr>
      <w:r w:rsidRPr="00145E0F">
        <w:rPr>
          <w:rFonts w:ascii="Times New Roman" w:hAnsi="Times New Roman"/>
          <w:bCs/>
          <w:sz w:val="24"/>
          <w:szCs w:val="24"/>
        </w:rPr>
        <w:t>1. Строительство первой очереди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(муниципальные очистные сооружения). Реализация мероприятия 2022-2024 гг.</w:t>
      </w:r>
    </w:p>
    <w:p w:rsidR="00336EFC" w:rsidRPr="00145E0F" w:rsidRDefault="00336EFC" w:rsidP="00862ECD">
      <w:pPr>
        <w:tabs>
          <w:tab w:val="left" w:pos="7938"/>
        </w:tabs>
        <w:spacing w:after="0"/>
        <w:ind w:firstLine="720"/>
        <w:jc w:val="both"/>
        <w:rPr>
          <w:rFonts w:ascii="Times New Roman" w:hAnsi="Times New Roman"/>
          <w:bCs/>
          <w:sz w:val="24"/>
          <w:szCs w:val="24"/>
        </w:rPr>
      </w:pPr>
      <w:r w:rsidRPr="00145E0F">
        <w:rPr>
          <w:rFonts w:ascii="Times New Roman" w:hAnsi="Times New Roman"/>
          <w:bCs/>
          <w:sz w:val="24"/>
          <w:szCs w:val="24"/>
        </w:rPr>
        <w:t>2. Строительство очистных сооружений поверхностных и приравненных к ним по составу производственных сточных вод с территории промышленно-коммунальной зоны северо-западной части Автозаводского района. Финансирование за счет средств предприятия ООО «АВТОГРАД-ВОДОКАНАЛ». Реализация мероприятия 2021-2024 гг.</w:t>
      </w:r>
    </w:p>
    <w:p w:rsidR="00336EFC" w:rsidRPr="00145E0F" w:rsidRDefault="00336EFC" w:rsidP="00862ECD">
      <w:pPr>
        <w:tabs>
          <w:tab w:val="left" w:pos="7938"/>
        </w:tabs>
        <w:spacing w:after="0"/>
        <w:ind w:firstLine="720"/>
        <w:jc w:val="both"/>
        <w:rPr>
          <w:rFonts w:ascii="Times New Roman" w:hAnsi="Times New Roman"/>
          <w:bCs/>
          <w:sz w:val="24"/>
          <w:szCs w:val="24"/>
        </w:rPr>
      </w:pPr>
      <w:r w:rsidRPr="00145E0F">
        <w:rPr>
          <w:rFonts w:ascii="Times New Roman" w:hAnsi="Times New Roman"/>
          <w:bCs/>
          <w:sz w:val="24"/>
          <w:szCs w:val="24"/>
        </w:rPr>
        <w:t>3. Химические предприятия городского округа Тольятти. (Строительство 1-го этапа канализационных очистных сооружений ПАО «Куйбышевазот» смешанного потока сточных вод предприятий Северного промузла г. Тольятти в районе регулирующей ёмкости). Финансирование за счет средств предприятия. Реали</w:t>
      </w:r>
      <w:r w:rsidR="002D5044">
        <w:rPr>
          <w:rFonts w:ascii="Times New Roman" w:hAnsi="Times New Roman"/>
          <w:bCs/>
          <w:sz w:val="24"/>
          <w:szCs w:val="24"/>
        </w:rPr>
        <w:t>зация мероприятия 2019-2020 гг.</w:t>
      </w:r>
    </w:p>
    <w:p w:rsidR="00336EFC" w:rsidRPr="00145E0F" w:rsidRDefault="00336EFC" w:rsidP="00862ECD">
      <w:pPr>
        <w:tabs>
          <w:tab w:val="left" w:pos="7938"/>
        </w:tabs>
        <w:spacing w:after="0"/>
        <w:ind w:firstLine="720"/>
        <w:jc w:val="both"/>
        <w:rPr>
          <w:rFonts w:ascii="Times New Roman" w:hAnsi="Times New Roman"/>
          <w:bCs/>
          <w:sz w:val="24"/>
          <w:szCs w:val="24"/>
        </w:rPr>
      </w:pPr>
      <w:r w:rsidRPr="00145E0F">
        <w:rPr>
          <w:rFonts w:ascii="Times New Roman" w:hAnsi="Times New Roman"/>
          <w:bCs/>
          <w:sz w:val="24"/>
          <w:szCs w:val="24"/>
        </w:rPr>
        <w:t>4. Нефтехимические предприятия городского округа Тольятти. (Сокращение поступления загрязнённых сточных вод в водные объекты Волжского бассейна от ООО «Тольяттикаучук»). Финансирование за счет средств предприятия. Реали</w:t>
      </w:r>
      <w:r w:rsidR="002D5044">
        <w:rPr>
          <w:rFonts w:ascii="Times New Roman" w:hAnsi="Times New Roman"/>
          <w:bCs/>
          <w:sz w:val="24"/>
          <w:szCs w:val="24"/>
        </w:rPr>
        <w:t>зация мероприятия 2019-2024 гг.</w:t>
      </w:r>
    </w:p>
    <w:p w:rsidR="00336EFC" w:rsidRDefault="00336EFC" w:rsidP="00862ECD">
      <w:pPr>
        <w:tabs>
          <w:tab w:val="left" w:pos="7938"/>
        </w:tabs>
        <w:spacing w:after="0"/>
        <w:ind w:firstLine="720"/>
        <w:jc w:val="both"/>
        <w:rPr>
          <w:rFonts w:ascii="Times New Roman" w:hAnsi="Times New Roman"/>
          <w:bCs/>
          <w:sz w:val="24"/>
          <w:szCs w:val="24"/>
        </w:rPr>
      </w:pPr>
      <w:r w:rsidRPr="00145E0F">
        <w:rPr>
          <w:rFonts w:ascii="Times New Roman" w:hAnsi="Times New Roman"/>
          <w:bCs/>
          <w:sz w:val="24"/>
          <w:szCs w:val="24"/>
        </w:rPr>
        <w:t>5. Реконструкция биологических очистных сооружений канализации городского округа Тольятти. Финансирование за счет средств предприятия ООО «АВТОГРАД-ВОДОКАНАЛ». Реализация мероприятия 2019-2024 гг.</w:t>
      </w:r>
    </w:p>
    <w:p w:rsidR="007A25C7" w:rsidRPr="00145E0F" w:rsidRDefault="007A25C7" w:rsidP="00862ECD">
      <w:pPr>
        <w:tabs>
          <w:tab w:val="left" w:pos="7938"/>
        </w:tabs>
        <w:spacing w:after="0"/>
        <w:ind w:firstLine="720"/>
        <w:jc w:val="both"/>
        <w:rPr>
          <w:rFonts w:ascii="Times New Roman" w:hAnsi="Times New Roman"/>
          <w:bCs/>
          <w:sz w:val="24"/>
          <w:szCs w:val="24"/>
        </w:rPr>
      </w:pPr>
    </w:p>
    <w:p w:rsidR="00EE2613" w:rsidRPr="00145E0F" w:rsidRDefault="00EE2613" w:rsidP="00862ECD">
      <w:pPr>
        <w:spacing w:after="0"/>
        <w:ind w:firstLine="709"/>
        <w:jc w:val="both"/>
        <w:rPr>
          <w:rFonts w:ascii="Times New Roman" w:hAnsi="Times New Roman"/>
          <w:sz w:val="24"/>
          <w:szCs w:val="24"/>
        </w:rPr>
      </w:pPr>
      <w:r w:rsidRPr="00145E0F">
        <w:rPr>
          <w:rFonts w:ascii="Times New Roman" w:hAnsi="Times New Roman"/>
          <w:sz w:val="24"/>
          <w:szCs w:val="24"/>
        </w:rPr>
        <w:t xml:space="preserve">Таким образом, скорость выхода на устойчивую траекторию </w:t>
      </w:r>
      <w:r w:rsidR="007A25C7" w:rsidRPr="00145E0F">
        <w:rPr>
          <w:rFonts w:ascii="Times New Roman" w:hAnsi="Times New Roman"/>
          <w:sz w:val="24"/>
          <w:szCs w:val="24"/>
        </w:rPr>
        <w:t>экономического роста,</w:t>
      </w:r>
      <w:r w:rsidRPr="00145E0F">
        <w:rPr>
          <w:rFonts w:ascii="Times New Roman" w:hAnsi="Times New Roman"/>
          <w:sz w:val="24"/>
          <w:szCs w:val="24"/>
        </w:rPr>
        <w:t xml:space="preserve"> и стабилизация в социальной сфере </w:t>
      </w:r>
      <w:r w:rsidRPr="00145E0F">
        <w:rPr>
          <w:rFonts w:ascii="Times New Roman" w:hAnsi="Times New Roman"/>
          <w:bCs/>
          <w:sz w:val="24"/>
          <w:szCs w:val="24"/>
        </w:rPr>
        <w:t xml:space="preserve">городского округа Тольятти </w:t>
      </w:r>
      <w:r w:rsidRPr="00145E0F">
        <w:rPr>
          <w:rFonts w:ascii="Times New Roman" w:hAnsi="Times New Roman"/>
          <w:sz w:val="24"/>
          <w:szCs w:val="24"/>
        </w:rPr>
        <w:t>буд</w:t>
      </w:r>
      <w:r w:rsidR="00C37CB6" w:rsidRPr="00145E0F">
        <w:rPr>
          <w:rFonts w:ascii="Times New Roman" w:hAnsi="Times New Roman"/>
          <w:sz w:val="24"/>
          <w:szCs w:val="24"/>
        </w:rPr>
        <w:t>е</w:t>
      </w:r>
      <w:r w:rsidRPr="00145E0F">
        <w:rPr>
          <w:rFonts w:ascii="Times New Roman" w:hAnsi="Times New Roman"/>
          <w:sz w:val="24"/>
          <w:szCs w:val="24"/>
        </w:rPr>
        <w:t xml:space="preserve">т зависеть от влияния внешних факторов, </w:t>
      </w:r>
      <w:r w:rsidRPr="00145E0F">
        <w:rPr>
          <w:rFonts w:ascii="Times New Roman" w:hAnsi="Times New Roman"/>
          <w:sz w:val="24"/>
          <w:szCs w:val="24"/>
          <w:lang w:eastAsia="zh-CN"/>
        </w:rPr>
        <w:t>эффективности реализации мероприятий общенационального и регионального планов действий, обеспечивающих восстановление занятости и доходов населения, рост экономики и долгосрочные структурные изменения</w:t>
      </w:r>
      <w:r w:rsidRPr="00145E0F">
        <w:rPr>
          <w:rFonts w:ascii="Times New Roman" w:hAnsi="Times New Roman"/>
          <w:sz w:val="24"/>
          <w:szCs w:val="24"/>
        </w:rPr>
        <w:t xml:space="preserve">. Тенденции развития экономики будет определяться динамикой развития предприятий ключевых кластеров, реализацией инвестиционных проектов, в том числе с привлечением средств федеральных и региональных институтов развития (Фонда развития промышленности, Фонда развития моногородов и др.). </w:t>
      </w:r>
    </w:p>
    <w:p w:rsidR="00080B75" w:rsidRPr="00145E0F" w:rsidRDefault="00080B75" w:rsidP="0085402B">
      <w:pPr>
        <w:suppressAutoHyphens/>
        <w:spacing w:after="0"/>
        <w:jc w:val="both"/>
        <w:outlineLvl w:val="0"/>
        <w:rPr>
          <w:rFonts w:ascii="Times New Roman" w:hAnsi="Times New Roman"/>
          <w:sz w:val="24"/>
          <w:szCs w:val="24"/>
        </w:rPr>
      </w:pPr>
    </w:p>
    <w:p w:rsidR="00EF48FF" w:rsidRDefault="00EF48FF" w:rsidP="0085402B">
      <w:pPr>
        <w:suppressAutoHyphens/>
        <w:spacing w:after="0"/>
        <w:jc w:val="both"/>
        <w:outlineLvl w:val="0"/>
        <w:rPr>
          <w:rFonts w:ascii="Times New Roman" w:hAnsi="Times New Roman"/>
          <w:sz w:val="24"/>
          <w:szCs w:val="24"/>
        </w:rPr>
      </w:pPr>
    </w:p>
    <w:p w:rsidR="000343FC" w:rsidRDefault="000343FC" w:rsidP="0085402B">
      <w:pPr>
        <w:suppressAutoHyphens/>
        <w:spacing w:after="0"/>
        <w:jc w:val="both"/>
        <w:outlineLvl w:val="0"/>
        <w:rPr>
          <w:rFonts w:ascii="Times New Roman" w:hAnsi="Times New Roman"/>
          <w:sz w:val="24"/>
          <w:szCs w:val="24"/>
        </w:rPr>
      </w:pPr>
    </w:p>
    <w:p w:rsidR="000343FC" w:rsidRDefault="000343FC" w:rsidP="0085402B">
      <w:pPr>
        <w:suppressAutoHyphens/>
        <w:spacing w:after="0"/>
        <w:jc w:val="both"/>
        <w:outlineLvl w:val="0"/>
        <w:rPr>
          <w:rFonts w:ascii="Times New Roman" w:hAnsi="Times New Roman"/>
          <w:sz w:val="24"/>
          <w:szCs w:val="24"/>
        </w:rPr>
      </w:pPr>
    </w:p>
    <w:p w:rsidR="000343FC" w:rsidRDefault="000343FC" w:rsidP="0085402B">
      <w:pPr>
        <w:suppressAutoHyphens/>
        <w:spacing w:after="0"/>
        <w:jc w:val="both"/>
        <w:outlineLvl w:val="0"/>
        <w:rPr>
          <w:rFonts w:ascii="Times New Roman" w:hAnsi="Times New Roman"/>
          <w:sz w:val="24"/>
          <w:szCs w:val="24"/>
        </w:rPr>
      </w:pPr>
    </w:p>
    <w:p w:rsidR="000343FC" w:rsidRDefault="000343FC" w:rsidP="0085402B">
      <w:pPr>
        <w:suppressAutoHyphens/>
        <w:spacing w:after="0"/>
        <w:jc w:val="both"/>
        <w:outlineLvl w:val="0"/>
        <w:rPr>
          <w:rFonts w:ascii="Times New Roman" w:hAnsi="Times New Roman"/>
          <w:sz w:val="24"/>
          <w:szCs w:val="24"/>
        </w:rPr>
      </w:pPr>
    </w:p>
    <w:p w:rsidR="00080B75" w:rsidRPr="00145E0F" w:rsidRDefault="00360741" w:rsidP="0085402B">
      <w:pPr>
        <w:suppressAutoHyphens/>
        <w:spacing w:after="0"/>
        <w:jc w:val="both"/>
        <w:outlineLvl w:val="0"/>
        <w:rPr>
          <w:rFonts w:ascii="Times New Roman" w:hAnsi="Times New Roman"/>
          <w:sz w:val="24"/>
          <w:szCs w:val="24"/>
        </w:rPr>
      </w:pPr>
      <w:r w:rsidRPr="00145E0F">
        <w:rPr>
          <w:rFonts w:ascii="Times New Roman" w:hAnsi="Times New Roman"/>
          <w:sz w:val="24"/>
          <w:szCs w:val="24"/>
        </w:rPr>
        <w:t>Р</w:t>
      </w:r>
      <w:r w:rsidR="0024525F" w:rsidRPr="00145E0F">
        <w:rPr>
          <w:rFonts w:ascii="Times New Roman" w:hAnsi="Times New Roman"/>
          <w:sz w:val="24"/>
          <w:szCs w:val="24"/>
        </w:rPr>
        <w:t>уководител</w:t>
      </w:r>
      <w:r w:rsidRPr="00145E0F">
        <w:rPr>
          <w:rFonts w:ascii="Times New Roman" w:hAnsi="Times New Roman"/>
          <w:sz w:val="24"/>
          <w:szCs w:val="24"/>
        </w:rPr>
        <w:t>ь</w:t>
      </w:r>
      <w:r w:rsidR="00E34674" w:rsidRPr="00145E0F">
        <w:rPr>
          <w:rFonts w:ascii="Times New Roman" w:hAnsi="Times New Roman"/>
          <w:sz w:val="24"/>
          <w:szCs w:val="24"/>
        </w:rPr>
        <w:t xml:space="preserve"> </w:t>
      </w:r>
      <w:r w:rsidR="0024525F" w:rsidRPr="00145E0F">
        <w:rPr>
          <w:rFonts w:ascii="Times New Roman" w:hAnsi="Times New Roman"/>
          <w:sz w:val="24"/>
          <w:szCs w:val="24"/>
        </w:rPr>
        <w:t xml:space="preserve">департамента  </w:t>
      </w:r>
    </w:p>
    <w:p w:rsidR="0024525F" w:rsidRPr="00145E0F" w:rsidRDefault="0024525F" w:rsidP="0085402B">
      <w:pPr>
        <w:suppressAutoHyphens/>
        <w:spacing w:after="0"/>
        <w:jc w:val="both"/>
        <w:outlineLvl w:val="0"/>
        <w:rPr>
          <w:rFonts w:ascii="Times New Roman" w:hAnsi="Times New Roman"/>
          <w:sz w:val="24"/>
          <w:szCs w:val="24"/>
        </w:rPr>
      </w:pPr>
      <w:r w:rsidRPr="00145E0F">
        <w:rPr>
          <w:rFonts w:ascii="Times New Roman" w:hAnsi="Times New Roman"/>
          <w:sz w:val="24"/>
          <w:szCs w:val="24"/>
        </w:rPr>
        <w:t>экономического развития</w:t>
      </w:r>
      <w:r w:rsidR="004A3EE1" w:rsidRPr="00145E0F">
        <w:rPr>
          <w:rFonts w:ascii="Times New Roman" w:hAnsi="Times New Roman"/>
          <w:sz w:val="24"/>
          <w:szCs w:val="24"/>
        </w:rPr>
        <w:t xml:space="preserve"> </w:t>
      </w:r>
      <w:r w:rsidR="00360741" w:rsidRPr="00145E0F">
        <w:rPr>
          <w:rFonts w:ascii="Times New Roman" w:hAnsi="Times New Roman"/>
          <w:sz w:val="24"/>
          <w:szCs w:val="24"/>
        </w:rPr>
        <w:t xml:space="preserve">                                                      </w:t>
      </w:r>
      <w:r w:rsidR="00080B75" w:rsidRPr="00145E0F">
        <w:rPr>
          <w:rFonts w:ascii="Times New Roman" w:hAnsi="Times New Roman"/>
          <w:sz w:val="24"/>
          <w:szCs w:val="24"/>
        </w:rPr>
        <w:t xml:space="preserve">   </w:t>
      </w:r>
      <w:r w:rsidR="00360741" w:rsidRPr="00145E0F">
        <w:rPr>
          <w:rFonts w:ascii="Times New Roman" w:hAnsi="Times New Roman"/>
          <w:sz w:val="24"/>
          <w:szCs w:val="24"/>
        </w:rPr>
        <w:t xml:space="preserve">            </w:t>
      </w:r>
      <w:r w:rsidR="00080B75" w:rsidRPr="00145E0F">
        <w:rPr>
          <w:rFonts w:ascii="Times New Roman" w:hAnsi="Times New Roman"/>
          <w:sz w:val="24"/>
          <w:szCs w:val="24"/>
        </w:rPr>
        <w:t xml:space="preserve">     </w:t>
      </w:r>
      <w:r w:rsidR="00360741" w:rsidRPr="00145E0F">
        <w:rPr>
          <w:rFonts w:ascii="Times New Roman" w:hAnsi="Times New Roman"/>
          <w:sz w:val="24"/>
          <w:szCs w:val="24"/>
        </w:rPr>
        <w:t xml:space="preserve">          </w:t>
      </w:r>
      <w:r w:rsidR="007A25C7">
        <w:rPr>
          <w:rFonts w:ascii="Times New Roman" w:hAnsi="Times New Roman"/>
          <w:sz w:val="24"/>
          <w:szCs w:val="24"/>
        </w:rPr>
        <w:t xml:space="preserve">  </w:t>
      </w:r>
      <w:r w:rsidR="00360741" w:rsidRPr="00145E0F">
        <w:rPr>
          <w:rFonts w:ascii="Times New Roman" w:hAnsi="Times New Roman"/>
          <w:sz w:val="24"/>
          <w:szCs w:val="24"/>
        </w:rPr>
        <w:t xml:space="preserve">  </w:t>
      </w:r>
      <w:r w:rsidR="007D2609" w:rsidRPr="00145E0F">
        <w:rPr>
          <w:rFonts w:ascii="Times New Roman" w:hAnsi="Times New Roman"/>
          <w:sz w:val="24"/>
          <w:szCs w:val="24"/>
        </w:rPr>
        <w:t xml:space="preserve">Е.В. </w:t>
      </w:r>
      <w:proofErr w:type="spellStart"/>
      <w:r w:rsidR="007D2609" w:rsidRPr="00145E0F">
        <w:rPr>
          <w:rFonts w:ascii="Times New Roman" w:hAnsi="Times New Roman"/>
          <w:sz w:val="24"/>
          <w:szCs w:val="24"/>
        </w:rPr>
        <w:t>Базаева</w:t>
      </w:r>
      <w:proofErr w:type="spellEnd"/>
      <w:r w:rsidRPr="00145E0F">
        <w:rPr>
          <w:rFonts w:ascii="Times New Roman" w:hAnsi="Times New Roman"/>
          <w:sz w:val="24"/>
          <w:szCs w:val="24"/>
        </w:rPr>
        <w:t xml:space="preserve">            </w:t>
      </w:r>
      <w:r w:rsidR="00712688" w:rsidRPr="00145E0F">
        <w:rPr>
          <w:rFonts w:ascii="Times New Roman" w:hAnsi="Times New Roman"/>
          <w:sz w:val="24"/>
          <w:szCs w:val="24"/>
        </w:rPr>
        <w:t xml:space="preserve">     </w:t>
      </w:r>
      <w:r w:rsidRPr="00145E0F">
        <w:rPr>
          <w:rFonts w:ascii="Times New Roman" w:hAnsi="Times New Roman"/>
          <w:sz w:val="24"/>
          <w:szCs w:val="24"/>
        </w:rPr>
        <w:t xml:space="preserve">      </w:t>
      </w:r>
    </w:p>
    <w:p w:rsidR="00080B75" w:rsidRPr="00145E0F" w:rsidRDefault="00080B75" w:rsidP="006509F3">
      <w:pPr>
        <w:suppressAutoHyphens/>
        <w:spacing w:after="0"/>
        <w:jc w:val="both"/>
        <w:outlineLvl w:val="0"/>
        <w:rPr>
          <w:rFonts w:ascii="Times New Roman" w:hAnsi="Times New Roman"/>
          <w:sz w:val="20"/>
          <w:szCs w:val="20"/>
        </w:rPr>
      </w:pPr>
    </w:p>
    <w:p w:rsidR="00080B75" w:rsidRPr="00145E0F" w:rsidRDefault="00080B75" w:rsidP="006509F3">
      <w:pPr>
        <w:suppressAutoHyphens/>
        <w:spacing w:after="0"/>
        <w:jc w:val="both"/>
        <w:outlineLvl w:val="0"/>
        <w:rPr>
          <w:rFonts w:ascii="Times New Roman" w:hAnsi="Times New Roman"/>
          <w:sz w:val="20"/>
          <w:szCs w:val="20"/>
        </w:rPr>
      </w:pPr>
    </w:p>
    <w:p w:rsidR="00080B75" w:rsidRDefault="00080B75" w:rsidP="006509F3">
      <w:pPr>
        <w:suppressAutoHyphens/>
        <w:spacing w:after="0"/>
        <w:jc w:val="both"/>
        <w:outlineLvl w:val="0"/>
        <w:rPr>
          <w:rFonts w:ascii="Times New Roman" w:hAnsi="Times New Roman"/>
          <w:sz w:val="20"/>
          <w:szCs w:val="20"/>
        </w:rPr>
      </w:pPr>
    </w:p>
    <w:p w:rsidR="000343FC" w:rsidRDefault="000343FC" w:rsidP="006509F3">
      <w:pPr>
        <w:suppressAutoHyphens/>
        <w:spacing w:after="0"/>
        <w:jc w:val="both"/>
        <w:outlineLvl w:val="0"/>
        <w:rPr>
          <w:rFonts w:ascii="Times New Roman" w:hAnsi="Times New Roman"/>
          <w:sz w:val="20"/>
          <w:szCs w:val="20"/>
        </w:rPr>
      </w:pPr>
    </w:p>
    <w:p w:rsidR="007A25C7" w:rsidRDefault="007A25C7" w:rsidP="006509F3">
      <w:pPr>
        <w:suppressAutoHyphens/>
        <w:spacing w:after="0"/>
        <w:jc w:val="both"/>
        <w:outlineLvl w:val="0"/>
        <w:rPr>
          <w:rFonts w:ascii="Times New Roman" w:hAnsi="Times New Roman"/>
          <w:sz w:val="20"/>
          <w:szCs w:val="20"/>
        </w:rPr>
      </w:pPr>
    </w:p>
    <w:p w:rsidR="000343FC" w:rsidRDefault="000343FC" w:rsidP="006509F3">
      <w:pPr>
        <w:suppressAutoHyphens/>
        <w:spacing w:after="0"/>
        <w:jc w:val="both"/>
        <w:outlineLvl w:val="0"/>
        <w:rPr>
          <w:rFonts w:ascii="Times New Roman" w:hAnsi="Times New Roman"/>
          <w:sz w:val="20"/>
          <w:szCs w:val="20"/>
        </w:rPr>
      </w:pPr>
    </w:p>
    <w:p w:rsidR="000343FC" w:rsidRPr="00145E0F" w:rsidRDefault="000343FC" w:rsidP="006509F3">
      <w:pPr>
        <w:suppressAutoHyphens/>
        <w:spacing w:after="0"/>
        <w:jc w:val="both"/>
        <w:outlineLvl w:val="0"/>
        <w:rPr>
          <w:rFonts w:ascii="Times New Roman" w:hAnsi="Times New Roman"/>
          <w:sz w:val="20"/>
          <w:szCs w:val="20"/>
        </w:rPr>
      </w:pPr>
    </w:p>
    <w:p w:rsidR="006509F3" w:rsidRPr="00145E0F" w:rsidRDefault="006509F3" w:rsidP="006509F3">
      <w:pPr>
        <w:suppressAutoHyphens/>
        <w:spacing w:after="0"/>
        <w:jc w:val="both"/>
        <w:outlineLvl w:val="0"/>
        <w:rPr>
          <w:rFonts w:ascii="Times New Roman" w:hAnsi="Times New Roman"/>
          <w:sz w:val="20"/>
          <w:szCs w:val="20"/>
        </w:rPr>
      </w:pPr>
      <w:r w:rsidRPr="00145E0F">
        <w:rPr>
          <w:rFonts w:ascii="Times New Roman" w:hAnsi="Times New Roman"/>
          <w:sz w:val="20"/>
          <w:szCs w:val="20"/>
        </w:rPr>
        <w:t>Кончева Н.В.</w:t>
      </w:r>
    </w:p>
    <w:p w:rsidR="006509F3" w:rsidRPr="007D2609" w:rsidRDefault="006509F3" w:rsidP="006509F3">
      <w:pPr>
        <w:suppressAutoHyphens/>
        <w:spacing w:after="0"/>
        <w:jc w:val="both"/>
        <w:outlineLvl w:val="0"/>
        <w:rPr>
          <w:rFonts w:ascii="Times New Roman" w:hAnsi="Times New Roman"/>
          <w:sz w:val="20"/>
          <w:szCs w:val="20"/>
        </w:rPr>
      </w:pPr>
      <w:r w:rsidRPr="00145E0F">
        <w:rPr>
          <w:rFonts w:ascii="Times New Roman" w:hAnsi="Times New Roman"/>
          <w:sz w:val="20"/>
          <w:szCs w:val="20"/>
        </w:rPr>
        <w:t>54-32-76</w:t>
      </w:r>
      <w:bookmarkStart w:id="11" w:name="_GoBack"/>
      <w:bookmarkEnd w:id="11"/>
    </w:p>
    <w:sectPr w:rsidR="006509F3" w:rsidRPr="007D2609" w:rsidSect="00986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7C" w:rsidRDefault="0092237C" w:rsidP="006A2B6C">
      <w:pPr>
        <w:spacing w:after="0" w:line="240" w:lineRule="auto"/>
      </w:pPr>
      <w:r>
        <w:separator/>
      </w:r>
    </w:p>
  </w:endnote>
  <w:endnote w:type="continuationSeparator" w:id="0">
    <w:p w:rsidR="0092237C" w:rsidRDefault="0092237C" w:rsidP="006A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7C" w:rsidRDefault="0092237C" w:rsidP="006A2B6C">
      <w:pPr>
        <w:spacing w:after="0" w:line="240" w:lineRule="auto"/>
      </w:pPr>
      <w:r>
        <w:separator/>
      </w:r>
    </w:p>
  </w:footnote>
  <w:footnote w:type="continuationSeparator" w:id="0">
    <w:p w:rsidR="0092237C" w:rsidRDefault="0092237C" w:rsidP="006A2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3C" w:rsidRDefault="00A8793C">
    <w:pPr>
      <w:pStyle w:val="ab"/>
      <w:jc w:val="center"/>
    </w:pPr>
    <w:r>
      <w:fldChar w:fldCharType="begin"/>
    </w:r>
    <w:r>
      <w:instrText xml:space="preserve"> PAGE   \* MERGEFORMAT </w:instrText>
    </w:r>
    <w:r>
      <w:fldChar w:fldCharType="separate"/>
    </w:r>
    <w:r w:rsidR="007A25C7">
      <w:rPr>
        <w:noProof/>
      </w:rPr>
      <w:t>28</w:t>
    </w:r>
    <w:r>
      <w:rPr>
        <w:noProof/>
      </w:rPr>
      <w:fldChar w:fldCharType="end"/>
    </w:r>
  </w:p>
  <w:p w:rsidR="00A8793C" w:rsidRDefault="00A879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E0B9A6"/>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720"/>
        </w:tabs>
        <w:ind w:left="720" w:hanging="360"/>
      </w:pPr>
      <w:rPr>
        <w:rFonts w:ascii="Symbol" w:hAnsi="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1800"/>
        </w:tabs>
        <w:ind w:left="1800" w:hanging="360"/>
      </w:pPr>
      <w:rPr>
        <w:rFonts w:ascii="Symbol" w:hAnsi="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Symbol" w:hAnsi="Symbol"/>
      </w:rPr>
    </w:lvl>
    <w:lvl w:ilvl="8">
      <w:start w:val="1"/>
      <w:numFmt w:val="bullet"/>
      <w:lvlText w:val=""/>
      <w:lvlJc w:val="left"/>
      <w:pPr>
        <w:tabs>
          <w:tab w:val="num" w:pos="2880"/>
        </w:tabs>
        <w:ind w:left="2880" w:hanging="360"/>
      </w:pPr>
      <w:rPr>
        <w:rFonts w:ascii="Symbol" w:hAnsi="Symbol"/>
      </w:rPr>
    </w:lvl>
  </w:abstractNum>
  <w:abstractNum w:abstractNumId="5">
    <w:nsid w:val="060D4A64"/>
    <w:multiLevelType w:val="hybridMultilevel"/>
    <w:tmpl w:val="712C0DB0"/>
    <w:lvl w:ilvl="0" w:tplc="25E0736C">
      <w:start w:val="1"/>
      <w:numFmt w:val="bullet"/>
      <w:lvlText w:val=""/>
      <w:lvlJc w:val="left"/>
      <w:pPr>
        <w:ind w:left="21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466CD"/>
    <w:multiLevelType w:val="multilevel"/>
    <w:tmpl w:val="394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135C3"/>
    <w:multiLevelType w:val="hybridMultilevel"/>
    <w:tmpl w:val="D1FEA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7450F6"/>
    <w:multiLevelType w:val="hybridMultilevel"/>
    <w:tmpl w:val="E264BE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50AC0"/>
    <w:multiLevelType w:val="hybridMultilevel"/>
    <w:tmpl w:val="75245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4D7D72"/>
    <w:multiLevelType w:val="hybridMultilevel"/>
    <w:tmpl w:val="DC844AE8"/>
    <w:lvl w:ilvl="0" w:tplc="DE529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892534"/>
    <w:multiLevelType w:val="multilevel"/>
    <w:tmpl w:val="E230C6C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9311A52"/>
    <w:multiLevelType w:val="hybridMultilevel"/>
    <w:tmpl w:val="E3D2A776"/>
    <w:lvl w:ilvl="0" w:tplc="8AD0F9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021A3C"/>
    <w:multiLevelType w:val="hybridMultilevel"/>
    <w:tmpl w:val="39FC001E"/>
    <w:lvl w:ilvl="0" w:tplc="FBBAD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90A6A"/>
    <w:multiLevelType w:val="hybridMultilevel"/>
    <w:tmpl w:val="77321C6E"/>
    <w:lvl w:ilvl="0" w:tplc="25E0736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6"/>
  </w:num>
  <w:num w:numId="7">
    <w:abstractNumId w:val="13"/>
  </w:num>
  <w:num w:numId="8">
    <w:abstractNumId w:val="14"/>
  </w:num>
  <w:num w:numId="9">
    <w:abstractNumId w:val="5"/>
  </w:num>
  <w:num w:numId="10">
    <w:abstractNumId w:val="9"/>
  </w:num>
  <w:num w:numId="11">
    <w:abstractNumId w:val="7"/>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C"/>
    <w:rsid w:val="00000706"/>
    <w:rsid w:val="00000731"/>
    <w:rsid w:val="00000D0A"/>
    <w:rsid w:val="00010311"/>
    <w:rsid w:val="00010C3F"/>
    <w:rsid w:val="0001321B"/>
    <w:rsid w:val="0001396C"/>
    <w:rsid w:val="00014071"/>
    <w:rsid w:val="0001441B"/>
    <w:rsid w:val="00014A04"/>
    <w:rsid w:val="00014F6F"/>
    <w:rsid w:val="000152AF"/>
    <w:rsid w:val="0001569D"/>
    <w:rsid w:val="0001618C"/>
    <w:rsid w:val="000167FA"/>
    <w:rsid w:val="00016C04"/>
    <w:rsid w:val="00020589"/>
    <w:rsid w:val="00021927"/>
    <w:rsid w:val="00022B64"/>
    <w:rsid w:val="00023055"/>
    <w:rsid w:val="00030141"/>
    <w:rsid w:val="00032E66"/>
    <w:rsid w:val="00033143"/>
    <w:rsid w:val="000333BE"/>
    <w:rsid w:val="00033497"/>
    <w:rsid w:val="000343FC"/>
    <w:rsid w:val="00034F15"/>
    <w:rsid w:val="00035369"/>
    <w:rsid w:val="00035910"/>
    <w:rsid w:val="0003614B"/>
    <w:rsid w:val="000362FD"/>
    <w:rsid w:val="00036693"/>
    <w:rsid w:val="00036FE9"/>
    <w:rsid w:val="00040D71"/>
    <w:rsid w:val="000410A0"/>
    <w:rsid w:val="000419B3"/>
    <w:rsid w:val="00041EE4"/>
    <w:rsid w:val="00044618"/>
    <w:rsid w:val="00045B43"/>
    <w:rsid w:val="00050F25"/>
    <w:rsid w:val="00054BAC"/>
    <w:rsid w:val="00056511"/>
    <w:rsid w:val="00056809"/>
    <w:rsid w:val="000578A8"/>
    <w:rsid w:val="00057D39"/>
    <w:rsid w:val="000600C4"/>
    <w:rsid w:val="00065A6A"/>
    <w:rsid w:val="000660E7"/>
    <w:rsid w:val="0006782A"/>
    <w:rsid w:val="00070B7B"/>
    <w:rsid w:val="00074382"/>
    <w:rsid w:val="00074C58"/>
    <w:rsid w:val="00076B52"/>
    <w:rsid w:val="00080481"/>
    <w:rsid w:val="00080B75"/>
    <w:rsid w:val="000812D2"/>
    <w:rsid w:val="000816D2"/>
    <w:rsid w:val="00081727"/>
    <w:rsid w:val="00083DA7"/>
    <w:rsid w:val="00084365"/>
    <w:rsid w:val="0008482D"/>
    <w:rsid w:val="000859C5"/>
    <w:rsid w:val="00087919"/>
    <w:rsid w:val="00087CED"/>
    <w:rsid w:val="0009076C"/>
    <w:rsid w:val="000947CA"/>
    <w:rsid w:val="00094FEB"/>
    <w:rsid w:val="000958AF"/>
    <w:rsid w:val="000A0CD3"/>
    <w:rsid w:val="000A1F9F"/>
    <w:rsid w:val="000A2D0C"/>
    <w:rsid w:val="000A40EA"/>
    <w:rsid w:val="000A4AC7"/>
    <w:rsid w:val="000A58F0"/>
    <w:rsid w:val="000A61B4"/>
    <w:rsid w:val="000A77DF"/>
    <w:rsid w:val="000B2870"/>
    <w:rsid w:val="000B2A5E"/>
    <w:rsid w:val="000B30A0"/>
    <w:rsid w:val="000B6A0B"/>
    <w:rsid w:val="000B7455"/>
    <w:rsid w:val="000B76AA"/>
    <w:rsid w:val="000C3F13"/>
    <w:rsid w:val="000C4212"/>
    <w:rsid w:val="000C4A6D"/>
    <w:rsid w:val="000C5A22"/>
    <w:rsid w:val="000C6BBA"/>
    <w:rsid w:val="000C71B4"/>
    <w:rsid w:val="000D3F3D"/>
    <w:rsid w:val="000D42FC"/>
    <w:rsid w:val="000D464B"/>
    <w:rsid w:val="000D4D5C"/>
    <w:rsid w:val="000D695D"/>
    <w:rsid w:val="000D7C91"/>
    <w:rsid w:val="000E1B4B"/>
    <w:rsid w:val="000E4D2C"/>
    <w:rsid w:val="000E5B3C"/>
    <w:rsid w:val="000E7440"/>
    <w:rsid w:val="000F1F19"/>
    <w:rsid w:val="000F2637"/>
    <w:rsid w:val="000F4009"/>
    <w:rsid w:val="000F536F"/>
    <w:rsid w:val="000F6D2C"/>
    <w:rsid w:val="000F750F"/>
    <w:rsid w:val="000F7FD4"/>
    <w:rsid w:val="001004AF"/>
    <w:rsid w:val="00101DD9"/>
    <w:rsid w:val="00103EBB"/>
    <w:rsid w:val="0010607D"/>
    <w:rsid w:val="00106C1E"/>
    <w:rsid w:val="00111B9D"/>
    <w:rsid w:val="00112CAB"/>
    <w:rsid w:val="00115B9C"/>
    <w:rsid w:val="0011685E"/>
    <w:rsid w:val="00116CA1"/>
    <w:rsid w:val="00116FB6"/>
    <w:rsid w:val="00120861"/>
    <w:rsid w:val="001223D0"/>
    <w:rsid w:val="001236DA"/>
    <w:rsid w:val="0012611C"/>
    <w:rsid w:val="00132ACF"/>
    <w:rsid w:val="001353DB"/>
    <w:rsid w:val="001372ED"/>
    <w:rsid w:val="001373A2"/>
    <w:rsid w:val="00140148"/>
    <w:rsid w:val="0014020B"/>
    <w:rsid w:val="0014149C"/>
    <w:rsid w:val="00141853"/>
    <w:rsid w:val="00142D00"/>
    <w:rsid w:val="00144879"/>
    <w:rsid w:val="00145CB2"/>
    <w:rsid w:val="00145E0F"/>
    <w:rsid w:val="00147EE7"/>
    <w:rsid w:val="00151BA1"/>
    <w:rsid w:val="001560F0"/>
    <w:rsid w:val="00156A29"/>
    <w:rsid w:val="00157FC7"/>
    <w:rsid w:val="00160B3D"/>
    <w:rsid w:val="001615AB"/>
    <w:rsid w:val="001634A9"/>
    <w:rsid w:val="001634C4"/>
    <w:rsid w:val="001640F5"/>
    <w:rsid w:val="00164A8A"/>
    <w:rsid w:val="00165567"/>
    <w:rsid w:val="001657ED"/>
    <w:rsid w:val="00166F3E"/>
    <w:rsid w:val="00171062"/>
    <w:rsid w:val="00172C5A"/>
    <w:rsid w:val="00174330"/>
    <w:rsid w:val="00177568"/>
    <w:rsid w:val="00180BC4"/>
    <w:rsid w:val="00180FCD"/>
    <w:rsid w:val="00181D4B"/>
    <w:rsid w:val="0018367D"/>
    <w:rsid w:val="001854E1"/>
    <w:rsid w:val="00190DE2"/>
    <w:rsid w:val="00190FF7"/>
    <w:rsid w:val="00191521"/>
    <w:rsid w:val="00196C14"/>
    <w:rsid w:val="001970B8"/>
    <w:rsid w:val="001A0FC9"/>
    <w:rsid w:val="001A22AE"/>
    <w:rsid w:val="001A5F14"/>
    <w:rsid w:val="001A71CC"/>
    <w:rsid w:val="001B59A3"/>
    <w:rsid w:val="001B6E44"/>
    <w:rsid w:val="001B7108"/>
    <w:rsid w:val="001B723B"/>
    <w:rsid w:val="001C4E9F"/>
    <w:rsid w:val="001C6ACE"/>
    <w:rsid w:val="001D20CD"/>
    <w:rsid w:val="001D4299"/>
    <w:rsid w:val="001D46E2"/>
    <w:rsid w:val="001D7EEB"/>
    <w:rsid w:val="001E0E07"/>
    <w:rsid w:val="001E11C3"/>
    <w:rsid w:val="001E40D0"/>
    <w:rsid w:val="001F07A4"/>
    <w:rsid w:val="001F0DED"/>
    <w:rsid w:val="001F30E2"/>
    <w:rsid w:val="001F6782"/>
    <w:rsid w:val="00200A87"/>
    <w:rsid w:val="0021011E"/>
    <w:rsid w:val="00212024"/>
    <w:rsid w:val="0021447B"/>
    <w:rsid w:val="0021512E"/>
    <w:rsid w:val="00216383"/>
    <w:rsid w:val="002163EF"/>
    <w:rsid w:val="00217814"/>
    <w:rsid w:val="00221389"/>
    <w:rsid w:val="00222B01"/>
    <w:rsid w:val="00223087"/>
    <w:rsid w:val="0022478E"/>
    <w:rsid w:val="00225096"/>
    <w:rsid w:val="002251FC"/>
    <w:rsid w:val="00226CBF"/>
    <w:rsid w:val="00227B8E"/>
    <w:rsid w:val="00231E44"/>
    <w:rsid w:val="00234A20"/>
    <w:rsid w:val="00235C8D"/>
    <w:rsid w:val="0023661F"/>
    <w:rsid w:val="0023672B"/>
    <w:rsid w:val="002376F6"/>
    <w:rsid w:val="00237810"/>
    <w:rsid w:val="00240A72"/>
    <w:rsid w:val="0024199E"/>
    <w:rsid w:val="00241D05"/>
    <w:rsid w:val="002444A7"/>
    <w:rsid w:val="0024525F"/>
    <w:rsid w:val="00245C62"/>
    <w:rsid w:val="00246187"/>
    <w:rsid w:val="0024728E"/>
    <w:rsid w:val="002503DF"/>
    <w:rsid w:val="00251837"/>
    <w:rsid w:val="002520A8"/>
    <w:rsid w:val="00252845"/>
    <w:rsid w:val="00252EA7"/>
    <w:rsid w:val="00253A3F"/>
    <w:rsid w:val="00254406"/>
    <w:rsid w:val="00256164"/>
    <w:rsid w:val="002568C9"/>
    <w:rsid w:val="0025726A"/>
    <w:rsid w:val="00261348"/>
    <w:rsid w:val="00261B7F"/>
    <w:rsid w:val="0026348F"/>
    <w:rsid w:val="002636A8"/>
    <w:rsid w:val="00271C9B"/>
    <w:rsid w:val="00273F98"/>
    <w:rsid w:val="00276E9D"/>
    <w:rsid w:val="00280E9F"/>
    <w:rsid w:val="00283D22"/>
    <w:rsid w:val="00285A48"/>
    <w:rsid w:val="00285FE4"/>
    <w:rsid w:val="00286325"/>
    <w:rsid w:val="002868BA"/>
    <w:rsid w:val="00287325"/>
    <w:rsid w:val="00290483"/>
    <w:rsid w:val="00291038"/>
    <w:rsid w:val="0029415A"/>
    <w:rsid w:val="00294B83"/>
    <w:rsid w:val="00295A22"/>
    <w:rsid w:val="002969CA"/>
    <w:rsid w:val="002A1449"/>
    <w:rsid w:val="002A2818"/>
    <w:rsid w:val="002A28F7"/>
    <w:rsid w:val="002A41DA"/>
    <w:rsid w:val="002A76FB"/>
    <w:rsid w:val="002B07F2"/>
    <w:rsid w:val="002B0F1F"/>
    <w:rsid w:val="002B4DA0"/>
    <w:rsid w:val="002B71DF"/>
    <w:rsid w:val="002B7CB9"/>
    <w:rsid w:val="002C1C8C"/>
    <w:rsid w:val="002C1F51"/>
    <w:rsid w:val="002C4510"/>
    <w:rsid w:val="002C4851"/>
    <w:rsid w:val="002C52D6"/>
    <w:rsid w:val="002C5D86"/>
    <w:rsid w:val="002C6321"/>
    <w:rsid w:val="002C69C4"/>
    <w:rsid w:val="002C6EFA"/>
    <w:rsid w:val="002C6F0A"/>
    <w:rsid w:val="002C7852"/>
    <w:rsid w:val="002C7FD3"/>
    <w:rsid w:val="002D4AD6"/>
    <w:rsid w:val="002D4C8D"/>
    <w:rsid w:val="002D5044"/>
    <w:rsid w:val="002D5FE4"/>
    <w:rsid w:val="002D75DE"/>
    <w:rsid w:val="002D7E7E"/>
    <w:rsid w:val="002E4D89"/>
    <w:rsid w:val="002E75A4"/>
    <w:rsid w:val="002E7C86"/>
    <w:rsid w:val="002F1921"/>
    <w:rsid w:val="002F32E1"/>
    <w:rsid w:val="002F44E3"/>
    <w:rsid w:val="002F4C09"/>
    <w:rsid w:val="002F622E"/>
    <w:rsid w:val="003016D7"/>
    <w:rsid w:val="0030548E"/>
    <w:rsid w:val="00305CBB"/>
    <w:rsid w:val="00306CE0"/>
    <w:rsid w:val="0030726C"/>
    <w:rsid w:val="00307735"/>
    <w:rsid w:val="00307C91"/>
    <w:rsid w:val="00311DDD"/>
    <w:rsid w:val="0031233D"/>
    <w:rsid w:val="0031243F"/>
    <w:rsid w:val="003129EE"/>
    <w:rsid w:val="00313021"/>
    <w:rsid w:val="00313A2A"/>
    <w:rsid w:val="00314148"/>
    <w:rsid w:val="00315A34"/>
    <w:rsid w:val="00315B0C"/>
    <w:rsid w:val="00315DFD"/>
    <w:rsid w:val="00320D4C"/>
    <w:rsid w:val="00320DD7"/>
    <w:rsid w:val="00320DEA"/>
    <w:rsid w:val="00321233"/>
    <w:rsid w:val="00321E65"/>
    <w:rsid w:val="003245E7"/>
    <w:rsid w:val="003269B2"/>
    <w:rsid w:val="00333C33"/>
    <w:rsid w:val="00336EFC"/>
    <w:rsid w:val="00336F0B"/>
    <w:rsid w:val="003375AD"/>
    <w:rsid w:val="00337B99"/>
    <w:rsid w:val="00337EFA"/>
    <w:rsid w:val="00340CC6"/>
    <w:rsid w:val="00343217"/>
    <w:rsid w:val="00346BA4"/>
    <w:rsid w:val="00347B6E"/>
    <w:rsid w:val="003510D5"/>
    <w:rsid w:val="00351831"/>
    <w:rsid w:val="00351F7D"/>
    <w:rsid w:val="00354DCD"/>
    <w:rsid w:val="00360741"/>
    <w:rsid w:val="003657A2"/>
    <w:rsid w:val="00370923"/>
    <w:rsid w:val="0037720F"/>
    <w:rsid w:val="00377BFC"/>
    <w:rsid w:val="00381D2B"/>
    <w:rsid w:val="00383022"/>
    <w:rsid w:val="00383C2D"/>
    <w:rsid w:val="00385C0B"/>
    <w:rsid w:val="00386117"/>
    <w:rsid w:val="00387FA5"/>
    <w:rsid w:val="003923BE"/>
    <w:rsid w:val="003928DA"/>
    <w:rsid w:val="00392FC5"/>
    <w:rsid w:val="003935A6"/>
    <w:rsid w:val="003A07EE"/>
    <w:rsid w:val="003A0DA7"/>
    <w:rsid w:val="003A0F93"/>
    <w:rsid w:val="003A1850"/>
    <w:rsid w:val="003A1E26"/>
    <w:rsid w:val="003A1F9F"/>
    <w:rsid w:val="003A3C59"/>
    <w:rsid w:val="003A64EF"/>
    <w:rsid w:val="003A6894"/>
    <w:rsid w:val="003A6978"/>
    <w:rsid w:val="003A725F"/>
    <w:rsid w:val="003B0655"/>
    <w:rsid w:val="003B26A8"/>
    <w:rsid w:val="003B2D82"/>
    <w:rsid w:val="003B43D3"/>
    <w:rsid w:val="003B5792"/>
    <w:rsid w:val="003B678F"/>
    <w:rsid w:val="003B6B61"/>
    <w:rsid w:val="003B73CA"/>
    <w:rsid w:val="003C088D"/>
    <w:rsid w:val="003C0BBE"/>
    <w:rsid w:val="003C0F13"/>
    <w:rsid w:val="003C2D1F"/>
    <w:rsid w:val="003C4E94"/>
    <w:rsid w:val="003C4FB1"/>
    <w:rsid w:val="003C6607"/>
    <w:rsid w:val="003C7CBE"/>
    <w:rsid w:val="003D0E44"/>
    <w:rsid w:val="003D3198"/>
    <w:rsid w:val="003D516D"/>
    <w:rsid w:val="003D7120"/>
    <w:rsid w:val="003D7603"/>
    <w:rsid w:val="003E0380"/>
    <w:rsid w:val="003E0469"/>
    <w:rsid w:val="003E086B"/>
    <w:rsid w:val="003E1BBB"/>
    <w:rsid w:val="003E1E4B"/>
    <w:rsid w:val="003E507E"/>
    <w:rsid w:val="003E6C87"/>
    <w:rsid w:val="003E6FF9"/>
    <w:rsid w:val="003E72E8"/>
    <w:rsid w:val="003F168E"/>
    <w:rsid w:val="003F17E7"/>
    <w:rsid w:val="003F2086"/>
    <w:rsid w:val="003F316C"/>
    <w:rsid w:val="003F3209"/>
    <w:rsid w:val="003F466F"/>
    <w:rsid w:val="003F5855"/>
    <w:rsid w:val="003F5875"/>
    <w:rsid w:val="004004C7"/>
    <w:rsid w:val="00400763"/>
    <w:rsid w:val="004007CE"/>
    <w:rsid w:val="0040228B"/>
    <w:rsid w:val="00404FEB"/>
    <w:rsid w:val="004069B4"/>
    <w:rsid w:val="004137F0"/>
    <w:rsid w:val="00415835"/>
    <w:rsid w:val="004158F0"/>
    <w:rsid w:val="00415947"/>
    <w:rsid w:val="00421297"/>
    <w:rsid w:val="00422CD9"/>
    <w:rsid w:val="00423013"/>
    <w:rsid w:val="0042594B"/>
    <w:rsid w:val="004272BD"/>
    <w:rsid w:val="00431B94"/>
    <w:rsid w:val="00432209"/>
    <w:rsid w:val="00432232"/>
    <w:rsid w:val="0043454E"/>
    <w:rsid w:val="00436911"/>
    <w:rsid w:val="004418F8"/>
    <w:rsid w:val="00442DC6"/>
    <w:rsid w:val="004434AA"/>
    <w:rsid w:val="00443C84"/>
    <w:rsid w:val="00444943"/>
    <w:rsid w:val="00444E3C"/>
    <w:rsid w:val="00446E24"/>
    <w:rsid w:val="00451A21"/>
    <w:rsid w:val="00454053"/>
    <w:rsid w:val="00455B73"/>
    <w:rsid w:val="00461D48"/>
    <w:rsid w:val="00470F7E"/>
    <w:rsid w:val="00473F0A"/>
    <w:rsid w:val="00475D1C"/>
    <w:rsid w:val="004802DC"/>
    <w:rsid w:val="00480608"/>
    <w:rsid w:val="00480886"/>
    <w:rsid w:val="00483396"/>
    <w:rsid w:val="004837CC"/>
    <w:rsid w:val="00483AFA"/>
    <w:rsid w:val="0048516B"/>
    <w:rsid w:val="00486E2E"/>
    <w:rsid w:val="0048791D"/>
    <w:rsid w:val="004934A5"/>
    <w:rsid w:val="00493BF2"/>
    <w:rsid w:val="00495B23"/>
    <w:rsid w:val="004A0CFF"/>
    <w:rsid w:val="004A1E95"/>
    <w:rsid w:val="004A351E"/>
    <w:rsid w:val="004A3EE1"/>
    <w:rsid w:val="004A44CC"/>
    <w:rsid w:val="004A7097"/>
    <w:rsid w:val="004A71C5"/>
    <w:rsid w:val="004B0DFC"/>
    <w:rsid w:val="004B2407"/>
    <w:rsid w:val="004B3000"/>
    <w:rsid w:val="004B4442"/>
    <w:rsid w:val="004B46A4"/>
    <w:rsid w:val="004B4F9A"/>
    <w:rsid w:val="004B5BCA"/>
    <w:rsid w:val="004B6A4F"/>
    <w:rsid w:val="004B6AFE"/>
    <w:rsid w:val="004B779B"/>
    <w:rsid w:val="004C26E5"/>
    <w:rsid w:val="004C2B18"/>
    <w:rsid w:val="004C74AE"/>
    <w:rsid w:val="004D0678"/>
    <w:rsid w:val="004D1A99"/>
    <w:rsid w:val="004D267B"/>
    <w:rsid w:val="004D2D61"/>
    <w:rsid w:val="004D2E3C"/>
    <w:rsid w:val="004D3B1B"/>
    <w:rsid w:val="004D4728"/>
    <w:rsid w:val="004D6020"/>
    <w:rsid w:val="004D6FFB"/>
    <w:rsid w:val="004E0DB3"/>
    <w:rsid w:val="004E2233"/>
    <w:rsid w:val="004E2983"/>
    <w:rsid w:val="004E50F3"/>
    <w:rsid w:val="004E6999"/>
    <w:rsid w:val="004E7891"/>
    <w:rsid w:val="004F0A8C"/>
    <w:rsid w:val="004F1CB2"/>
    <w:rsid w:val="004F6493"/>
    <w:rsid w:val="00500DA5"/>
    <w:rsid w:val="00501038"/>
    <w:rsid w:val="00501B63"/>
    <w:rsid w:val="0050363D"/>
    <w:rsid w:val="00503932"/>
    <w:rsid w:val="005049C5"/>
    <w:rsid w:val="00505219"/>
    <w:rsid w:val="00506A8D"/>
    <w:rsid w:val="005103C5"/>
    <w:rsid w:val="0051162C"/>
    <w:rsid w:val="00512769"/>
    <w:rsid w:val="0051294B"/>
    <w:rsid w:val="005149C9"/>
    <w:rsid w:val="00514F79"/>
    <w:rsid w:val="00515EED"/>
    <w:rsid w:val="00516669"/>
    <w:rsid w:val="0051667B"/>
    <w:rsid w:val="00520251"/>
    <w:rsid w:val="005207FE"/>
    <w:rsid w:val="005246A5"/>
    <w:rsid w:val="0053388C"/>
    <w:rsid w:val="00533A5C"/>
    <w:rsid w:val="00533AA4"/>
    <w:rsid w:val="00533B55"/>
    <w:rsid w:val="00535C97"/>
    <w:rsid w:val="0053652E"/>
    <w:rsid w:val="005365B8"/>
    <w:rsid w:val="0053678F"/>
    <w:rsid w:val="00536DB9"/>
    <w:rsid w:val="005401B9"/>
    <w:rsid w:val="005407A5"/>
    <w:rsid w:val="00540F2D"/>
    <w:rsid w:val="005411E7"/>
    <w:rsid w:val="005442CE"/>
    <w:rsid w:val="005443F7"/>
    <w:rsid w:val="0054497E"/>
    <w:rsid w:val="00544D4F"/>
    <w:rsid w:val="00546B46"/>
    <w:rsid w:val="00546D5E"/>
    <w:rsid w:val="00551475"/>
    <w:rsid w:val="005534EA"/>
    <w:rsid w:val="0055699E"/>
    <w:rsid w:val="0055705E"/>
    <w:rsid w:val="00560422"/>
    <w:rsid w:val="005628B5"/>
    <w:rsid w:val="00562AE7"/>
    <w:rsid w:val="005654CE"/>
    <w:rsid w:val="00567884"/>
    <w:rsid w:val="00567ABE"/>
    <w:rsid w:val="00567D8A"/>
    <w:rsid w:val="005701C6"/>
    <w:rsid w:val="005705FF"/>
    <w:rsid w:val="00572370"/>
    <w:rsid w:val="005730D3"/>
    <w:rsid w:val="005732A6"/>
    <w:rsid w:val="005761D1"/>
    <w:rsid w:val="00577CE3"/>
    <w:rsid w:val="00581F53"/>
    <w:rsid w:val="00582BBA"/>
    <w:rsid w:val="005840B6"/>
    <w:rsid w:val="00585212"/>
    <w:rsid w:val="005929A3"/>
    <w:rsid w:val="00593040"/>
    <w:rsid w:val="0059357B"/>
    <w:rsid w:val="0059413E"/>
    <w:rsid w:val="005965CD"/>
    <w:rsid w:val="005A052E"/>
    <w:rsid w:val="005A0F67"/>
    <w:rsid w:val="005A2C56"/>
    <w:rsid w:val="005A2F91"/>
    <w:rsid w:val="005A3158"/>
    <w:rsid w:val="005A3768"/>
    <w:rsid w:val="005A592C"/>
    <w:rsid w:val="005A6B4F"/>
    <w:rsid w:val="005A6EE9"/>
    <w:rsid w:val="005A76C9"/>
    <w:rsid w:val="005A7A69"/>
    <w:rsid w:val="005B04D5"/>
    <w:rsid w:val="005B0C8A"/>
    <w:rsid w:val="005B1807"/>
    <w:rsid w:val="005B2ACE"/>
    <w:rsid w:val="005B3E2C"/>
    <w:rsid w:val="005B48E5"/>
    <w:rsid w:val="005B5DB1"/>
    <w:rsid w:val="005B5F3A"/>
    <w:rsid w:val="005C3A5C"/>
    <w:rsid w:val="005C3DCC"/>
    <w:rsid w:val="005C574C"/>
    <w:rsid w:val="005D0E8F"/>
    <w:rsid w:val="005D120E"/>
    <w:rsid w:val="005D12E1"/>
    <w:rsid w:val="005D1F98"/>
    <w:rsid w:val="005D226F"/>
    <w:rsid w:val="005D4697"/>
    <w:rsid w:val="005D5503"/>
    <w:rsid w:val="005D6058"/>
    <w:rsid w:val="005D6DAA"/>
    <w:rsid w:val="005E12A9"/>
    <w:rsid w:val="005E29F9"/>
    <w:rsid w:val="005E34A0"/>
    <w:rsid w:val="005E379A"/>
    <w:rsid w:val="005E62A7"/>
    <w:rsid w:val="005E6B91"/>
    <w:rsid w:val="005E6F22"/>
    <w:rsid w:val="005E72A3"/>
    <w:rsid w:val="005E7F5D"/>
    <w:rsid w:val="005F053C"/>
    <w:rsid w:val="005F158F"/>
    <w:rsid w:val="005F19ED"/>
    <w:rsid w:val="005F25EA"/>
    <w:rsid w:val="005F2FBC"/>
    <w:rsid w:val="005F2FCB"/>
    <w:rsid w:val="005F4740"/>
    <w:rsid w:val="005F48B6"/>
    <w:rsid w:val="005F7A3F"/>
    <w:rsid w:val="005F7BC9"/>
    <w:rsid w:val="00601FD1"/>
    <w:rsid w:val="00603A53"/>
    <w:rsid w:val="00604385"/>
    <w:rsid w:val="00606B3B"/>
    <w:rsid w:val="00607417"/>
    <w:rsid w:val="00607621"/>
    <w:rsid w:val="0061039C"/>
    <w:rsid w:val="00614766"/>
    <w:rsid w:val="0061652B"/>
    <w:rsid w:val="0062084E"/>
    <w:rsid w:val="00623271"/>
    <w:rsid w:val="00624AF0"/>
    <w:rsid w:val="0062585C"/>
    <w:rsid w:val="00626B20"/>
    <w:rsid w:val="00627E6E"/>
    <w:rsid w:val="00630BE5"/>
    <w:rsid w:val="00631054"/>
    <w:rsid w:val="00632B5F"/>
    <w:rsid w:val="006341DE"/>
    <w:rsid w:val="00634FC4"/>
    <w:rsid w:val="00635EA5"/>
    <w:rsid w:val="006366C5"/>
    <w:rsid w:val="006401F6"/>
    <w:rsid w:val="00640BB3"/>
    <w:rsid w:val="00641DCF"/>
    <w:rsid w:val="00642C11"/>
    <w:rsid w:val="00644600"/>
    <w:rsid w:val="006449DF"/>
    <w:rsid w:val="006509F3"/>
    <w:rsid w:val="00651FDF"/>
    <w:rsid w:val="006524E3"/>
    <w:rsid w:val="00652585"/>
    <w:rsid w:val="00654927"/>
    <w:rsid w:val="00661209"/>
    <w:rsid w:val="0066186E"/>
    <w:rsid w:val="0066359D"/>
    <w:rsid w:val="00666E10"/>
    <w:rsid w:val="006676B7"/>
    <w:rsid w:val="0067031C"/>
    <w:rsid w:val="006711B5"/>
    <w:rsid w:val="006727CC"/>
    <w:rsid w:val="00672C13"/>
    <w:rsid w:val="00675A55"/>
    <w:rsid w:val="00675DBC"/>
    <w:rsid w:val="00676613"/>
    <w:rsid w:val="0068063A"/>
    <w:rsid w:val="006814B1"/>
    <w:rsid w:val="006829EB"/>
    <w:rsid w:val="00690EAC"/>
    <w:rsid w:val="00692975"/>
    <w:rsid w:val="006932CE"/>
    <w:rsid w:val="006936BD"/>
    <w:rsid w:val="006968E9"/>
    <w:rsid w:val="00696F98"/>
    <w:rsid w:val="00697473"/>
    <w:rsid w:val="006974A3"/>
    <w:rsid w:val="006A09F2"/>
    <w:rsid w:val="006A1E2F"/>
    <w:rsid w:val="006A2568"/>
    <w:rsid w:val="006A2B6C"/>
    <w:rsid w:val="006A30C9"/>
    <w:rsid w:val="006A4659"/>
    <w:rsid w:val="006A4A7A"/>
    <w:rsid w:val="006A5DED"/>
    <w:rsid w:val="006A6CEB"/>
    <w:rsid w:val="006B12A3"/>
    <w:rsid w:val="006B1949"/>
    <w:rsid w:val="006B1CB6"/>
    <w:rsid w:val="006C1DD9"/>
    <w:rsid w:val="006C2640"/>
    <w:rsid w:val="006C2C16"/>
    <w:rsid w:val="006C366C"/>
    <w:rsid w:val="006C417B"/>
    <w:rsid w:val="006C5B03"/>
    <w:rsid w:val="006C61A9"/>
    <w:rsid w:val="006D03E3"/>
    <w:rsid w:val="006D134F"/>
    <w:rsid w:val="006D1C9D"/>
    <w:rsid w:val="006D51AC"/>
    <w:rsid w:val="006D60DB"/>
    <w:rsid w:val="006E0092"/>
    <w:rsid w:val="006E0886"/>
    <w:rsid w:val="006E3D21"/>
    <w:rsid w:val="006F1450"/>
    <w:rsid w:val="006F35BD"/>
    <w:rsid w:val="006F4FBC"/>
    <w:rsid w:val="006F60B3"/>
    <w:rsid w:val="00705CD7"/>
    <w:rsid w:val="00706DC6"/>
    <w:rsid w:val="007112B2"/>
    <w:rsid w:val="00711989"/>
    <w:rsid w:val="00712688"/>
    <w:rsid w:val="00712815"/>
    <w:rsid w:val="00714C17"/>
    <w:rsid w:val="00723E27"/>
    <w:rsid w:val="0072697B"/>
    <w:rsid w:val="0073046F"/>
    <w:rsid w:val="00730526"/>
    <w:rsid w:val="00731516"/>
    <w:rsid w:val="007337C5"/>
    <w:rsid w:val="007355A9"/>
    <w:rsid w:val="00736EAF"/>
    <w:rsid w:val="00736F04"/>
    <w:rsid w:val="00737025"/>
    <w:rsid w:val="00740BF6"/>
    <w:rsid w:val="0074125C"/>
    <w:rsid w:val="00741856"/>
    <w:rsid w:val="00742143"/>
    <w:rsid w:val="0074314B"/>
    <w:rsid w:val="00743556"/>
    <w:rsid w:val="00744A4C"/>
    <w:rsid w:val="00744C9F"/>
    <w:rsid w:val="007451F5"/>
    <w:rsid w:val="00750F84"/>
    <w:rsid w:val="007515B7"/>
    <w:rsid w:val="00751639"/>
    <w:rsid w:val="007521BA"/>
    <w:rsid w:val="007530CB"/>
    <w:rsid w:val="007534B5"/>
    <w:rsid w:val="0075606D"/>
    <w:rsid w:val="00756937"/>
    <w:rsid w:val="00756FB0"/>
    <w:rsid w:val="00762CFA"/>
    <w:rsid w:val="00764992"/>
    <w:rsid w:val="00764AE4"/>
    <w:rsid w:val="0076667D"/>
    <w:rsid w:val="0076720B"/>
    <w:rsid w:val="00767931"/>
    <w:rsid w:val="00770679"/>
    <w:rsid w:val="00771B85"/>
    <w:rsid w:val="00772870"/>
    <w:rsid w:val="00772F0C"/>
    <w:rsid w:val="007750DD"/>
    <w:rsid w:val="00775583"/>
    <w:rsid w:val="0077736D"/>
    <w:rsid w:val="00780E67"/>
    <w:rsid w:val="00780E68"/>
    <w:rsid w:val="0078249B"/>
    <w:rsid w:val="00783278"/>
    <w:rsid w:val="00785774"/>
    <w:rsid w:val="00785820"/>
    <w:rsid w:val="00787E67"/>
    <w:rsid w:val="00791401"/>
    <w:rsid w:val="00793E3C"/>
    <w:rsid w:val="00794A68"/>
    <w:rsid w:val="00794C1E"/>
    <w:rsid w:val="007A103A"/>
    <w:rsid w:val="007A1901"/>
    <w:rsid w:val="007A246D"/>
    <w:rsid w:val="007A25C7"/>
    <w:rsid w:val="007A2DE6"/>
    <w:rsid w:val="007A6F0C"/>
    <w:rsid w:val="007B09D6"/>
    <w:rsid w:val="007B1590"/>
    <w:rsid w:val="007B1D4E"/>
    <w:rsid w:val="007B4112"/>
    <w:rsid w:val="007B5FDE"/>
    <w:rsid w:val="007B645A"/>
    <w:rsid w:val="007B6BE5"/>
    <w:rsid w:val="007C0608"/>
    <w:rsid w:val="007C0AAC"/>
    <w:rsid w:val="007C1E74"/>
    <w:rsid w:val="007C2212"/>
    <w:rsid w:val="007C26B6"/>
    <w:rsid w:val="007C34DE"/>
    <w:rsid w:val="007C54E2"/>
    <w:rsid w:val="007C5D6A"/>
    <w:rsid w:val="007D0DFE"/>
    <w:rsid w:val="007D190C"/>
    <w:rsid w:val="007D2609"/>
    <w:rsid w:val="007D31E0"/>
    <w:rsid w:val="007D5F53"/>
    <w:rsid w:val="007E3F05"/>
    <w:rsid w:val="007E6D29"/>
    <w:rsid w:val="007E7241"/>
    <w:rsid w:val="007F061B"/>
    <w:rsid w:val="007F11A5"/>
    <w:rsid w:val="007F21F1"/>
    <w:rsid w:val="007F36E8"/>
    <w:rsid w:val="00801AC5"/>
    <w:rsid w:val="0080770F"/>
    <w:rsid w:val="00807B31"/>
    <w:rsid w:val="00807D3F"/>
    <w:rsid w:val="008104F7"/>
    <w:rsid w:val="00814216"/>
    <w:rsid w:val="00814981"/>
    <w:rsid w:val="00814A74"/>
    <w:rsid w:val="00816850"/>
    <w:rsid w:val="00823772"/>
    <w:rsid w:val="00831256"/>
    <w:rsid w:val="00831332"/>
    <w:rsid w:val="008320B9"/>
    <w:rsid w:val="00832BFD"/>
    <w:rsid w:val="008333F5"/>
    <w:rsid w:val="00837244"/>
    <w:rsid w:val="00837A2A"/>
    <w:rsid w:val="00837DD4"/>
    <w:rsid w:val="0084030B"/>
    <w:rsid w:val="00841776"/>
    <w:rsid w:val="00844F74"/>
    <w:rsid w:val="008454B0"/>
    <w:rsid w:val="00846672"/>
    <w:rsid w:val="0085114C"/>
    <w:rsid w:val="0085118A"/>
    <w:rsid w:val="00851204"/>
    <w:rsid w:val="00852A87"/>
    <w:rsid w:val="008530B5"/>
    <w:rsid w:val="00853920"/>
    <w:rsid w:val="00853BB8"/>
    <w:rsid w:val="0085402B"/>
    <w:rsid w:val="00857217"/>
    <w:rsid w:val="00860693"/>
    <w:rsid w:val="00861140"/>
    <w:rsid w:val="008619F6"/>
    <w:rsid w:val="00861D76"/>
    <w:rsid w:val="008620D1"/>
    <w:rsid w:val="00862390"/>
    <w:rsid w:val="00862692"/>
    <w:rsid w:val="00862820"/>
    <w:rsid w:val="00862AC8"/>
    <w:rsid w:val="00862ECD"/>
    <w:rsid w:val="00864BE7"/>
    <w:rsid w:val="008679C4"/>
    <w:rsid w:val="008722CE"/>
    <w:rsid w:val="00873656"/>
    <w:rsid w:val="00877C88"/>
    <w:rsid w:val="008801CA"/>
    <w:rsid w:val="00880930"/>
    <w:rsid w:val="00880F51"/>
    <w:rsid w:val="00881183"/>
    <w:rsid w:val="00881423"/>
    <w:rsid w:val="008815CC"/>
    <w:rsid w:val="00883921"/>
    <w:rsid w:val="00884DDE"/>
    <w:rsid w:val="00891823"/>
    <w:rsid w:val="008920F0"/>
    <w:rsid w:val="00892CF6"/>
    <w:rsid w:val="008948E5"/>
    <w:rsid w:val="00896FBE"/>
    <w:rsid w:val="0089746E"/>
    <w:rsid w:val="0089746F"/>
    <w:rsid w:val="008A2E77"/>
    <w:rsid w:val="008A6DC7"/>
    <w:rsid w:val="008A758B"/>
    <w:rsid w:val="008A7B75"/>
    <w:rsid w:val="008B0895"/>
    <w:rsid w:val="008B1891"/>
    <w:rsid w:val="008B21A3"/>
    <w:rsid w:val="008B2315"/>
    <w:rsid w:val="008B27B8"/>
    <w:rsid w:val="008B3D0B"/>
    <w:rsid w:val="008B4686"/>
    <w:rsid w:val="008B7788"/>
    <w:rsid w:val="008C0990"/>
    <w:rsid w:val="008C2695"/>
    <w:rsid w:val="008C6376"/>
    <w:rsid w:val="008D0A73"/>
    <w:rsid w:val="008D0ACD"/>
    <w:rsid w:val="008D117D"/>
    <w:rsid w:val="008D22E5"/>
    <w:rsid w:val="008D399F"/>
    <w:rsid w:val="008D5165"/>
    <w:rsid w:val="008D5FB0"/>
    <w:rsid w:val="008E0250"/>
    <w:rsid w:val="008E1BB0"/>
    <w:rsid w:val="008E1CE1"/>
    <w:rsid w:val="008E1DC4"/>
    <w:rsid w:val="008E39CF"/>
    <w:rsid w:val="008E3B10"/>
    <w:rsid w:val="008E4122"/>
    <w:rsid w:val="008E4172"/>
    <w:rsid w:val="008E4180"/>
    <w:rsid w:val="008E7F7A"/>
    <w:rsid w:val="008F0502"/>
    <w:rsid w:val="008F1BFD"/>
    <w:rsid w:val="008F5832"/>
    <w:rsid w:val="00900AD6"/>
    <w:rsid w:val="00901B0A"/>
    <w:rsid w:val="00902642"/>
    <w:rsid w:val="00903662"/>
    <w:rsid w:val="009038C1"/>
    <w:rsid w:val="00903988"/>
    <w:rsid w:val="00906AC9"/>
    <w:rsid w:val="009104E6"/>
    <w:rsid w:val="00910A9F"/>
    <w:rsid w:val="00910BD5"/>
    <w:rsid w:val="009154B8"/>
    <w:rsid w:val="00915FFC"/>
    <w:rsid w:val="00916EB2"/>
    <w:rsid w:val="0091784F"/>
    <w:rsid w:val="00917F07"/>
    <w:rsid w:val="00920489"/>
    <w:rsid w:val="009215F5"/>
    <w:rsid w:val="0092237C"/>
    <w:rsid w:val="00923300"/>
    <w:rsid w:val="00923514"/>
    <w:rsid w:val="009235A6"/>
    <w:rsid w:val="0092503B"/>
    <w:rsid w:val="0092640E"/>
    <w:rsid w:val="00926583"/>
    <w:rsid w:val="00926BFD"/>
    <w:rsid w:val="0093063D"/>
    <w:rsid w:val="00932050"/>
    <w:rsid w:val="009325A3"/>
    <w:rsid w:val="009334E3"/>
    <w:rsid w:val="0093424D"/>
    <w:rsid w:val="00937E5F"/>
    <w:rsid w:val="00941D25"/>
    <w:rsid w:val="009447B8"/>
    <w:rsid w:val="009453E2"/>
    <w:rsid w:val="00953150"/>
    <w:rsid w:val="00953C91"/>
    <w:rsid w:val="00955FBB"/>
    <w:rsid w:val="00957642"/>
    <w:rsid w:val="00957FEE"/>
    <w:rsid w:val="009614A2"/>
    <w:rsid w:val="00963737"/>
    <w:rsid w:val="0096463D"/>
    <w:rsid w:val="009653D7"/>
    <w:rsid w:val="0096649B"/>
    <w:rsid w:val="00966BC2"/>
    <w:rsid w:val="00966C83"/>
    <w:rsid w:val="009670A3"/>
    <w:rsid w:val="00970066"/>
    <w:rsid w:val="0097242C"/>
    <w:rsid w:val="009726C3"/>
    <w:rsid w:val="00975A69"/>
    <w:rsid w:val="00981781"/>
    <w:rsid w:val="00986F93"/>
    <w:rsid w:val="0098717C"/>
    <w:rsid w:val="009873C4"/>
    <w:rsid w:val="00987F07"/>
    <w:rsid w:val="009926D3"/>
    <w:rsid w:val="00994E70"/>
    <w:rsid w:val="009955B3"/>
    <w:rsid w:val="009960A3"/>
    <w:rsid w:val="00996C41"/>
    <w:rsid w:val="00997412"/>
    <w:rsid w:val="009A29ED"/>
    <w:rsid w:val="009A4F3B"/>
    <w:rsid w:val="009A6958"/>
    <w:rsid w:val="009B1165"/>
    <w:rsid w:val="009B16F6"/>
    <w:rsid w:val="009B4CF0"/>
    <w:rsid w:val="009B67B7"/>
    <w:rsid w:val="009C4138"/>
    <w:rsid w:val="009C43E8"/>
    <w:rsid w:val="009C4424"/>
    <w:rsid w:val="009C4B80"/>
    <w:rsid w:val="009C4CEF"/>
    <w:rsid w:val="009C60EA"/>
    <w:rsid w:val="009D515F"/>
    <w:rsid w:val="009D5C0B"/>
    <w:rsid w:val="009D5C3A"/>
    <w:rsid w:val="009D6364"/>
    <w:rsid w:val="009E0C0F"/>
    <w:rsid w:val="009E1072"/>
    <w:rsid w:val="009E2CF7"/>
    <w:rsid w:val="009E2E5D"/>
    <w:rsid w:val="009E5751"/>
    <w:rsid w:val="009E6774"/>
    <w:rsid w:val="009E7FEE"/>
    <w:rsid w:val="009F2C67"/>
    <w:rsid w:val="009F367D"/>
    <w:rsid w:val="009F3FFD"/>
    <w:rsid w:val="009F51FA"/>
    <w:rsid w:val="00A00CE8"/>
    <w:rsid w:val="00A017C2"/>
    <w:rsid w:val="00A02466"/>
    <w:rsid w:val="00A02846"/>
    <w:rsid w:val="00A048CE"/>
    <w:rsid w:val="00A057B5"/>
    <w:rsid w:val="00A11A7D"/>
    <w:rsid w:val="00A13A79"/>
    <w:rsid w:val="00A17591"/>
    <w:rsid w:val="00A175F4"/>
    <w:rsid w:val="00A21870"/>
    <w:rsid w:val="00A21D32"/>
    <w:rsid w:val="00A22C48"/>
    <w:rsid w:val="00A230A0"/>
    <w:rsid w:val="00A23191"/>
    <w:rsid w:val="00A252FC"/>
    <w:rsid w:val="00A25775"/>
    <w:rsid w:val="00A26478"/>
    <w:rsid w:val="00A27758"/>
    <w:rsid w:val="00A32FB8"/>
    <w:rsid w:val="00A33693"/>
    <w:rsid w:val="00A339A1"/>
    <w:rsid w:val="00A33F07"/>
    <w:rsid w:val="00A34A08"/>
    <w:rsid w:val="00A35A66"/>
    <w:rsid w:val="00A3659D"/>
    <w:rsid w:val="00A36ACF"/>
    <w:rsid w:val="00A42CE3"/>
    <w:rsid w:val="00A44A1E"/>
    <w:rsid w:val="00A458E2"/>
    <w:rsid w:val="00A45BEC"/>
    <w:rsid w:val="00A45CF9"/>
    <w:rsid w:val="00A47B5D"/>
    <w:rsid w:val="00A503C4"/>
    <w:rsid w:val="00A50BA1"/>
    <w:rsid w:val="00A51234"/>
    <w:rsid w:val="00A52BFE"/>
    <w:rsid w:val="00A52ECA"/>
    <w:rsid w:val="00A54AFF"/>
    <w:rsid w:val="00A56915"/>
    <w:rsid w:val="00A62352"/>
    <w:rsid w:val="00A62F48"/>
    <w:rsid w:val="00A63956"/>
    <w:rsid w:val="00A704CC"/>
    <w:rsid w:val="00A7111E"/>
    <w:rsid w:val="00A743F2"/>
    <w:rsid w:val="00A75737"/>
    <w:rsid w:val="00A77011"/>
    <w:rsid w:val="00A81B2A"/>
    <w:rsid w:val="00A826A2"/>
    <w:rsid w:val="00A82837"/>
    <w:rsid w:val="00A8386A"/>
    <w:rsid w:val="00A84226"/>
    <w:rsid w:val="00A84723"/>
    <w:rsid w:val="00A847E3"/>
    <w:rsid w:val="00A85C70"/>
    <w:rsid w:val="00A85F71"/>
    <w:rsid w:val="00A868C0"/>
    <w:rsid w:val="00A86B29"/>
    <w:rsid w:val="00A8793C"/>
    <w:rsid w:val="00A90800"/>
    <w:rsid w:val="00A90A09"/>
    <w:rsid w:val="00A9173C"/>
    <w:rsid w:val="00A921F9"/>
    <w:rsid w:val="00A95307"/>
    <w:rsid w:val="00A957A8"/>
    <w:rsid w:val="00A95E97"/>
    <w:rsid w:val="00A96555"/>
    <w:rsid w:val="00AA35B2"/>
    <w:rsid w:val="00AA687A"/>
    <w:rsid w:val="00AB25C5"/>
    <w:rsid w:val="00AB31C6"/>
    <w:rsid w:val="00AB37E1"/>
    <w:rsid w:val="00AB3BC9"/>
    <w:rsid w:val="00AB7EFF"/>
    <w:rsid w:val="00AC06D9"/>
    <w:rsid w:val="00AC0D52"/>
    <w:rsid w:val="00AC40C5"/>
    <w:rsid w:val="00AD0CFB"/>
    <w:rsid w:val="00AD53E2"/>
    <w:rsid w:val="00AD59A6"/>
    <w:rsid w:val="00AE155F"/>
    <w:rsid w:val="00AE17FE"/>
    <w:rsid w:val="00AE5C17"/>
    <w:rsid w:val="00AF0A66"/>
    <w:rsid w:val="00AF2438"/>
    <w:rsid w:val="00AF6D41"/>
    <w:rsid w:val="00AF7BA3"/>
    <w:rsid w:val="00B055C2"/>
    <w:rsid w:val="00B05919"/>
    <w:rsid w:val="00B05E50"/>
    <w:rsid w:val="00B06765"/>
    <w:rsid w:val="00B07424"/>
    <w:rsid w:val="00B07658"/>
    <w:rsid w:val="00B07681"/>
    <w:rsid w:val="00B1101F"/>
    <w:rsid w:val="00B11D12"/>
    <w:rsid w:val="00B11F29"/>
    <w:rsid w:val="00B1386F"/>
    <w:rsid w:val="00B144C2"/>
    <w:rsid w:val="00B16DD1"/>
    <w:rsid w:val="00B17409"/>
    <w:rsid w:val="00B2013C"/>
    <w:rsid w:val="00B2167F"/>
    <w:rsid w:val="00B22BD3"/>
    <w:rsid w:val="00B23096"/>
    <w:rsid w:val="00B23509"/>
    <w:rsid w:val="00B235BE"/>
    <w:rsid w:val="00B24CD9"/>
    <w:rsid w:val="00B25F2B"/>
    <w:rsid w:val="00B3084C"/>
    <w:rsid w:val="00B314D3"/>
    <w:rsid w:val="00B31A94"/>
    <w:rsid w:val="00B332B6"/>
    <w:rsid w:val="00B350D9"/>
    <w:rsid w:val="00B35559"/>
    <w:rsid w:val="00B36E07"/>
    <w:rsid w:val="00B40085"/>
    <w:rsid w:val="00B4200D"/>
    <w:rsid w:val="00B42F13"/>
    <w:rsid w:val="00B4387D"/>
    <w:rsid w:val="00B44CC6"/>
    <w:rsid w:val="00B46F22"/>
    <w:rsid w:val="00B47B99"/>
    <w:rsid w:val="00B52692"/>
    <w:rsid w:val="00B529C9"/>
    <w:rsid w:val="00B52D73"/>
    <w:rsid w:val="00B5326B"/>
    <w:rsid w:val="00B5489C"/>
    <w:rsid w:val="00B56045"/>
    <w:rsid w:val="00B56959"/>
    <w:rsid w:val="00B57F88"/>
    <w:rsid w:val="00B60381"/>
    <w:rsid w:val="00B62443"/>
    <w:rsid w:val="00B6495F"/>
    <w:rsid w:val="00B6582A"/>
    <w:rsid w:val="00B71173"/>
    <w:rsid w:val="00B71559"/>
    <w:rsid w:val="00B71953"/>
    <w:rsid w:val="00B72000"/>
    <w:rsid w:val="00B7266A"/>
    <w:rsid w:val="00B75570"/>
    <w:rsid w:val="00B76931"/>
    <w:rsid w:val="00B777DE"/>
    <w:rsid w:val="00B77D3F"/>
    <w:rsid w:val="00B8166D"/>
    <w:rsid w:val="00B82165"/>
    <w:rsid w:val="00B84232"/>
    <w:rsid w:val="00B87AF6"/>
    <w:rsid w:val="00B9046E"/>
    <w:rsid w:val="00B92250"/>
    <w:rsid w:val="00B92B60"/>
    <w:rsid w:val="00B936C5"/>
    <w:rsid w:val="00B9397F"/>
    <w:rsid w:val="00B93BD5"/>
    <w:rsid w:val="00B94058"/>
    <w:rsid w:val="00B9477E"/>
    <w:rsid w:val="00B96429"/>
    <w:rsid w:val="00B970F8"/>
    <w:rsid w:val="00B976A8"/>
    <w:rsid w:val="00BA02E3"/>
    <w:rsid w:val="00BA10F6"/>
    <w:rsid w:val="00BA1B3D"/>
    <w:rsid w:val="00BA28BA"/>
    <w:rsid w:val="00BA3176"/>
    <w:rsid w:val="00BA3EAC"/>
    <w:rsid w:val="00BA47E8"/>
    <w:rsid w:val="00BA67EB"/>
    <w:rsid w:val="00BA7EB1"/>
    <w:rsid w:val="00BB2EED"/>
    <w:rsid w:val="00BB316A"/>
    <w:rsid w:val="00BB787D"/>
    <w:rsid w:val="00BC11D7"/>
    <w:rsid w:val="00BC559F"/>
    <w:rsid w:val="00BC6731"/>
    <w:rsid w:val="00BD03C5"/>
    <w:rsid w:val="00BD0543"/>
    <w:rsid w:val="00BD16B2"/>
    <w:rsid w:val="00BD29CE"/>
    <w:rsid w:val="00BD3046"/>
    <w:rsid w:val="00BD5290"/>
    <w:rsid w:val="00BD5388"/>
    <w:rsid w:val="00BD55EE"/>
    <w:rsid w:val="00BD6607"/>
    <w:rsid w:val="00BE12CF"/>
    <w:rsid w:val="00BE15AF"/>
    <w:rsid w:val="00BE1FAF"/>
    <w:rsid w:val="00BE33E5"/>
    <w:rsid w:val="00BE3743"/>
    <w:rsid w:val="00BE4220"/>
    <w:rsid w:val="00BE65AE"/>
    <w:rsid w:val="00BF0444"/>
    <w:rsid w:val="00BF255B"/>
    <w:rsid w:val="00BF38CA"/>
    <w:rsid w:val="00BF4C89"/>
    <w:rsid w:val="00BF56A0"/>
    <w:rsid w:val="00BF5A40"/>
    <w:rsid w:val="00BF7275"/>
    <w:rsid w:val="00C0086A"/>
    <w:rsid w:val="00C02477"/>
    <w:rsid w:val="00C03143"/>
    <w:rsid w:val="00C038C0"/>
    <w:rsid w:val="00C04058"/>
    <w:rsid w:val="00C04AFA"/>
    <w:rsid w:val="00C04D13"/>
    <w:rsid w:val="00C068BE"/>
    <w:rsid w:val="00C10AAD"/>
    <w:rsid w:val="00C11F15"/>
    <w:rsid w:val="00C125EA"/>
    <w:rsid w:val="00C12EC7"/>
    <w:rsid w:val="00C1327D"/>
    <w:rsid w:val="00C13A1E"/>
    <w:rsid w:val="00C14043"/>
    <w:rsid w:val="00C1784C"/>
    <w:rsid w:val="00C17E8F"/>
    <w:rsid w:val="00C20A17"/>
    <w:rsid w:val="00C20DF0"/>
    <w:rsid w:val="00C2166A"/>
    <w:rsid w:val="00C21E40"/>
    <w:rsid w:val="00C22013"/>
    <w:rsid w:val="00C24EE7"/>
    <w:rsid w:val="00C273C6"/>
    <w:rsid w:val="00C274FA"/>
    <w:rsid w:val="00C27671"/>
    <w:rsid w:val="00C31315"/>
    <w:rsid w:val="00C317CD"/>
    <w:rsid w:val="00C31B37"/>
    <w:rsid w:val="00C342FA"/>
    <w:rsid w:val="00C35313"/>
    <w:rsid w:val="00C35AA9"/>
    <w:rsid w:val="00C35C80"/>
    <w:rsid w:val="00C37CB6"/>
    <w:rsid w:val="00C41A56"/>
    <w:rsid w:val="00C421F2"/>
    <w:rsid w:val="00C42CCA"/>
    <w:rsid w:val="00C435C5"/>
    <w:rsid w:val="00C47241"/>
    <w:rsid w:val="00C4764F"/>
    <w:rsid w:val="00C507C7"/>
    <w:rsid w:val="00C51622"/>
    <w:rsid w:val="00C5284F"/>
    <w:rsid w:val="00C54334"/>
    <w:rsid w:val="00C555FA"/>
    <w:rsid w:val="00C56CE4"/>
    <w:rsid w:val="00C60A16"/>
    <w:rsid w:val="00C612D1"/>
    <w:rsid w:val="00C61F1E"/>
    <w:rsid w:val="00C62098"/>
    <w:rsid w:val="00C63283"/>
    <w:rsid w:val="00C641C0"/>
    <w:rsid w:val="00C64FF7"/>
    <w:rsid w:val="00C66A96"/>
    <w:rsid w:val="00C66C0E"/>
    <w:rsid w:val="00C6772B"/>
    <w:rsid w:val="00C70534"/>
    <w:rsid w:val="00C70742"/>
    <w:rsid w:val="00C70932"/>
    <w:rsid w:val="00C709F7"/>
    <w:rsid w:val="00C71B31"/>
    <w:rsid w:val="00C72BD9"/>
    <w:rsid w:val="00C77C38"/>
    <w:rsid w:val="00C77C58"/>
    <w:rsid w:val="00C8022F"/>
    <w:rsid w:val="00C80B6D"/>
    <w:rsid w:val="00C80F5E"/>
    <w:rsid w:val="00C81E86"/>
    <w:rsid w:val="00C82075"/>
    <w:rsid w:val="00C82277"/>
    <w:rsid w:val="00C84655"/>
    <w:rsid w:val="00C8576C"/>
    <w:rsid w:val="00C85CAE"/>
    <w:rsid w:val="00C8718B"/>
    <w:rsid w:val="00C879B5"/>
    <w:rsid w:val="00C87BE0"/>
    <w:rsid w:val="00C905CE"/>
    <w:rsid w:val="00C933FA"/>
    <w:rsid w:val="00C96203"/>
    <w:rsid w:val="00CA082A"/>
    <w:rsid w:val="00CA0ABC"/>
    <w:rsid w:val="00CA12FB"/>
    <w:rsid w:val="00CA2752"/>
    <w:rsid w:val="00CA2EC9"/>
    <w:rsid w:val="00CA48D4"/>
    <w:rsid w:val="00CA5563"/>
    <w:rsid w:val="00CA6385"/>
    <w:rsid w:val="00CB2A72"/>
    <w:rsid w:val="00CB453B"/>
    <w:rsid w:val="00CB4E15"/>
    <w:rsid w:val="00CB540F"/>
    <w:rsid w:val="00CB5B4C"/>
    <w:rsid w:val="00CC0737"/>
    <w:rsid w:val="00CC3B31"/>
    <w:rsid w:val="00CC3F9B"/>
    <w:rsid w:val="00CC4504"/>
    <w:rsid w:val="00CC7BD9"/>
    <w:rsid w:val="00CC7C11"/>
    <w:rsid w:val="00CD0D41"/>
    <w:rsid w:val="00CD6796"/>
    <w:rsid w:val="00CD69F6"/>
    <w:rsid w:val="00CD6D5C"/>
    <w:rsid w:val="00CD744E"/>
    <w:rsid w:val="00CE07F3"/>
    <w:rsid w:val="00CE0AC9"/>
    <w:rsid w:val="00CE1AA6"/>
    <w:rsid w:val="00CE511E"/>
    <w:rsid w:val="00CE5243"/>
    <w:rsid w:val="00CE6300"/>
    <w:rsid w:val="00CE69CF"/>
    <w:rsid w:val="00CF0E73"/>
    <w:rsid w:val="00CF3739"/>
    <w:rsid w:val="00CF3BB3"/>
    <w:rsid w:val="00CF41E6"/>
    <w:rsid w:val="00CF5FFC"/>
    <w:rsid w:val="00CF6D46"/>
    <w:rsid w:val="00CF6DF1"/>
    <w:rsid w:val="00D018D3"/>
    <w:rsid w:val="00D02DB1"/>
    <w:rsid w:val="00D02F55"/>
    <w:rsid w:val="00D038AA"/>
    <w:rsid w:val="00D04941"/>
    <w:rsid w:val="00D049C4"/>
    <w:rsid w:val="00D04E92"/>
    <w:rsid w:val="00D07CCC"/>
    <w:rsid w:val="00D1079D"/>
    <w:rsid w:val="00D10D09"/>
    <w:rsid w:val="00D123EB"/>
    <w:rsid w:val="00D12F8A"/>
    <w:rsid w:val="00D1478D"/>
    <w:rsid w:val="00D14A98"/>
    <w:rsid w:val="00D14DDD"/>
    <w:rsid w:val="00D17A38"/>
    <w:rsid w:val="00D17AFA"/>
    <w:rsid w:val="00D17D80"/>
    <w:rsid w:val="00D22770"/>
    <w:rsid w:val="00D23964"/>
    <w:rsid w:val="00D2478E"/>
    <w:rsid w:val="00D24EE9"/>
    <w:rsid w:val="00D25470"/>
    <w:rsid w:val="00D255F4"/>
    <w:rsid w:val="00D2618F"/>
    <w:rsid w:val="00D26457"/>
    <w:rsid w:val="00D26CFE"/>
    <w:rsid w:val="00D27075"/>
    <w:rsid w:val="00D3124D"/>
    <w:rsid w:val="00D32D6D"/>
    <w:rsid w:val="00D3468D"/>
    <w:rsid w:val="00D36605"/>
    <w:rsid w:val="00D37702"/>
    <w:rsid w:val="00D40332"/>
    <w:rsid w:val="00D4056C"/>
    <w:rsid w:val="00D40CED"/>
    <w:rsid w:val="00D419A7"/>
    <w:rsid w:val="00D42432"/>
    <w:rsid w:val="00D44E41"/>
    <w:rsid w:val="00D50088"/>
    <w:rsid w:val="00D52506"/>
    <w:rsid w:val="00D52DB8"/>
    <w:rsid w:val="00D53F9A"/>
    <w:rsid w:val="00D54478"/>
    <w:rsid w:val="00D562C9"/>
    <w:rsid w:val="00D56A6B"/>
    <w:rsid w:val="00D5735B"/>
    <w:rsid w:val="00D57476"/>
    <w:rsid w:val="00D57B4C"/>
    <w:rsid w:val="00D62DCD"/>
    <w:rsid w:val="00D63161"/>
    <w:rsid w:val="00D63851"/>
    <w:rsid w:val="00D641A7"/>
    <w:rsid w:val="00D650B2"/>
    <w:rsid w:val="00D66DC1"/>
    <w:rsid w:val="00D66F15"/>
    <w:rsid w:val="00D67741"/>
    <w:rsid w:val="00D73958"/>
    <w:rsid w:val="00D74157"/>
    <w:rsid w:val="00D74774"/>
    <w:rsid w:val="00D75954"/>
    <w:rsid w:val="00D7787D"/>
    <w:rsid w:val="00D85205"/>
    <w:rsid w:val="00D85ABC"/>
    <w:rsid w:val="00D87AD7"/>
    <w:rsid w:val="00D916FF"/>
    <w:rsid w:val="00D97270"/>
    <w:rsid w:val="00D97946"/>
    <w:rsid w:val="00DA01EB"/>
    <w:rsid w:val="00DA3F17"/>
    <w:rsid w:val="00DA49F2"/>
    <w:rsid w:val="00DA5647"/>
    <w:rsid w:val="00DA5CEF"/>
    <w:rsid w:val="00DA6188"/>
    <w:rsid w:val="00DA6B09"/>
    <w:rsid w:val="00DA7751"/>
    <w:rsid w:val="00DB1CC8"/>
    <w:rsid w:val="00DB2297"/>
    <w:rsid w:val="00DB248F"/>
    <w:rsid w:val="00DB4FDE"/>
    <w:rsid w:val="00DB6D6C"/>
    <w:rsid w:val="00DC2DE8"/>
    <w:rsid w:val="00DC2E8E"/>
    <w:rsid w:val="00DC460D"/>
    <w:rsid w:val="00DC4622"/>
    <w:rsid w:val="00DC4B2E"/>
    <w:rsid w:val="00DC5054"/>
    <w:rsid w:val="00DC5297"/>
    <w:rsid w:val="00DC55C7"/>
    <w:rsid w:val="00DD189C"/>
    <w:rsid w:val="00DD1DC8"/>
    <w:rsid w:val="00DD205A"/>
    <w:rsid w:val="00DD60C8"/>
    <w:rsid w:val="00DD618D"/>
    <w:rsid w:val="00DE08B9"/>
    <w:rsid w:val="00DE3C63"/>
    <w:rsid w:val="00DE4E69"/>
    <w:rsid w:val="00DE6BFA"/>
    <w:rsid w:val="00DF224A"/>
    <w:rsid w:val="00DF3A08"/>
    <w:rsid w:val="00DF54BF"/>
    <w:rsid w:val="00E0127F"/>
    <w:rsid w:val="00E025A6"/>
    <w:rsid w:val="00E02A7A"/>
    <w:rsid w:val="00E038BB"/>
    <w:rsid w:val="00E11BE7"/>
    <w:rsid w:val="00E133DB"/>
    <w:rsid w:val="00E157A5"/>
    <w:rsid w:val="00E1595E"/>
    <w:rsid w:val="00E17851"/>
    <w:rsid w:val="00E210A5"/>
    <w:rsid w:val="00E21760"/>
    <w:rsid w:val="00E22255"/>
    <w:rsid w:val="00E24C5F"/>
    <w:rsid w:val="00E24C8A"/>
    <w:rsid w:val="00E2518D"/>
    <w:rsid w:val="00E26E57"/>
    <w:rsid w:val="00E27FE7"/>
    <w:rsid w:val="00E3155C"/>
    <w:rsid w:val="00E31C58"/>
    <w:rsid w:val="00E3330A"/>
    <w:rsid w:val="00E34674"/>
    <w:rsid w:val="00E36903"/>
    <w:rsid w:val="00E37F20"/>
    <w:rsid w:val="00E4177C"/>
    <w:rsid w:val="00E4300F"/>
    <w:rsid w:val="00E43475"/>
    <w:rsid w:val="00E444D2"/>
    <w:rsid w:val="00E45DCE"/>
    <w:rsid w:val="00E45F5C"/>
    <w:rsid w:val="00E4738E"/>
    <w:rsid w:val="00E52E41"/>
    <w:rsid w:val="00E53031"/>
    <w:rsid w:val="00E554E0"/>
    <w:rsid w:val="00E555C3"/>
    <w:rsid w:val="00E55783"/>
    <w:rsid w:val="00E56F20"/>
    <w:rsid w:val="00E57E4B"/>
    <w:rsid w:val="00E600BE"/>
    <w:rsid w:val="00E61DAB"/>
    <w:rsid w:val="00E62254"/>
    <w:rsid w:val="00E66637"/>
    <w:rsid w:val="00E6762F"/>
    <w:rsid w:val="00E700E1"/>
    <w:rsid w:val="00E712C7"/>
    <w:rsid w:val="00E72E8F"/>
    <w:rsid w:val="00E7343C"/>
    <w:rsid w:val="00E837D2"/>
    <w:rsid w:val="00E837EC"/>
    <w:rsid w:val="00E84755"/>
    <w:rsid w:val="00E85D03"/>
    <w:rsid w:val="00E85FEC"/>
    <w:rsid w:val="00E8762E"/>
    <w:rsid w:val="00E90A0F"/>
    <w:rsid w:val="00E92674"/>
    <w:rsid w:val="00E93C92"/>
    <w:rsid w:val="00E94405"/>
    <w:rsid w:val="00E95569"/>
    <w:rsid w:val="00EA381A"/>
    <w:rsid w:val="00EA4C06"/>
    <w:rsid w:val="00EB2915"/>
    <w:rsid w:val="00EB2EFA"/>
    <w:rsid w:val="00EB30ED"/>
    <w:rsid w:val="00EB36C5"/>
    <w:rsid w:val="00EB3958"/>
    <w:rsid w:val="00EB3A1A"/>
    <w:rsid w:val="00EB4953"/>
    <w:rsid w:val="00EB7739"/>
    <w:rsid w:val="00EC1FEF"/>
    <w:rsid w:val="00EC200C"/>
    <w:rsid w:val="00EC32BB"/>
    <w:rsid w:val="00EC35FA"/>
    <w:rsid w:val="00EC36A5"/>
    <w:rsid w:val="00EC4D9C"/>
    <w:rsid w:val="00EC647A"/>
    <w:rsid w:val="00EC6586"/>
    <w:rsid w:val="00EC6A23"/>
    <w:rsid w:val="00ED1702"/>
    <w:rsid w:val="00ED301C"/>
    <w:rsid w:val="00ED3F1F"/>
    <w:rsid w:val="00ED6727"/>
    <w:rsid w:val="00ED6815"/>
    <w:rsid w:val="00ED7897"/>
    <w:rsid w:val="00EE05F9"/>
    <w:rsid w:val="00EE08FE"/>
    <w:rsid w:val="00EE2613"/>
    <w:rsid w:val="00EE4D95"/>
    <w:rsid w:val="00EF2C24"/>
    <w:rsid w:val="00EF3663"/>
    <w:rsid w:val="00EF48FF"/>
    <w:rsid w:val="00EF4E03"/>
    <w:rsid w:val="00F0251F"/>
    <w:rsid w:val="00F02E07"/>
    <w:rsid w:val="00F037C8"/>
    <w:rsid w:val="00F0587E"/>
    <w:rsid w:val="00F05C1F"/>
    <w:rsid w:val="00F11D11"/>
    <w:rsid w:val="00F14BB0"/>
    <w:rsid w:val="00F17610"/>
    <w:rsid w:val="00F202B4"/>
    <w:rsid w:val="00F20490"/>
    <w:rsid w:val="00F261FC"/>
    <w:rsid w:val="00F3134B"/>
    <w:rsid w:val="00F31429"/>
    <w:rsid w:val="00F31877"/>
    <w:rsid w:val="00F3202E"/>
    <w:rsid w:val="00F35C53"/>
    <w:rsid w:val="00F40A2A"/>
    <w:rsid w:val="00F454FD"/>
    <w:rsid w:val="00F464E5"/>
    <w:rsid w:val="00F47BC4"/>
    <w:rsid w:val="00F516FB"/>
    <w:rsid w:val="00F575D9"/>
    <w:rsid w:val="00F618C8"/>
    <w:rsid w:val="00F667E7"/>
    <w:rsid w:val="00F66AD1"/>
    <w:rsid w:val="00F67A68"/>
    <w:rsid w:val="00F71611"/>
    <w:rsid w:val="00F72351"/>
    <w:rsid w:val="00F74D4F"/>
    <w:rsid w:val="00F752CB"/>
    <w:rsid w:val="00F76935"/>
    <w:rsid w:val="00F76D07"/>
    <w:rsid w:val="00F77E00"/>
    <w:rsid w:val="00F8081D"/>
    <w:rsid w:val="00F81CD6"/>
    <w:rsid w:val="00F84196"/>
    <w:rsid w:val="00F8420F"/>
    <w:rsid w:val="00F8448C"/>
    <w:rsid w:val="00F86843"/>
    <w:rsid w:val="00F903B9"/>
    <w:rsid w:val="00F91070"/>
    <w:rsid w:val="00F9186D"/>
    <w:rsid w:val="00F94BE7"/>
    <w:rsid w:val="00F95F5F"/>
    <w:rsid w:val="00F967EE"/>
    <w:rsid w:val="00F96AD1"/>
    <w:rsid w:val="00F96D62"/>
    <w:rsid w:val="00F96F3B"/>
    <w:rsid w:val="00F978BE"/>
    <w:rsid w:val="00FA28F6"/>
    <w:rsid w:val="00FA363C"/>
    <w:rsid w:val="00FA3A56"/>
    <w:rsid w:val="00FA4C1D"/>
    <w:rsid w:val="00FB178B"/>
    <w:rsid w:val="00FB396B"/>
    <w:rsid w:val="00FB52A5"/>
    <w:rsid w:val="00FB56BE"/>
    <w:rsid w:val="00FB6465"/>
    <w:rsid w:val="00FC1121"/>
    <w:rsid w:val="00FC1152"/>
    <w:rsid w:val="00FC4716"/>
    <w:rsid w:val="00FC4A7C"/>
    <w:rsid w:val="00FC7924"/>
    <w:rsid w:val="00FD05FC"/>
    <w:rsid w:val="00FD38DF"/>
    <w:rsid w:val="00FD4D0C"/>
    <w:rsid w:val="00FD4E13"/>
    <w:rsid w:val="00FD5791"/>
    <w:rsid w:val="00FE07A1"/>
    <w:rsid w:val="00FE123D"/>
    <w:rsid w:val="00FE5583"/>
    <w:rsid w:val="00FF0E84"/>
    <w:rsid w:val="00FF153F"/>
    <w:rsid w:val="00FF21C4"/>
    <w:rsid w:val="00FF3D8C"/>
    <w:rsid w:val="00FF5181"/>
    <w:rsid w:val="00FF63F4"/>
    <w:rsid w:val="00FF6BE2"/>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35D44C-C1E5-420F-BE63-1B5799F9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F93"/>
    <w:pPr>
      <w:spacing w:after="200" w:line="276" w:lineRule="auto"/>
    </w:pPr>
  </w:style>
  <w:style w:type="paragraph" w:styleId="1">
    <w:name w:val="heading 1"/>
    <w:basedOn w:val="a"/>
    <w:next w:val="a"/>
    <w:link w:val="10"/>
    <w:qFormat/>
    <w:locked/>
    <w:rsid w:val="00E012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377BF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07CCC"/>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locked/>
    <w:rsid w:val="00D07CCC"/>
    <w:rPr>
      <w:rFonts w:ascii="Times New Roman" w:hAnsi="Times New Roman" w:cs="Times New Roman"/>
      <w:sz w:val="20"/>
      <w:szCs w:val="20"/>
    </w:rPr>
  </w:style>
  <w:style w:type="character" w:styleId="a5">
    <w:name w:val="Strong"/>
    <w:basedOn w:val="a0"/>
    <w:uiPriority w:val="22"/>
    <w:qFormat/>
    <w:rsid w:val="00A52ECA"/>
    <w:rPr>
      <w:rFonts w:cs="Times New Roman"/>
      <w:b/>
      <w:bCs/>
    </w:rPr>
  </w:style>
  <w:style w:type="paragraph" w:styleId="a6">
    <w:name w:val="Body Text"/>
    <w:basedOn w:val="a"/>
    <w:link w:val="a7"/>
    <w:uiPriority w:val="99"/>
    <w:rsid w:val="00A52ECA"/>
    <w:pPr>
      <w:suppressAutoHyphens/>
      <w:spacing w:after="120"/>
    </w:pPr>
    <w:rPr>
      <w:rFonts w:cs="Calibri"/>
      <w:lang w:eastAsia="ar-SA"/>
    </w:rPr>
  </w:style>
  <w:style w:type="character" w:customStyle="1" w:styleId="a7">
    <w:name w:val="Основной текст Знак"/>
    <w:basedOn w:val="a0"/>
    <w:link w:val="a6"/>
    <w:uiPriority w:val="99"/>
    <w:locked/>
    <w:rsid w:val="00A52ECA"/>
    <w:rPr>
      <w:rFonts w:ascii="Calibri" w:hAnsi="Calibri" w:cs="Calibri"/>
      <w:lang w:eastAsia="ar-SA" w:bidi="ar-SA"/>
    </w:rPr>
  </w:style>
  <w:style w:type="paragraph" w:styleId="a8">
    <w:name w:val="No Spacing"/>
    <w:link w:val="a9"/>
    <w:uiPriority w:val="1"/>
    <w:qFormat/>
    <w:rsid w:val="00A52ECA"/>
    <w:pPr>
      <w:suppressAutoHyphens/>
    </w:pPr>
    <w:rPr>
      <w:rFonts w:cs="Calibri"/>
      <w:lang w:eastAsia="ar-SA"/>
    </w:rPr>
  </w:style>
  <w:style w:type="paragraph" w:styleId="aa">
    <w:name w:val="Normal (Web)"/>
    <w:aliases w:val="Обычный (веб)1,Обычный (веб) Знак,Обычный (веб) Знак1,Обычный (веб) Знак Знак"/>
    <w:basedOn w:val="a"/>
    <w:uiPriority w:val="99"/>
    <w:rsid w:val="00A52ECA"/>
    <w:pPr>
      <w:suppressAutoHyphens/>
      <w:spacing w:before="280" w:after="280" w:line="240" w:lineRule="auto"/>
    </w:pPr>
    <w:rPr>
      <w:rFonts w:ascii="Times New Roman" w:hAnsi="Times New Roman"/>
      <w:sz w:val="24"/>
      <w:szCs w:val="24"/>
      <w:lang w:eastAsia="ar-SA"/>
    </w:rPr>
  </w:style>
  <w:style w:type="paragraph" w:customStyle="1" w:styleId="31">
    <w:name w:val="Основной текст с отступом 31"/>
    <w:basedOn w:val="a"/>
    <w:uiPriority w:val="99"/>
    <w:rsid w:val="00A52ECA"/>
    <w:pPr>
      <w:spacing w:after="120" w:line="240" w:lineRule="auto"/>
      <w:ind w:left="283"/>
    </w:pPr>
    <w:rPr>
      <w:rFonts w:ascii="Times New Roman" w:hAnsi="Times New Roman"/>
      <w:sz w:val="16"/>
      <w:szCs w:val="16"/>
      <w:lang w:eastAsia="ar-SA"/>
    </w:rPr>
  </w:style>
  <w:style w:type="paragraph" w:customStyle="1" w:styleId="21">
    <w:name w:val="Основной текст с отступом 21"/>
    <w:basedOn w:val="a"/>
    <w:uiPriority w:val="99"/>
    <w:rsid w:val="00A52ECA"/>
    <w:pPr>
      <w:suppressAutoHyphens/>
      <w:spacing w:after="120" w:line="480" w:lineRule="auto"/>
      <w:ind w:left="283"/>
    </w:pPr>
    <w:rPr>
      <w:rFonts w:ascii="Times New Roman" w:hAnsi="Times New Roman"/>
      <w:sz w:val="24"/>
      <w:szCs w:val="24"/>
      <w:lang w:eastAsia="ar-SA"/>
    </w:rPr>
  </w:style>
  <w:style w:type="paragraph" w:customStyle="1" w:styleId="note">
    <w:name w:val="note"/>
    <w:basedOn w:val="a"/>
    <w:uiPriority w:val="99"/>
    <w:rsid w:val="00A52ECA"/>
    <w:pPr>
      <w:suppressAutoHyphens/>
      <w:spacing w:before="280" w:after="280" w:line="240" w:lineRule="auto"/>
    </w:pPr>
    <w:rPr>
      <w:rFonts w:ascii="Times New Roman" w:hAnsi="Times New Roman"/>
      <w:sz w:val="24"/>
      <w:szCs w:val="24"/>
      <w:lang w:eastAsia="ar-SA"/>
    </w:rPr>
  </w:style>
  <w:style w:type="paragraph" w:styleId="ab">
    <w:name w:val="header"/>
    <w:basedOn w:val="a"/>
    <w:link w:val="ac"/>
    <w:uiPriority w:val="99"/>
    <w:rsid w:val="006A2B6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A2B6C"/>
    <w:rPr>
      <w:rFonts w:cs="Times New Roman"/>
    </w:rPr>
  </w:style>
  <w:style w:type="paragraph" w:styleId="ad">
    <w:name w:val="footer"/>
    <w:basedOn w:val="a"/>
    <w:link w:val="ae"/>
    <w:uiPriority w:val="99"/>
    <w:semiHidden/>
    <w:rsid w:val="006A2B6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6A2B6C"/>
    <w:rPr>
      <w:rFonts w:cs="Times New Roman"/>
    </w:rPr>
  </w:style>
  <w:style w:type="paragraph" w:customStyle="1" w:styleId="11">
    <w:name w:val="Текст1"/>
    <w:basedOn w:val="a"/>
    <w:uiPriority w:val="99"/>
    <w:rsid w:val="00D66F15"/>
    <w:pPr>
      <w:suppressAutoHyphens/>
      <w:spacing w:after="0" w:line="240" w:lineRule="auto"/>
    </w:pPr>
    <w:rPr>
      <w:rFonts w:ascii="Courier New" w:hAnsi="Courier New"/>
      <w:sz w:val="20"/>
      <w:szCs w:val="20"/>
      <w:lang w:eastAsia="ar-SA"/>
    </w:rPr>
  </w:style>
  <w:style w:type="paragraph" w:customStyle="1" w:styleId="Default">
    <w:name w:val="Default"/>
    <w:rsid w:val="00801AC5"/>
    <w:pPr>
      <w:autoSpaceDE w:val="0"/>
      <w:autoSpaceDN w:val="0"/>
      <w:adjustRightInd w:val="0"/>
    </w:pPr>
    <w:rPr>
      <w:rFonts w:ascii="Times New Roman" w:hAnsi="Times New Roman"/>
      <w:color w:val="000000"/>
      <w:sz w:val="24"/>
      <w:szCs w:val="24"/>
    </w:rPr>
  </w:style>
  <w:style w:type="paragraph" w:styleId="af">
    <w:name w:val="List Paragraph"/>
    <w:aliases w:val="Абзац списка основной"/>
    <w:basedOn w:val="a"/>
    <w:link w:val="af0"/>
    <w:uiPriority w:val="34"/>
    <w:qFormat/>
    <w:rsid w:val="00801AC5"/>
    <w:pPr>
      <w:spacing w:after="0" w:line="240" w:lineRule="auto"/>
      <w:ind w:left="720"/>
      <w:contextualSpacing/>
    </w:pPr>
    <w:rPr>
      <w:rFonts w:ascii="Times New Roman" w:hAnsi="Times New Roman"/>
      <w:sz w:val="28"/>
      <w:szCs w:val="28"/>
    </w:rPr>
  </w:style>
  <w:style w:type="paragraph" w:customStyle="1" w:styleId="22">
    <w:name w:val="Основной текст 22"/>
    <w:basedOn w:val="a"/>
    <w:rsid w:val="005C574C"/>
    <w:pPr>
      <w:suppressAutoHyphens/>
      <w:autoSpaceDE w:val="0"/>
      <w:spacing w:after="120" w:line="480" w:lineRule="auto"/>
    </w:pPr>
    <w:rPr>
      <w:rFonts w:ascii="Times New Roman" w:hAnsi="Times New Roman"/>
      <w:sz w:val="20"/>
      <w:szCs w:val="20"/>
      <w:lang w:eastAsia="ar-SA"/>
    </w:rPr>
  </w:style>
  <w:style w:type="paragraph" w:customStyle="1" w:styleId="af1">
    <w:name w:val="Последний абзац"/>
    <w:basedOn w:val="22"/>
    <w:link w:val="af2"/>
    <w:qFormat/>
    <w:rsid w:val="005C574C"/>
    <w:pPr>
      <w:widowControl w:val="0"/>
      <w:spacing w:after="0" w:line="360" w:lineRule="auto"/>
      <w:ind w:firstLine="709"/>
      <w:jc w:val="both"/>
    </w:pPr>
  </w:style>
  <w:style w:type="paragraph" w:styleId="32">
    <w:name w:val="Body Text Indent 3"/>
    <w:basedOn w:val="a"/>
    <w:link w:val="33"/>
    <w:uiPriority w:val="99"/>
    <w:semiHidden/>
    <w:rsid w:val="005C574C"/>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5C574C"/>
    <w:rPr>
      <w:rFonts w:cs="Times New Roman"/>
      <w:sz w:val="16"/>
      <w:szCs w:val="16"/>
    </w:rPr>
  </w:style>
  <w:style w:type="paragraph" w:styleId="2">
    <w:name w:val="Body Text 2"/>
    <w:basedOn w:val="a"/>
    <w:link w:val="20"/>
    <w:uiPriority w:val="99"/>
    <w:semiHidden/>
    <w:rsid w:val="005C574C"/>
    <w:pPr>
      <w:spacing w:after="120" w:line="480" w:lineRule="auto"/>
    </w:pPr>
  </w:style>
  <w:style w:type="character" w:customStyle="1" w:styleId="20">
    <w:name w:val="Основной текст 2 Знак"/>
    <w:basedOn w:val="a0"/>
    <w:link w:val="2"/>
    <w:uiPriority w:val="99"/>
    <w:semiHidden/>
    <w:locked/>
    <w:rsid w:val="005C574C"/>
    <w:rPr>
      <w:rFonts w:cs="Times New Roman"/>
    </w:rPr>
  </w:style>
  <w:style w:type="character" w:customStyle="1" w:styleId="a9">
    <w:name w:val="Без интервала Знак"/>
    <w:basedOn w:val="a0"/>
    <w:link w:val="a8"/>
    <w:uiPriority w:val="99"/>
    <w:locked/>
    <w:rsid w:val="00B23509"/>
    <w:rPr>
      <w:rFonts w:cs="Calibri"/>
      <w:sz w:val="22"/>
      <w:szCs w:val="22"/>
      <w:lang w:val="ru-RU" w:eastAsia="ar-SA" w:bidi="ar-SA"/>
    </w:rPr>
  </w:style>
  <w:style w:type="paragraph" w:styleId="23">
    <w:name w:val="Body Text Indent 2"/>
    <w:basedOn w:val="a"/>
    <w:link w:val="24"/>
    <w:rsid w:val="00B23509"/>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locked/>
    <w:rsid w:val="00B23509"/>
    <w:rPr>
      <w:rFonts w:ascii="Times New Roman" w:hAnsi="Times New Roman" w:cs="Times New Roman"/>
      <w:sz w:val="24"/>
      <w:szCs w:val="24"/>
    </w:rPr>
  </w:style>
  <w:style w:type="character" w:customStyle="1" w:styleId="apple-converted-space">
    <w:name w:val="apple-converted-space"/>
    <w:basedOn w:val="a0"/>
    <w:rsid w:val="00315A34"/>
    <w:rPr>
      <w:rFonts w:cs="Times New Roman"/>
    </w:rPr>
  </w:style>
  <w:style w:type="character" w:styleId="af3">
    <w:name w:val="Hyperlink"/>
    <w:basedOn w:val="a0"/>
    <w:uiPriority w:val="99"/>
    <w:semiHidden/>
    <w:rsid w:val="00315A34"/>
    <w:rPr>
      <w:rFonts w:cs="Times New Roman"/>
      <w:color w:val="0000FF"/>
      <w:u w:val="single"/>
    </w:rPr>
  </w:style>
  <w:style w:type="character" w:styleId="af4">
    <w:name w:val="Emphasis"/>
    <w:basedOn w:val="a0"/>
    <w:uiPriority w:val="99"/>
    <w:qFormat/>
    <w:rsid w:val="000B6A0B"/>
    <w:rPr>
      <w:rFonts w:cs="Times New Roman"/>
      <w:i/>
      <w:iCs/>
    </w:rPr>
  </w:style>
  <w:style w:type="table" w:styleId="af5">
    <w:name w:val="Table Grid"/>
    <w:basedOn w:val="a1"/>
    <w:uiPriority w:val="99"/>
    <w:rsid w:val="00C709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C555FA"/>
    <w:pPr>
      <w:spacing w:before="100" w:beforeAutospacing="1" w:after="100" w:afterAutospacing="1" w:line="240" w:lineRule="auto"/>
    </w:pPr>
    <w:rPr>
      <w:rFonts w:ascii="Times New Roman" w:hAnsi="Times New Roman"/>
      <w:sz w:val="24"/>
      <w:szCs w:val="24"/>
    </w:rPr>
  </w:style>
  <w:style w:type="character" w:customStyle="1" w:styleId="af2">
    <w:name w:val="Последний абзац Знак"/>
    <w:link w:val="af1"/>
    <w:locked/>
    <w:rsid w:val="00F14BB0"/>
    <w:rPr>
      <w:rFonts w:ascii="Times New Roman" w:hAnsi="Times New Roman"/>
      <w:sz w:val="20"/>
      <w:lang w:eastAsia="ar-SA" w:bidi="ar-SA"/>
    </w:rPr>
  </w:style>
  <w:style w:type="paragraph" w:customStyle="1" w:styleId="12">
    <w:name w:val="Без интервала1"/>
    <w:link w:val="NoSpacingChar"/>
    <w:uiPriority w:val="99"/>
    <w:rsid w:val="003016D7"/>
    <w:pPr>
      <w:suppressAutoHyphens/>
    </w:pPr>
    <w:rPr>
      <w:rFonts w:cs="Calibri"/>
      <w:lang w:eastAsia="ar-SA"/>
    </w:rPr>
  </w:style>
  <w:style w:type="character" w:customStyle="1" w:styleId="NoSpacingChar">
    <w:name w:val="No Spacing Char"/>
    <w:basedOn w:val="a0"/>
    <w:link w:val="12"/>
    <w:locked/>
    <w:rsid w:val="003016D7"/>
    <w:rPr>
      <w:rFonts w:cs="Calibri"/>
      <w:sz w:val="22"/>
      <w:szCs w:val="22"/>
      <w:lang w:val="ru-RU" w:eastAsia="ar-SA" w:bidi="ar-SA"/>
    </w:rPr>
  </w:style>
  <w:style w:type="paragraph" w:customStyle="1" w:styleId="ConsPlusNonformat">
    <w:name w:val="ConsPlusNonformat"/>
    <w:uiPriority w:val="99"/>
    <w:rsid w:val="003269B2"/>
    <w:pPr>
      <w:autoSpaceDE w:val="0"/>
      <w:autoSpaceDN w:val="0"/>
      <w:adjustRightInd w:val="0"/>
    </w:pPr>
    <w:rPr>
      <w:rFonts w:ascii="Courier New" w:hAnsi="Courier New" w:cs="Courier New"/>
      <w:sz w:val="20"/>
      <w:szCs w:val="20"/>
      <w:lang w:eastAsia="en-US"/>
    </w:rPr>
  </w:style>
  <w:style w:type="paragraph" w:customStyle="1" w:styleId="default0">
    <w:name w:val="default"/>
    <w:basedOn w:val="a"/>
    <w:rsid w:val="0012611C"/>
    <w:pPr>
      <w:autoSpaceDE w:val="0"/>
      <w:autoSpaceDN w:val="0"/>
      <w:spacing w:after="0" w:line="240" w:lineRule="auto"/>
    </w:pPr>
    <w:rPr>
      <w:rFonts w:ascii="Times New Roman" w:eastAsiaTheme="minorHAnsi" w:hAnsi="Times New Roman"/>
      <w:color w:val="000000"/>
      <w:sz w:val="24"/>
      <w:szCs w:val="24"/>
    </w:rPr>
  </w:style>
  <w:style w:type="paragraph" w:customStyle="1" w:styleId="13">
    <w:name w:val="1"/>
    <w:basedOn w:val="a"/>
    <w:rsid w:val="0012611C"/>
    <w:pPr>
      <w:spacing w:after="0" w:line="240" w:lineRule="auto"/>
    </w:pPr>
    <w:rPr>
      <w:rFonts w:eastAsiaTheme="minorHAnsi"/>
    </w:rPr>
  </w:style>
  <w:style w:type="character" w:customStyle="1" w:styleId="af0">
    <w:name w:val="Абзац списка Знак"/>
    <w:aliases w:val="Абзац списка основной Знак"/>
    <w:link w:val="af"/>
    <w:locked/>
    <w:rsid w:val="0053388C"/>
    <w:rPr>
      <w:rFonts w:ascii="Times New Roman" w:hAnsi="Times New Roman"/>
      <w:sz w:val="28"/>
      <w:szCs w:val="28"/>
    </w:rPr>
  </w:style>
  <w:style w:type="paragraph" w:customStyle="1" w:styleId="headertext">
    <w:name w:val="headertext"/>
    <w:basedOn w:val="a"/>
    <w:rsid w:val="00DD189C"/>
    <w:pPr>
      <w:spacing w:before="100" w:beforeAutospacing="1" w:after="100" w:afterAutospacing="1" w:line="240" w:lineRule="auto"/>
    </w:pPr>
    <w:rPr>
      <w:rFonts w:ascii="Times New Roman" w:hAnsi="Times New Roman"/>
      <w:sz w:val="24"/>
      <w:szCs w:val="24"/>
    </w:rPr>
  </w:style>
  <w:style w:type="paragraph" w:styleId="af6">
    <w:name w:val="Block Text"/>
    <w:basedOn w:val="a"/>
    <w:rsid w:val="00C66C0E"/>
    <w:pPr>
      <w:widowControl w:val="0"/>
      <w:spacing w:before="120" w:after="0" w:line="320" w:lineRule="exact"/>
      <w:ind w:left="1540" w:right="1500"/>
      <w:jc w:val="center"/>
    </w:pPr>
    <w:rPr>
      <w:rFonts w:ascii="Times New Roman" w:hAnsi="Times New Roman"/>
      <w:sz w:val="28"/>
      <w:szCs w:val="20"/>
    </w:rPr>
  </w:style>
  <w:style w:type="paragraph" w:styleId="af7">
    <w:name w:val="Plain Text"/>
    <w:basedOn w:val="a"/>
    <w:link w:val="af8"/>
    <w:uiPriority w:val="99"/>
    <w:unhideWhenUsed/>
    <w:rsid w:val="002C6321"/>
    <w:pPr>
      <w:spacing w:after="0" w:line="240" w:lineRule="auto"/>
    </w:pPr>
    <w:rPr>
      <w:rFonts w:eastAsia="Calibri"/>
      <w:szCs w:val="21"/>
      <w:lang w:eastAsia="en-US"/>
    </w:rPr>
  </w:style>
  <w:style w:type="character" w:customStyle="1" w:styleId="af8">
    <w:name w:val="Текст Знак"/>
    <w:basedOn w:val="a0"/>
    <w:link w:val="af7"/>
    <w:uiPriority w:val="99"/>
    <w:rsid w:val="002C6321"/>
    <w:rPr>
      <w:rFonts w:eastAsia="Calibri"/>
      <w:szCs w:val="21"/>
      <w:lang w:eastAsia="en-US"/>
    </w:rPr>
  </w:style>
  <w:style w:type="paragraph" w:customStyle="1" w:styleId="25">
    <w:name w:val="Без интервала2"/>
    <w:rsid w:val="0024199E"/>
  </w:style>
  <w:style w:type="paragraph" w:styleId="af9">
    <w:name w:val="footnote text"/>
    <w:basedOn w:val="a"/>
    <w:link w:val="afa"/>
    <w:uiPriority w:val="99"/>
    <w:semiHidden/>
    <w:unhideWhenUsed/>
    <w:rsid w:val="004837CC"/>
    <w:pPr>
      <w:spacing w:after="0" w:line="240" w:lineRule="auto"/>
    </w:pPr>
    <w:rPr>
      <w:sz w:val="20"/>
      <w:szCs w:val="20"/>
    </w:rPr>
  </w:style>
  <w:style w:type="character" w:customStyle="1" w:styleId="afa">
    <w:name w:val="Текст сноски Знак"/>
    <w:basedOn w:val="a0"/>
    <w:link w:val="af9"/>
    <w:uiPriority w:val="99"/>
    <w:semiHidden/>
    <w:rsid w:val="004837CC"/>
    <w:rPr>
      <w:sz w:val="20"/>
      <w:szCs w:val="20"/>
    </w:rPr>
  </w:style>
  <w:style w:type="character" w:styleId="afb">
    <w:name w:val="footnote reference"/>
    <w:basedOn w:val="a0"/>
    <w:uiPriority w:val="99"/>
    <w:semiHidden/>
    <w:unhideWhenUsed/>
    <w:rsid w:val="004837CC"/>
    <w:rPr>
      <w:vertAlign w:val="superscript"/>
    </w:rPr>
  </w:style>
  <w:style w:type="character" w:customStyle="1" w:styleId="30">
    <w:name w:val="Заголовок 3 Знак"/>
    <w:basedOn w:val="a0"/>
    <w:link w:val="3"/>
    <w:uiPriority w:val="9"/>
    <w:rsid w:val="00377BFC"/>
    <w:rPr>
      <w:rFonts w:ascii="Times New Roman" w:hAnsi="Times New Roman"/>
      <w:b/>
      <w:bCs/>
      <w:sz w:val="27"/>
      <w:szCs w:val="27"/>
    </w:rPr>
  </w:style>
  <w:style w:type="paragraph" w:styleId="afc">
    <w:name w:val="Balloon Text"/>
    <w:basedOn w:val="a"/>
    <w:link w:val="afd"/>
    <w:uiPriority w:val="99"/>
    <w:semiHidden/>
    <w:unhideWhenUsed/>
    <w:rsid w:val="009453E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9453E2"/>
    <w:rPr>
      <w:rFonts w:ascii="Segoe UI" w:hAnsi="Segoe UI" w:cs="Segoe UI"/>
      <w:sz w:val="18"/>
      <w:szCs w:val="18"/>
    </w:rPr>
  </w:style>
  <w:style w:type="paragraph" w:customStyle="1" w:styleId="ConsPlusNormal">
    <w:name w:val="ConsPlusNormal"/>
    <w:rsid w:val="001D20CD"/>
    <w:pPr>
      <w:autoSpaceDE w:val="0"/>
      <w:autoSpaceDN w:val="0"/>
      <w:adjustRightInd w:val="0"/>
    </w:pPr>
    <w:rPr>
      <w:rFonts w:ascii="Times New Roman" w:hAnsi="Times New Roman"/>
      <w:sz w:val="28"/>
      <w:szCs w:val="28"/>
    </w:rPr>
  </w:style>
  <w:style w:type="paragraph" w:customStyle="1" w:styleId="ConsPlusTitle">
    <w:name w:val="ConsPlusTitle"/>
    <w:uiPriority w:val="99"/>
    <w:rsid w:val="001D20CD"/>
    <w:pPr>
      <w:widowControl w:val="0"/>
      <w:autoSpaceDE w:val="0"/>
      <w:autoSpaceDN w:val="0"/>
    </w:pPr>
    <w:rPr>
      <w:rFonts w:cs="Calibri"/>
      <w:b/>
      <w:szCs w:val="20"/>
    </w:rPr>
  </w:style>
  <w:style w:type="character" w:customStyle="1" w:styleId="10">
    <w:name w:val="Заголовок 1 Знак"/>
    <w:basedOn w:val="a0"/>
    <w:link w:val="1"/>
    <w:rsid w:val="00E012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433">
      <w:bodyDiv w:val="1"/>
      <w:marLeft w:val="0"/>
      <w:marRight w:val="0"/>
      <w:marTop w:val="0"/>
      <w:marBottom w:val="0"/>
      <w:divBdr>
        <w:top w:val="none" w:sz="0" w:space="0" w:color="auto"/>
        <w:left w:val="none" w:sz="0" w:space="0" w:color="auto"/>
        <w:bottom w:val="none" w:sz="0" w:space="0" w:color="auto"/>
        <w:right w:val="none" w:sz="0" w:space="0" w:color="auto"/>
      </w:divBdr>
    </w:div>
    <w:div w:id="106630449">
      <w:bodyDiv w:val="1"/>
      <w:marLeft w:val="0"/>
      <w:marRight w:val="0"/>
      <w:marTop w:val="0"/>
      <w:marBottom w:val="0"/>
      <w:divBdr>
        <w:top w:val="none" w:sz="0" w:space="0" w:color="auto"/>
        <w:left w:val="none" w:sz="0" w:space="0" w:color="auto"/>
        <w:bottom w:val="none" w:sz="0" w:space="0" w:color="auto"/>
        <w:right w:val="none" w:sz="0" w:space="0" w:color="auto"/>
      </w:divBdr>
    </w:div>
    <w:div w:id="108084671">
      <w:bodyDiv w:val="1"/>
      <w:marLeft w:val="0"/>
      <w:marRight w:val="0"/>
      <w:marTop w:val="0"/>
      <w:marBottom w:val="0"/>
      <w:divBdr>
        <w:top w:val="none" w:sz="0" w:space="0" w:color="auto"/>
        <w:left w:val="none" w:sz="0" w:space="0" w:color="auto"/>
        <w:bottom w:val="none" w:sz="0" w:space="0" w:color="auto"/>
        <w:right w:val="none" w:sz="0" w:space="0" w:color="auto"/>
      </w:divBdr>
    </w:div>
    <w:div w:id="152114223">
      <w:bodyDiv w:val="1"/>
      <w:marLeft w:val="0"/>
      <w:marRight w:val="0"/>
      <w:marTop w:val="0"/>
      <w:marBottom w:val="0"/>
      <w:divBdr>
        <w:top w:val="none" w:sz="0" w:space="0" w:color="auto"/>
        <w:left w:val="none" w:sz="0" w:space="0" w:color="auto"/>
        <w:bottom w:val="none" w:sz="0" w:space="0" w:color="auto"/>
        <w:right w:val="none" w:sz="0" w:space="0" w:color="auto"/>
      </w:divBdr>
    </w:div>
    <w:div w:id="181745849">
      <w:bodyDiv w:val="1"/>
      <w:marLeft w:val="0"/>
      <w:marRight w:val="0"/>
      <w:marTop w:val="0"/>
      <w:marBottom w:val="0"/>
      <w:divBdr>
        <w:top w:val="none" w:sz="0" w:space="0" w:color="auto"/>
        <w:left w:val="none" w:sz="0" w:space="0" w:color="auto"/>
        <w:bottom w:val="none" w:sz="0" w:space="0" w:color="auto"/>
        <w:right w:val="none" w:sz="0" w:space="0" w:color="auto"/>
      </w:divBdr>
    </w:div>
    <w:div w:id="241258268">
      <w:bodyDiv w:val="1"/>
      <w:marLeft w:val="0"/>
      <w:marRight w:val="0"/>
      <w:marTop w:val="0"/>
      <w:marBottom w:val="0"/>
      <w:divBdr>
        <w:top w:val="none" w:sz="0" w:space="0" w:color="auto"/>
        <w:left w:val="none" w:sz="0" w:space="0" w:color="auto"/>
        <w:bottom w:val="none" w:sz="0" w:space="0" w:color="auto"/>
        <w:right w:val="none" w:sz="0" w:space="0" w:color="auto"/>
      </w:divBdr>
    </w:div>
    <w:div w:id="638268404">
      <w:bodyDiv w:val="1"/>
      <w:marLeft w:val="0"/>
      <w:marRight w:val="0"/>
      <w:marTop w:val="0"/>
      <w:marBottom w:val="0"/>
      <w:divBdr>
        <w:top w:val="none" w:sz="0" w:space="0" w:color="auto"/>
        <w:left w:val="none" w:sz="0" w:space="0" w:color="auto"/>
        <w:bottom w:val="none" w:sz="0" w:space="0" w:color="auto"/>
        <w:right w:val="none" w:sz="0" w:space="0" w:color="auto"/>
      </w:divBdr>
    </w:div>
    <w:div w:id="926884988">
      <w:bodyDiv w:val="1"/>
      <w:marLeft w:val="0"/>
      <w:marRight w:val="0"/>
      <w:marTop w:val="0"/>
      <w:marBottom w:val="0"/>
      <w:divBdr>
        <w:top w:val="none" w:sz="0" w:space="0" w:color="auto"/>
        <w:left w:val="none" w:sz="0" w:space="0" w:color="auto"/>
        <w:bottom w:val="none" w:sz="0" w:space="0" w:color="auto"/>
        <w:right w:val="none" w:sz="0" w:space="0" w:color="auto"/>
      </w:divBdr>
    </w:div>
    <w:div w:id="938490447">
      <w:bodyDiv w:val="1"/>
      <w:marLeft w:val="0"/>
      <w:marRight w:val="0"/>
      <w:marTop w:val="0"/>
      <w:marBottom w:val="0"/>
      <w:divBdr>
        <w:top w:val="none" w:sz="0" w:space="0" w:color="auto"/>
        <w:left w:val="none" w:sz="0" w:space="0" w:color="auto"/>
        <w:bottom w:val="none" w:sz="0" w:space="0" w:color="auto"/>
        <w:right w:val="none" w:sz="0" w:space="0" w:color="auto"/>
      </w:divBdr>
    </w:div>
    <w:div w:id="982539620">
      <w:bodyDiv w:val="1"/>
      <w:marLeft w:val="0"/>
      <w:marRight w:val="0"/>
      <w:marTop w:val="0"/>
      <w:marBottom w:val="0"/>
      <w:divBdr>
        <w:top w:val="none" w:sz="0" w:space="0" w:color="auto"/>
        <w:left w:val="none" w:sz="0" w:space="0" w:color="auto"/>
        <w:bottom w:val="none" w:sz="0" w:space="0" w:color="auto"/>
        <w:right w:val="none" w:sz="0" w:space="0" w:color="auto"/>
      </w:divBdr>
    </w:div>
    <w:div w:id="1101950459">
      <w:bodyDiv w:val="1"/>
      <w:marLeft w:val="0"/>
      <w:marRight w:val="0"/>
      <w:marTop w:val="0"/>
      <w:marBottom w:val="0"/>
      <w:divBdr>
        <w:top w:val="none" w:sz="0" w:space="0" w:color="auto"/>
        <w:left w:val="none" w:sz="0" w:space="0" w:color="auto"/>
        <w:bottom w:val="none" w:sz="0" w:space="0" w:color="auto"/>
        <w:right w:val="none" w:sz="0" w:space="0" w:color="auto"/>
      </w:divBdr>
    </w:div>
    <w:div w:id="1318730446">
      <w:bodyDiv w:val="1"/>
      <w:marLeft w:val="0"/>
      <w:marRight w:val="0"/>
      <w:marTop w:val="0"/>
      <w:marBottom w:val="0"/>
      <w:divBdr>
        <w:top w:val="none" w:sz="0" w:space="0" w:color="auto"/>
        <w:left w:val="none" w:sz="0" w:space="0" w:color="auto"/>
        <w:bottom w:val="none" w:sz="0" w:space="0" w:color="auto"/>
        <w:right w:val="none" w:sz="0" w:space="0" w:color="auto"/>
      </w:divBdr>
    </w:div>
    <w:div w:id="1361319955">
      <w:bodyDiv w:val="1"/>
      <w:marLeft w:val="0"/>
      <w:marRight w:val="0"/>
      <w:marTop w:val="0"/>
      <w:marBottom w:val="0"/>
      <w:divBdr>
        <w:top w:val="none" w:sz="0" w:space="0" w:color="auto"/>
        <w:left w:val="none" w:sz="0" w:space="0" w:color="auto"/>
        <w:bottom w:val="none" w:sz="0" w:space="0" w:color="auto"/>
        <w:right w:val="none" w:sz="0" w:space="0" w:color="auto"/>
      </w:divBdr>
    </w:div>
    <w:div w:id="1898737832">
      <w:bodyDiv w:val="1"/>
      <w:marLeft w:val="0"/>
      <w:marRight w:val="0"/>
      <w:marTop w:val="0"/>
      <w:marBottom w:val="0"/>
      <w:divBdr>
        <w:top w:val="none" w:sz="0" w:space="0" w:color="auto"/>
        <w:left w:val="none" w:sz="0" w:space="0" w:color="auto"/>
        <w:bottom w:val="none" w:sz="0" w:space="0" w:color="auto"/>
        <w:right w:val="none" w:sz="0" w:space="0" w:color="auto"/>
      </w:divBdr>
    </w:div>
    <w:div w:id="2062051847">
      <w:marLeft w:val="0"/>
      <w:marRight w:val="0"/>
      <w:marTop w:val="0"/>
      <w:marBottom w:val="0"/>
      <w:divBdr>
        <w:top w:val="none" w:sz="0" w:space="0" w:color="auto"/>
        <w:left w:val="none" w:sz="0" w:space="0" w:color="auto"/>
        <w:bottom w:val="none" w:sz="0" w:space="0" w:color="auto"/>
        <w:right w:val="none" w:sz="0" w:space="0" w:color="auto"/>
      </w:divBdr>
    </w:div>
    <w:div w:id="2062051848">
      <w:marLeft w:val="0"/>
      <w:marRight w:val="0"/>
      <w:marTop w:val="0"/>
      <w:marBottom w:val="0"/>
      <w:divBdr>
        <w:top w:val="none" w:sz="0" w:space="0" w:color="auto"/>
        <w:left w:val="none" w:sz="0" w:space="0" w:color="auto"/>
        <w:bottom w:val="none" w:sz="0" w:space="0" w:color="auto"/>
        <w:right w:val="none" w:sz="0" w:space="0" w:color="auto"/>
      </w:divBdr>
    </w:div>
    <w:div w:id="2062051849">
      <w:marLeft w:val="0"/>
      <w:marRight w:val="0"/>
      <w:marTop w:val="0"/>
      <w:marBottom w:val="0"/>
      <w:divBdr>
        <w:top w:val="none" w:sz="0" w:space="0" w:color="auto"/>
        <w:left w:val="none" w:sz="0" w:space="0" w:color="auto"/>
        <w:bottom w:val="none" w:sz="0" w:space="0" w:color="auto"/>
        <w:right w:val="none" w:sz="0" w:space="0" w:color="auto"/>
      </w:divBdr>
    </w:div>
    <w:div w:id="2062051850">
      <w:marLeft w:val="0"/>
      <w:marRight w:val="0"/>
      <w:marTop w:val="0"/>
      <w:marBottom w:val="0"/>
      <w:divBdr>
        <w:top w:val="none" w:sz="0" w:space="0" w:color="auto"/>
        <w:left w:val="none" w:sz="0" w:space="0" w:color="auto"/>
        <w:bottom w:val="none" w:sz="0" w:space="0" w:color="auto"/>
        <w:right w:val="none" w:sz="0" w:space="0" w:color="auto"/>
      </w:divBdr>
    </w:div>
    <w:div w:id="2062051851">
      <w:marLeft w:val="0"/>
      <w:marRight w:val="0"/>
      <w:marTop w:val="0"/>
      <w:marBottom w:val="0"/>
      <w:divBdr>
        <w:top w:val="none" w:sz="0" w:space="0" w:color="auto"/>
        <w:left w:val="none" w:sz="0" w:space="0" w:color="auto"/>
        <w:bottom w:val="none" w:sz="0" w:space="0" w:color="auto"/>
        <w:right w:val="none" w:sz="0" w:space="0" w:color="auto"/>
      </w:divBdr>
    </w:div>
    <w:div w:id="2062051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id/40584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003F-9F17-42CD-8267-F5204DD5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10691</Words>
  <Characters>76541</Characters>
  <Application>Microsoft Office Word</Application>
  <DocSecurity>0</DocSecurity>
  <Lines>637</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87058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Фомкина Лариса Григорьевна</cp:lastModifiedBy>
  <cp:revision>3</cp:revision>
  <cp:lastPrinted>2020-10-14T08:58:00Z</cp:lastPrinted>
  <dcterms:created xsi:type="dcterms:W3CDTF">2020-10-23T05:42:00Z</dcterms:created>
  <dcterms:modified xsi:type="dcterms:W3CDTF">2020-10-23T10:04:00Z</dcterms:modified>
</cp:coreProperties>
</file>