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9A" w:rsidRPr="00245C6B" w:rsidRDefault="00FD4E9A" w:rsidP="00FD4E9A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FD4E9A" w:rsidRPr="003A58FA" w:rsidRDefault="00FD4E9A" w:rsidP="00FD4E9A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FD4E9A" w:rsidRPr="00245C6B" w:rsidRDefault="00FD4E9A" w:rsidP="00FD4E9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03.02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4E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4864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Тольятти, г. Тольятти, ул. Ботаническая, з/у № 58А».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D4E9A" w:rsidRDefault="00FD4E9A" w:rsidP="00FD4E9A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FD4E9A" w:rsidRPr="00245C6B" w:rsidRDefault="00FD4E9A" w:rsidP="00FD4E9A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463 750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Четыреста шестьдесят три тысячи семьсот пятьдесят)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10 000 (Десять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E9A" w:rsidRPr="00774D78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774D78"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.02.2025 в 9:00 (время местное).</w:t>
      </w:r>
    </w:p>
    <w:p w:rsidR="00FD4E9A" w:rsidRPr="00774D78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D4E9A" w:rsidRPr="00774D78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774D78"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.03.2025 в 9:00 (время местное).</w:t>
      </w:r>
    </w:p>
    <w:p w:rsidR="00FD4E9A" w:rsidRPr="00774D78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D4E9A" w:rsidRPr="00774D78" w:rsidRDefault="00FD4E9A" w:rsidP="00FD4E9A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774D78"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.03.2025.</w:t>
      </w:r>
    </w:p>
    <w:p w:rsidR="00FD4E9A" w:rsidRPr="00774D78" w:rsidRDefault="00FD4E9A" w:rsidP="00FD4E9A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D4E9A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774D78"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9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.03.2025 в 09:00 (время местное).</w:t>
      </w:r>
    </w:p>
    <w:p w:rsidR="00FD4E9A" w:rsidRPr="00245C6B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FD4E9A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FD4E9A" w:rsidRPr="00245C6B" w:rsidRDefault="00FD4E9A" w:rsidP="00FD4E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9A" w:rsidRDefault="00FD4E9A" w:rsidP="00FD4E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D4E9A" w:rsidRPr="004513AE" w:rsidRDefault="00FD4E9A" w:rsidP="00FD4E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E9A" w:rsidRDefault="00FD4E9A" w:rsidP="00FD4E9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4864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4E9A" w:rsidRPr="00245C6B" w:rsidRDefault="00FD4E9A" w:rsidP="00FD4E9A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Тольятти, г. Тольятти, ул. Ботаническая, з/у № 58А.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442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E31BB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30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(Тридцать)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FD4E9A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05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295725952.</w:t>
      </w:r>
    </w:p>
    <w:p w:rsidR="00FD4E9A" w:rsidRPr="00245C6B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05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295725952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объекты придорожного сервиса (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.9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D4E9A" w:rsidRPr="00E403A7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 xml:space="preserve">53. ПК-4. 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</w:t>
      </w:r>
      <w:r w:rsidRPr="00E05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FD4E9A" w:rsidRDefault="00FD4E9A" w:rsidP="00FD4E9A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D4E9A" w:rsidRDefault="00FD4E9A" w:rsidP="00FD4E9A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FD4E9A" w:rsidRDefault="00FD4E9A" w:rsidP="00FD4E9A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D4E9A" w:rsidRPr="00912239" w:rsidRDefault="00FD4E9A" w:rsidP="00FD4E9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котельных - 11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Правил».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D4E9A" w:rsidRPr="00786A98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ТУ ПАО «Ростелеком» от 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25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09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.2024 № 01/17/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2887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/24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FD4E9A" w:rsidRPr="00786A98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 № 31-05/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27675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FD4E9A" w:rsidRPr="00786A98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сетевая компания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276/20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D4E9A" w:rsidRPr="00786A98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51100-23-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00255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78A4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D4E9A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="00E703E6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703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ТЕВИС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E703E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3E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E703E6">
        <w:rPr>
          <w:rFonts w:ascii="Times New Roman" w:eastAsia="Times New Roman" w:hAnsi="Times New Roman" w:cs="Times New Roman"/>
          <w:sz w:val="24"/>
          <w:szCs w:val="24"/>
          <w:lang w:eastAsia="ru-RU"/>
        </w:rPr>
        <w:t>51115-02643/исх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FD4E9A" w:rsidRPr="00245C6B" w:rsidRDefault="00FD4E9A" w:rsidP="00FD4E9A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E703E6" w:rsidRDefault="00E703E6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FD4E9A" w:rsidRPr="00245C6B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FD4E9A" w:rsidRPr="00245C6B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FD4E9A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FD4E9A" w:rsidRPr="00245C6B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D4E9A" w:rsidRDefault="00FD4E9A" w:rsidP="00FD4E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E9A" w:rsidRPr="00245C6B" w:rsidRDefault="00FD4E9A" w:rsidP="00FD4E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FD4E9A" w:rsidRPr="00245C6B" w:rsidRDefault="00FD4E9A" w:rsidP="00FD4E9A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D4E9A" w:rsidRPr="00245C6B" w:rsidRDefault="00FD4E9A" w:rsidP="00FD4E9A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D4E9A" w:rsidRPr="00245C6B" w:rsidRDefault="00FD4E9A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FD4E9A" w:rsidRPr="00245C6B" w:rsidRDefault="00FD4E9A" w:rsidP="00FD4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FD4E9A" w:rsidRPr="00245C6B" w:rsidRDefault="00FD4E9A" w:rsidP="00FD4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F78A4">
        <w:rPr>
          <w:rFonts w:ascii="Times New Roman" w:eastAsia="Calibri" w:hAnsi="Times New Roman" w:cs="Times New Roman"/>
          <w:sz w:val="24"/>
          <w:szCs w:val="24"/>
        </w:rPr>
        <w:t>463 750</w:t>
      </w:r>
      <w:r w:rsidR="004F78A4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F78A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Четыреста шестьдесят три тысячи семьсот пятьдесят)</w:t>
      </w:r>
      <w:r w:rsidR="004F78A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4F78A4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4F78A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4F78A4" w:rsidRPr="00245C6B" w:rsidRDefault="004F78A4" w:rsidP="00FD4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E9A" w:rsidRDefault="00FD4E9A" w:rsidP="00FD4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FD4E9A" w:rsidRPr="00245C6B" w:rsidRDefault="00FD4E9A" w:rsidP="00FD4E9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FD4E9A" w:rsidRDefault="00FD4E9A" w:rsidP="00FD4E9A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FD4E9A" w:rsidRPr="00245C6B" w:rsidRDefault="00FD4E9A" w:rsidP="00FD4E9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FD4E9A" w:rsidRDefault="00FD4E9A" w:rsidP="00FD4E9A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FD4E9A" w:rsidRPr="00245C6B" w:rsidRDefault="00FD4E9A" w:rsidP="00FD4E9A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FD4E9A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FD4E9A" w:rsidRPr="00245C6B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FD4E9A" w:rsidRPr="00245C6B" w:rsidRDefault="00FD4E9A" w:rsidP="00FD4E9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FD4E9A" w:rsidRPr="00245C6B" w:rsidRDefault="00FD4E9A" w:rsidP="00FD4E9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D4E9A" w:rsidRPr="00245C6B" w:rsidRDefault="00FD4E9A" w:rsidP="00FD4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FD4E9A" w:rsidRPr="00245C6B" w:rsidRDefault="00FD4E9A" w:rsidP="00FD4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FD4E9A" w:rsidRPr="00245C6B" w:rsidRDefault="00FD4E9A" w:rsidP="00FD4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FD4E9A" w:rsidRPr="00245C6B" w:rsidRDefault="00FD4E9A" w:rsidP="00FD4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FD4E9A" w:rsidRPr="00245C6B" w:rsidRDefault="00FD4E9A" w:rsidP="00FD4E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FD4E9A" w:rsidRPr="00245C6B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FD4E9A" w:rsidRPr="00245C6B" w:rsidRDefault="00FD4E9A" w:rsidP="00FD4E9A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FD4E9A" w:rsidRPr="00245C6B" w:rsidRDefault="00FD4E9A" w:rsidP="00FD4E9A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FD4E9A" w:rsidRPr="00245C6B" w:rsidRDefault="00FD4E9A" w:rsidP="00FD4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FD4E9A" w:rsidRPr="00245C6B" w:rsidRDefault="00FD4E9A" w:rsidP="00FD4E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9A" w:rsidRPr="00245C6B" w:rsidRDefault="00FD4E9A" w:rsidP="00FD4E9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FD4E9A" w:rsidRPr="00245C6B" w:rsidRDefault="00FD4E9A" w:rsidP="00FD4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FD4E9A" w:rsidRPr="00245C6B" w:rsidRDefault="00FD4E9A" w:rsidP="00FD4E9A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FD4E9A" w:rsidRPr="00245C6B" w:rsidRDefault="00FD4E9A" w:rsidP="00FD4E9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D4E9A" w:rsidRDefault="00FD4E9A" w:rsidP="00FD4E9A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FD4E9A" w:rsidRDefault="00FD4E9A" w:rsidP="00FD4E9A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D4E9A" w:rsidRPr="00245C6B" w:rsidRDefault="00FD4E9A" w:rsidP="00FD4E9A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 кодекса, победителю аукциона или единственному принявшему участие в аукционе его участнику направляется подписанный проект договора аренды такого участка.</w:t>
      </w:r>
    </w:p>
    <w:p w:rsidR="00FD4E9A" w:rsidRPr="00245C6B" w:rsidRDefault="00FD4E9A" w:rsidP="00FD4E9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D4E9A" w:rsidRPr="00245C6B" w:rsidRDefault="00FD4E9A" w:rsidP="00FD4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D4E9A" w:rsidRPr="00245C6B" w:rsidRDefault="00FD4E9A" w:rsidP="00FD4E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D4E9A" w:rsidRPr="00245C6B" w:rsidRDefault="00FD4E9A" w:rsidP="00FD4E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FD4E9A" w:rsidRDefault="00FD4E9A" w:rsidP="00FD4E9A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A47EF4" w:rsidRDefault="00A47EF4"/>
    <w:sectPr w:rsidR="00A47EF4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A"/>
    <w:rsid w:val="004F78A4"/>
    <w:rsid w:val="00774D78"/>
    <w:rsid w:val="00A47EF4"/>
    <w:rsid w:val="00B81968"/>
    <w:rsid w:val="00E31BB0"/>
    <w:rsid w:val="00E703E6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C226"/>
  <w15:chartTrackingRefBased/>
  <w15:docId w15:val="{24819E3B-78B4-41B1-9A56-68DC95C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3153" TargetMode="External"/><Relationship Id="rId13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8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7" Type="http://schemas.openxmlformats.org/officeDocument/2006/relationships/hyperlink" Target="https://login.consultant.ru/link/?req=doc&amp;base=RLAW256&amp;n=192797&amp;dst=102703" TargetMode="External"/><Relationship Id="rId12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7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20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3603</Words>
  <Characters>20541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dcterms:created xsi:type="dcterms:W3CDTF">2025-02-11T06:52:00Z</dcterms:created>
  <dcterms:modified xsi:type="dcterms:W3CDTF">2025-02-12T07:47:00Z</dcterms:modified>
</cp:coreProperties>
</file>