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C7" w:rsidRPr="00245C6B" w:rsidRDefault="00D151C7" w:rsidP="00C17C3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151C7" w:rsidRPr="00245C6B" w:rsidRDefault="00D151C7" w:rsidP="00C17C3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</w:t>
      </w:r>
      <w:proofErr w:type="gramStart"/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r w:rsidR="0095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</w:t>
      </w:r>
      <w:proofErr w:type="gramEnd"/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="0095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D151C7" w:rsidRPr="00245C6B" w:rsidRDefault="00D151C7" w:rsidP="00C17C3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D151C7" w:rsidRPr="00245C6B" w:rsidRDefault="00D151C7" w:rsidP="00C17C3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C1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E11A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E11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 №  </w:t>
      </w:r>
      <w:r w:rsidR="00CE11AA">
        <w:rPr>
          <w:rFonts w:ascii="Times New Roman" w:eastAsia="Times New Roman" w:hAnsi="Times New Roman" w:cs="Times New Roman"/>
          <w:sz w:val="24"/>
          <w:szCs w:val="24"/>
        </w:rPr>
        <w:t>1585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="0060161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CE11AA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 w:rsidR="00CE11AA">
        <w:rPr>
          <w:rFonts w:ascii="Times New Roman" w:eastAsia="Calibri" w:hAnsi="Times New Roman" w:cs="Times New Roman"/>
          <w:sz w:val="24"/>
          <w:szCs w:val="24"/>
          <w:lang w:eastAsia="zh-CN"/>
        </w:rPr>
        <w:t>053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CE11AA">
        <w:rPr>
          <w:rFonts w:ascii="Times New Roman" w:eastAsia="Calibri" w:hAnsi="Times New Roman" w:cs="Times New Roman"/>
          <w:sz w:val="24"/>
          <w:szCs w:val="24"/>
          <w:lang w:eastAsia="zh-CN"/>
        </w:rPr>
        <w:t>1278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</w:t>
      </w:r>
      <w:bookmarkEnd w:id="0"/>
      <w:r w:rsidR="00CE11AA">
        <w:rPr>
          <w:rFonts w:ascii="Times New Roman" w:eastAsia="Times New Roman" w:hAnsi="Times New Roman" w:cs="Times New Roman"/>
          <w:sz w:val="24"/>
          <w:szCs w:val="24"/>
        </w:rPr>
        <w:t>улица Ярославская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№ </w:t>
      </w:r>
      <w:r w:rsidR="00CE11AA">
        <w:rPr>
          <w:rFonts w:ascii="Times New Roman" w:eastAsia="Times New Roman" w:hAnsi="Times New Roman" w:cs="Times New Roman"/>
          <w:sz w:val="24"/>
          <w:szCs w:val="24"/>
        </w:rPr>
        <w:t>8/3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51C7" w:rsidRPr="00245C6B" w:rsidRDefault="00D151C7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151C7" w:rsidRDefault="00D151C7" w:rsidP="00C17C3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0E2793" w:rsidRPr="00245C6B" w:rsidRDefault="000E2793" w:rsidP="00C17C3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="008B6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8B65F1">
        <w:rPr>
          <w:rFonts w:ascii="Times New Roman" w:eastAsia="MS Mincho" w:hAnsi="Times New Roman" w:cs="Times New Roman"/>
          <w:sz w:val="24"/>
          <w:szCs w:val="24"/>
          <w:lang w:eastAsia="ru-RU"/>
        </w:rPr>
        <w:t>216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8B65F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8B65F1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шестнадцать тысяч двести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8B6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B65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67E4E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B65F1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="00E67E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1C7" w:rsidRDefault="00D151C7" w:rsidP="00C17C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8B65F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E67E4E"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0E2793" w:rsidRPr="00245C6B" w:rsidRDefault="000E2793" w:rsidP="00C17C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151C7" w:rsidRDefault="00D151C7" w:rsidP="00C17C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8B65F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0E2793" w:rsidRPr="00245C6B" w:rsidRDefault="000E2793" w:rsidP="00C17C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151C7" w:rsidRDefault="00D151C7" w:rsidP="00C17C3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8B65F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23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0E2793" w:rsidRPr="00245C6B" w:rsidRDefault="000E2793" w:rsidP="00C17C3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151C7" w:rsidRDefault="00D151C7" w:rsidP="00C17C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8B65F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67E4E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8B65F1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0E2793" w:rsidRPr="00245C6B" w:rsidRDefault="000E2793" w:rsidP="00C17C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D151C7" w:rsidRDefault="00D151C7" w:rsidP="00C17C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E2793" w:rsidRPr="00245C6B" w:rsidRDefault="000E2793" w:rsidP="00C17C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93" w:rsidRPr="004513AE" w:rsidRDefault="000E2793" w:rsidP="00C17C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151C7" w:rsidRPr="00245C6B">
        <w:rPr>
          <w:rFonts w:ascii="Times New Roman" w:hAnsi="Times New Roman" w:cs="Times New Roman"/>
          <w:b/>
          <w:sz w:val="24"/>
        </w:rPr>
        <w:t>Предмет аукциона</w:t>
      </w:r>
      <w:r w:rsidR="00D151C7">
        <w:rPr>
          <w:rFonts w:ascii="Times New Roman" w:hAnsi="Times New Roman" w:cs="Times New Roman"/>
          <w:b/>
          <w:sz w:val="24"/>
        </w:rPr>
        <w:t>:</w:t>
      </w:r>
      <w:r w:rsidR="00D151C7"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 w:rsidR="008B65F1"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объекта </w:t>
      </w:r>
      <w:r w:rsidR="008B65F1">
        <w:rPr>
          <w:rFonts w:ascii="Times New Roman" w:eastAsia="Calibri" w:hAnsi="Times New Roman" w:cs="Times New Roman"/>
          <w:sz w:val="24"/>
          <w:szCs w:val="24"/>
          <w:lang w:eastAsia="ar-SA"/>
        </w:rPr>
        <w:t>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151C7" w:rsidRPr="00245C6B" w:rsidRDefault="00D151C7" w:rsidP="00C17C3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="008B65F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65F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8B65F1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8B65F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 w:rsidR="008B65F1">
        <w:rPr>
          <w:rFonts w:ascii="Times New Roman" w:eastAsia="Calibri" w:hAnsi="Times New Roman" w:cs="Times New Roman"/>
          <w:sz w:val="24"/>
          <w:szCs w:val="24"/>
          <w:lang w:eastAsia="zh-CN"/>
        </w:rPr>
        <w:t>053</w:t>
      </w:r>
      <w:r w:rsidR="008B65F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8B65F1">
        <w:rPr>
          <w:rFonts w:ascii="Times New Roman" w:eastAsia="Calibri" w:hAnsi="Times New Roman" w:cs="Times New Roman"/>
          <w:sz w:val="24"/>
          <w:szCs w:val="24"/>
          <w:lang w:eastAsia="zh-CN"/>
        </w:rPr>
        <w:t>1278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67E4E" w:rsidRDefault="00D151C7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6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65F1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8B65F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улица Ярославская, земельный участок № 8/3</w:t>
      </w:r>
      <w:r w:rsidR="00E67E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793" w:rsidRDefault="000E2793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793" w:rsidRDefault="00D151C7" w:rsidP="00C17C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="008B65F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65F1">
        <w:rPr>
          <w:rFonts w:ascii="Times New Roman" w:eastAsia="MS Mincho" w:hAnsi="Times New Roman" w:cs="Times New Roman"/>
          <w:sz w:val="24"/>
          <w:szCs w:val="24"/>
          <w:lang w:eastAsia="ru-RU"/>
        </w:rPr>
        <w:t>967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кв.м.</w:t>
      </w:r>
    </w:p>
    <w:p w:rsidR="00D151C7" w:rsidRPr="00245C6B" w:rsidRDefault="00D151C7" w:rsidP="00C17C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E2793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аренды земельного участка: </w:t>
      </w:r>
      <w:r w:rsidR="008B65F1"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8B65F1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151C7" w:rsidRPr="00245C6B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151C7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территории.</w:t>
      </w:r>
    </w:p>
    <w:p w:rsidR="000E2793" w:rsidRPr="00245C6B" w:rsidRDefault="000E2793" w:rsidP="00C17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0C5CBF">
        <w:rPr>
          <w:rFonts w:ascii="Times New Roman" w:eastAsia="MS Mincho" w:hAnsi="Times New Roman" w:cs="Times New Roman"/>
          <w:sz w:val="24"/>
          <w:szCs w:val="24"/>
          <w:lang w:eastAsia="ru-RU"/>
        </w:rPr>
        <w:t>12.04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0C5CBF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КУВИ-001/202</w:t>
      </w:r>
      <w:r w:rsidR="000C5CBF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0C5CBF">
        <w:rPr>
          <w:rFonts w:ascii="Times New Roman" w:eastAsia="MS Mincho" w:hAnsi="Times New Roman" w:cs="Times New Roman"/>
          <w:sz w:val="24"/>
          <w:szCs w:val="24"/>
          <w:lang w:eastAsia="ru-RU"/>
        </w:rPr>
        <w:t>86572840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0C5CBF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0C5CBF">
        <w:rPr>
          <w:rFonts w:ascii="Times New Roman" w:eastAsia="MS Mincho" w:hAnsi="Times New Roman" w:cs="Times New Roman"/>
          <w:sz w:val="24"/>
          <w:szCs w:val="24"/>
          <w:lang w:eastAsia="ru-RU"/>
        </w:rPr>
        <w:t>4.9.1</w:t>
      </w:r>
      <w:r w:rsidR="00CC71EE"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5CBF" w:rsidRDefault="00D151C7" w:rsidP="00C1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0C5CBF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0C5CBF"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0C5CBF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0C5CBF"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="000C5CBF"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="000C5CBF"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5CBF"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="000C5CBF"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2"/>
      <w:r w:rsidR="000C5CBF"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0C5C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0C5CBF"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(7.3);Обеспечение внутреннего правопорядка (8.3);</w:t>
      </w:r>
      <w:proofErr w:type="gramEnd"/>
      <w:r w:rsidR="000C5CBF">
        <w:rPr>
          <w:rFonts w:ascii="Times New Roman" w:hAnsi="Times New Roman" w:cs="Times New Roman"/>
          <w:sz w:val="24"/>
          <w:szCs w:val="24"/>
        </w:rPr>
        <w:t xml:space="preserve"> Воздушный транспорт (7.4); Спорт (5.1); Объекты придорожного сервиса (4.9.1); Земельные участки (территории) общего пользования (12.0).</w:t>
      </w:r>
    </w:p>
    <w:p w:rsidR="000E2793" w:rsidRDefault="000E2793" w:rsidP="00C1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AA" w:rsidRPr="004513AE" w:rsidRDefault="00D151C7" w:rsidP="00C17C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3" w:name="_Hlk132709571"/>
      <w:r w:rsidR="004B00A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0AA"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 w:rsidR="004B00AA"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0E2793" w:rsidRPr="004513AE" w:rsidRDefault="000E2793" w:rsidP="00C17C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D151C7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0E2793" w:rsidRPr="00245C6B" w:rsidRDefault="000E2793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C7" w:rsidRDefault="00D151C7" w:rsidP="00C17C3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0E2793" w:rsidRPr="00245C6B" w:rsidRDefault="000E2793" w:rsidP="00C17C3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4B00AA" w:rsidRPr="00912239" w:rsidRDefault="00D151C7" w:rsidP="00C17C3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 w:rsidR="004B00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4B0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0AA"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4 статьи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0AA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="004B00AA"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 w:rsidR="002E3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0AA"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="004B00AA"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4B00AA"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 w:rsidR="002E3829">
        <w:rPr>
          <w:rFonts w:ascii="Times New Roman" w:hAnsi="Times New Roman" w:cs="Times New Roman"/>
          <w:sz w:val="24"/>
          <w:szCs w:val="24"/>
        </w:rPr>
        <w:t xml:space="preserve"> </w:t>
      </w:r>
      <w:r w:rsidR="004B00AA"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B00AA"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="004B00AA"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="004B00AA"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00AA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4B00AA" w:rsidRDefault="00165411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B00AA">
        <w:rPr>
          <w:rFonts w:ascii="Times New Roman" w:hAnsi="Times New Roman" w:cs="Times New Roman"/>
          <w:sz w:val="24"/>
          <w:szCs w:val="24"/>
        </w:rPr>
        <w:t>объектов (сооружений) инженерно-технического обеспечения - не подлежит ограничению настоящими Правилами;</w:t>
      </w:r>
    </w:p>
    <w:p w:rsidR="004B00AA" w:rsidRPr="00912239" w:rsidRDefault="004B00AA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00AA" w:rsidRPr="00912239" w:rsidRDefault="004B00AA" w:rsidP="00C1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B00AA" w:rsidRPr="00A51FA1" w:rsidRDefault="00165411" w:rsidP="00C1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4" w:name="_Hlk103764574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 ПАО «</w:t>
      </w:r>
      <w:proofErr w:type="spellStart"/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Ростелеком</w:t>
      </w:r>
      <w:proofErr w:type="spellEnd"/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19.12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5549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/22 на предоставление </w:t>
      </w:r>
      <w:r w:rsidR="004B00AA"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 w:rsidR="004B00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  <w:r w:rsidR="004B00AA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4"/>
    <w:p w:rsidR="004B00AA" w:rsidRPr="00A51FA1" w:rsidRDefault="004B00AA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16541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ООО «Волжские коммунальные системы» от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15341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 и водоотведения;</w:t>
      </w:r>
    </w:p>
    <w:p w:rsidR="004B00AA" w:rsidRPr="00A51FA1" w:rsidRDefault="004B00AA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ПАО «Т Плюс» от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51100-23-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08008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к системе теплоснабжения;</w:t>
      </w:r>
    </w:p>
    <w:p w:rsidR="004B00AA" w:rsidRDefault="004B00AA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03-12/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23733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4B00AA" w:rsidRPr="00A51FA1" w:rsidRDefault="004B00AA" w:rsidP="00C1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ОРЭС-Тольятти</w:t>
      </w:r>
      <w:proofErr w:type="spellEnd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3533</w:t>
      </w:r>
      <w:r w:rsidR="00D9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E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95EED" w:rsidRPr="005C2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EED">
        <w:rPr>
          <w:rFonts w:ascii="Times New Roman" w:eastAsia="Times New Roman" w:hAnsi="Times New Roman"/>
          <w:sz w:val="24"/>
          <w:szCs w:val="24"/>
          <w:lang w:eastAsia="ru-RU"/>
        </w:rPr>
        <w:t>технических условиях на проектирование сетей электроснабжения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:rsidR="004B00AA" w:rsidRPr="00912239" w:rsidRDefault="004B00AA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АО «ПО КХ г.о. Тольятти» от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 w:rsidR="00165411">
        <w:rPr>
          <w:rFonts w:ascii="Times New Roman" w:eastAsia="Times New Roman" w:hAnsi="Times New Roman" w:cs="Times New Roman"/>
          <w:sz w:val="24"/>
          <w:szCs w:val="24"/>
          <w:lang w:eastAsia="ru-RU"/>
        </w:rPr>
        <w:t>2254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сетям ливневой (дождевой) канализации.</w:t>
      </w:r>
    </w:p>
    <w:p w:rsidR="004B00AA" w:rsidRPr="00245C6B" w:rsidRDefault="004B00AA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6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D151C7" w:rsidRPr="00245C6B" w:rsidRDefault="00D151C7" w:rsidP="00C17C3E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C7" w:rsidRPr="00245C6B" w:rsidRDefault="00D151C7" w:rsidP="00C17C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D151C7" w:rsidRPr="00245C6B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D151C7" w:rsidRPr="00245C6B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D151C7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0E2793" w:rsidRPr="00245C6B" w:rsidRDefault="000E2793" w:rsidP="00C17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1C7" w:rsidRPr="00245C6B" w:rsidRDefault="00D151C7" w:rsidP="00C17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D151C7" w:rsidRPr="00245C6B" w:rsidRDefault="00394FD6" w:rsidP="00C17C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</w:t>
      </w:r>
      <w:r w:rsidR="00D151C7" w:rsidRPr="00245C6B">
        <w:rPr>
          <w:rFonts w:ascii="Times New Roman" w:eastAsia="Calibri" w:hAnsi="Times New Roman" w:cs="Times New Roman"/>
          <w:sz w:val="24"/>
          <w:szCs w:val="24"/>
        </w:rPr>
        <w:t>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51C7"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="00D151C7" w:rsidRPr="00245C6B">
        <w:rPr>
          <w:rFonts w:ascii="Times New Roman" w:eastAsia="Calibri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</w:t>
      </w:r>
      <w:r w:rsidR="00D151C7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D151C7"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D151C7" w:rsidRPr="00245C6B" w:rsidRDefault="00D151C7" w:rsidP="00C17C3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151C7" w:rsidRPr="00245C6B" w:rsidRDefault="00D151C7" w:rsidP="00C17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D151C7" w:rsidRPr="00245C6B" w:rsidRDefault="00D151C7" w:rsidP="00C1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D151C7" w:rsidRPr="00245C6B" w:rsidRDefault="00D151C7" w:rsidP="00C1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C71EE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="00C1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7C3E">
        <w:rPr>
          <w:rFonts w:ascii="Times New Roman" w:eastAsia="MS Mincho" w:hAnsi="Times New Roman" w:cs="Times New Roman"/>
          <w:sz w:val="24"/>
          <w:szCs w:val="24"/>
          <w:lang w:eastAsia="ru-RU"/>
        </w:rPr>
        <w:t>216</w:t>
      </w:r>
      <w:r w:rsidR="00C17C3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C17C3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C17C3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="00C17C3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17C3E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шестнадцать тысяч двести)</w:t>
      </w:r>
      <w:r w:rsidR="00C17C3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CC71E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E2793" w:rsidRDefault="000E2793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C7" w:rsidRPr="00245C6B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D151C7" w:rsidRPr="00245C6B" w:rsidRDefault="00D151C7" w:rsidP="00C17C3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D151C7" w:rsidRPr="00245C6B" w:rsidRDefault="00D151C7" w:rsidP="00C17C3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D151C7" w:rsidRPr="00245C6B" w:rsidRDefault="00D151C7" w:rsidP="00C17C3E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D151C7" w:rsidRDefault="00D151C7" w:rsidP="00C17C3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09188B" w:rsidRPr="00245C6B" w:rsidRDefault="0009188B" w:rsidP="00C17C3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D151C7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 w:rsidR="00C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0E2793" w:rsidRPr="00245C6B" w:rsidRDefault="000E2793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D151C7" w:rsidRPr="00245C6B" w:rsidRDefault="00D151C7" w:rsidP="00C17C3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D151C7" w:rsidRPr="00245C6B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</w:t>
      </w:r>
      <w:r w:rsidRPr="00245C6B">
        <w:rPr>
          <w:rFonts w:ascii="Times New Roman" w:eastAsia="Calibri" w:hAnsi="Times New Roman" w:cs="Times New Roman"/>
          <w:sz w:val="24"/>
          <w:szCs w:val="24"/>
        </w:rPr>
        <w:lastRenderedPageBreak/>
        <w:t>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151C7" w:rsidRPr="00245C6B" w:rsidRDefault="00D151C7" w:rsidP="00C17C3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D151C7" w:rsidRPr="00245C6B" w:rsidRDefault="00D151C7" w:rsidP="00C17C3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D151C7" w:rsidRPr="00245C6B" w:rsidRDefault="00D151C7" w:rsidP="00C1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D151C7" w:rsidRPr="00245C6B" w:rsidRDefault="00D151C7" w:rsidP="00C17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C7" w:rsidRPr="00245C6B" w:rsidRDefault="00D151C7" w:rsidP="00C17C3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lastRenderedPageBreak/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D151C7" w:rsidRPr="00245C6B" w:rsidRDefault="00D151C7" w:rsidP="00C17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D151C7" w:rsidRPr="00245C6B" w:rsidRDefault="00D151C7" w:rsidP="00C17C3E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C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D151C7" w:rsidRPr="00245C6B" w:rsidRDefault="00D151C7" w:rsidP="00C17C3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D151C7" w:rsidRPr="00245C6B" w:rsidRDefault="00D151C7" w:rsidP="00C1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D151C7" w:rsidRPr="00245C6B" w:rsidRDefault="00D151C7" w:rsidP="00C17C3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C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  <w:proofErr w:type="gramEnd"/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C7" w:rsidRPr="00245C6B" w:rsidRDefault="00D151C7" w:rsidP="00C1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D151C7" w:rsidRPr="00245C6B" w:rsidRDefault="00D151C7" w:rsidP="00C17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D151C7" w:rsidRPr="00245C6B" w:rsidRDefault="00D151C7" w:rsidP="00C17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D151C7" w:rsidRPr="00245C6B" w:rsidRDefault="00D151C7" w:rsidP="00C17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D151C7" w:rsidRPr="00245C6B" w:rsidRDefault="00D151C7" w:rsidP="00C1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1C7" w:rsidRDefault="00D151C7" w:rsidP="00630A92">
      <w:pPr>
        <w:spacing w:line="240" w:lineRule="auto"/>
      </w:pPr>
    </w:p>
    <w:sectPr w:rsidR="00D151C7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C7"/>
    <w:rsid w:val="0009188B"/>
    <w:rsid w:val="000C5CBF"/>
    <w:rsid w:val="000E2793"/>
    <w:rsid w:val="00165411"/>
    <w:rsid w:val="002E3829"/>
    <w:rsid w:val="00354127"/>
    <w:rsid w:val="00394FD6"/>
    <w:rsid w:val="004B00AA"/>
    <w:rsid w:val="00601617"/>
    <w:rsid w:val="00630A92"/>
    <w:rsid w:val="008B65F1"/>
    <w:rsid w:val="008B7237"/>
    <w:rsid w:val="00953D99"/>
    <w:rsid w:val="00A036F0"/>
    <w:rsid w:val="00A96ED1"/>
    <w:rsid w:val="00AB47C2"/>
    <w:rsid w:val="00BF45AE"/>
    <w:rsid w:val="00C17C3E"/>
    <w:rsid w:val="00CC71EE"/>
    <w:rsid w:val="00CE11AA"/>
    <w:rsid w:val="00D151C7"/>
    <w:rsid w:val="00D95EED"/>
    <w:rsid w:val="00E67E4E"/>
    <w:rsid w:val="00F1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C7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3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2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3368</Words>
  <Characters>19202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13</cp:revision>
  <cp:lastPrinted>2023-05-16T07:14:00Z</cp:lastPrinted>
  <dcterms:created xsi:type="dcterms:W3CDTF">2023-05-16T06:13:00Z</dcterms:created>
  <dcterms:modified xsi:type="dcterms:W3CDTF">2023-05-16T07:16:00Z</dcterms:modified>
</cp:coreProperties>
</file>