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8D2" w:rsidRPr="002B7B5F" w:rsidRDefault="002C18D2" w:rsidP="004859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2C18D2" w:rsidRPr="002B7B5F" w:rsidRDefault="002C18D2" w:rsidP="004859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2C18D2" w:rsidRPr="002B7B5F" w:rsidRDefault="002C18D2" w:rsidP="004859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8D2" w:rsidRPr="002B7B5F" w:rsidRDefault="002C18D2" w:rsidP="0048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:rsidR="002C18D2" w:rsidRPr="002B7B5F" w:rsidRDefault="002C18D2" w:rsidP="0048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8D2" w:rsidRDefault="002C18D2" w:rsidP="0048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2C18D2" w:rsidRDefault="002C18D2" w:rsidP="0048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8D2" w:rsidRPr="002B7B5F" w:rsidRDefault="002C18D2" w:rsidP="004859EE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«Сбербанк-АСТ»,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2C18D2" w:rsidRPr="002B7B5F" w:rsidRDefault="002C18D2" w:rsidP="004859EE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119435, г.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(495) 787-29-97, (495) 787-29-99. </w:t>
      </w:r>
    </w:p>
    <w:p w:rsidR="002C18D2" w:rsidRPr="002B7B5F" w:rsidRDefault="002C18D2" w:rsidP="004859EE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8D2" w:rsidRPr="002B7B5F" w:rsidRDefault="002C18D2" w:rsidP="004859EE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ab/>
      </w:r>
      <w:r w:rsidRPr="002B7B5F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2C18D2" w:rsidRPr="002B7B5F" w:rsidRDefault="002C18D2" w:rsidP="004859EE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4859EE" w:rsidRDefault="004859EE" w:rsidP="0048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Pr="0048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городского округа Тольятти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859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4859E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8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1970</w:t>
      </w:r>
      <w:r w:rsidRPr="0048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-п/1 «Об условиях приватизации нежилого здания и земельного участка по адресу: Самарская область, г. Тольятти, Центральный район, ул. </w:t>
      </w:r>
      <w:proofErr w:type="spellStart"/>
      <w:r w:rsidRPr="004859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Новозаводская</w:t>
      </w:r>
      <w:proofErr w:type="spellEnd"/>
      <w:r w:rsidRPr="004859E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51, на аукционе в электронной форме»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59EE" w:rsidRPr="004859EE" w:rsidRDefault="004859EE" w:rsidP="0048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9EE" w:rsidRDefault="004859EE" w:rsidP="0048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приватизации: </w:t>
      </w:r>
      <w:r w:rsidRPr="004859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в электронной форме.</w:t>
      </w:r>
    </w:p>
    <w:p w:rsidR="004859EE" w:rsidRPr="004859EE" w:rsidRDefault="004859EE" w:rsidP="0048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9EE" w:rsidRPr="004859EE" w:rsidRDefault="004859EE" w:rsidP="004859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аукциона:</w:t>
      </w:r>
      <w:r w:rsidRPr="0048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Нежилое здание – прачечная, площадью 932,1 </w:t>
      </w:r>
      <w:proofErr w:type="spellStart"/>
      <w:proofErr w:type="gramStart"/>
      <w:r w:rsidRPr="004859E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proofErr w:type="gramEnd"/>
      <w:r w:rsidRPr="0048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этажность 2, Литера А1, кадастровый номер: 63:09:0302049:868 и земельный участок, категория земель: земли населенных пунктов, разрешённое использование: для дальнейшего размещения культурно-бытовых зданий, площадью 5 281 </w:t>
      </w:r>
      <w:proofErr w:type="spellStart"/>
      <w:r w:rsidRPr="004859E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8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кадастровым номером 63:09:0302049:1932, по адресу: Самарская область, г. Тольятти, Центральный район, ул. </w:t>
      </w:r>
      <w:proofErr w:type="spellStart"/>
      <w:r w:rsidRPr="004859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Новозаводская</w:t>
      </w:r>
      <w:proofErr w:type="spellEnd"/>
      <w:r w:rsidRPr="004859E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51.</w:t>
      </w:r>
    </w:p>
    <w:p w:rsidR="004859EE" w:rsidRDefault="004859EE" w:rsidP="004859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Ограничение права на земельный участок:</w:t>
      </w:r>
      <w:r w:rsidRPr="0048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обязательств по соблюдению установленных норм и правил в охранных зонах и коридорах инженерных коммуникаций в соответствии с положениями ст. 56 Земельного кодекса РФ.</w:t>
      </w:r>
    </w:p>
    <w:p w:rsidR="004859EE" w:rsidRPr="004859EE" w:rsidRDefault="004859EE" w:rsidP="004859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9EE" w:rsidRPr="004859EE" w:rsidRDefault="004859EE" w:rsidP="0048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предмета торгов: </w:t>
      </w:r>
      <w:r w:rsidRPr="004859EE">
        <w:rPr>
          <w:rFonts w:ascii="Times New Roman" w:eastAsia="Times New Roman" w:hAnsi="Times New Roman" w:cs="Times New Roman"/>
          <w:sz w:val="24"/>
          <w:szCs w:val="24"/>
          <w:lang w:eastAsia="ru-RU"/>
        </w:rPr>
        <w:t>6 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731</w:t>
      </w:r>
      <w:r w:rsidRPr="0048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901</w:t>
      </w:r>
      <w:r w:rsidRPr="0048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(Шесть миллионов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семьсот тридцать одна тысяча девятьсот один</w:t>
      </w:r>
      <w:r w:rsidRPr="004859E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8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НДС, в том числе: </w:t>
      </w:r>
    </w:p>
    <w:p w:rsidR="004859EE" w:rsidRPr="004859EE" w:rsidRDefault="004859EE" w:rsidP="0048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нежилое здание –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319 507</w:t>
      </w:r>
      <w:r w:rsidRPr="0048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(Три миллиона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 девятнадцать тысяч пятьсот семь</w:t>
      </w:r>
      <w:r w:rsidRPr="004859E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48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НДС;</w:t>
      </w:r>
    </w:p>
    <w:p w:rsidR="004859EE" w:rsidRPr="004859EE" w:rsidRDefault="004859EE" w:rsidP="0048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участок –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412 394</w:t>
      </w:r>
      <w:r w:rsidRPr="0048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(Три миллиона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четыреста двенадцать тысяч триста девяносто четыре) рубля</w:t>
      </w:r>
      <w:r w:rsidRPr="004859E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НДС не облагается.</w:t>
      </w:r>
    </w:p>
    <w:p w:rsidR="004859EE" w:rsidRPr="004859EE" w:rsidRDefault="004859EE" w:rsidP="00485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9EE" w:rsidRPr="004859EE" w:rsidRDefault="004859EE" w:rsidP="00485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аукциона:</w:t>
      </w:r>
      <w:r w:rsidRPr="0048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300 000 (Триста тысяч) рублей, в том числе:</w:t>
      </w:r>
    </w:p>
    <w:p w:rsidR="004859EE" w:rsidRPr="004859EE" w:rsidRDefault="004859EE" w:rsidP="00485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нежилое здание – </w:t>
      </w:r>
      <w:r w:rsidR="00ED7009">
        <w:rPr>
          <w:rFonts w:ascii="Times New Roman" w:eastAsia="Times New Roman" w:hAnsi="Times New Roman" w:cs="Times New Roman"/>
          <w:sz w:val="24"/>
          <w:szCs w:val="24"/>
          <w:lang w:eastAsia="ru-RU"/>
        </w:rPr>
        <w:t>147 93</w:t>
      </w:r>
      <w:r w:rsidR="00115CB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8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 </w:t>
      </w:r>
      <w:r w:rsidR="00ED7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 семь тысяч девятьсот тридцать</w:t>
      </w:r>
      <w:bookmarkStart w:id="0" w:name="_GoBack"/>
      <w:bookmarkEnd w:id="0"/>
      <w:r w:rsidRPr="004859E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ED700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4859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59EE" w:rsidRPr="004859EE" w:rsidRDefault="004859EE" w:rsidP="00485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земельный участок – </w:t>
      </w:r>
      <w:r w:rsidR="00ED7009">
        <w:rPr>
          <w:rFonts w:ascii="Times New Roman" w:eastAsia="Times New Roman" w:hAnsi="Times New Roman" w:cs="Times New Roman"/>
          <w:sz w:val="24"/>
          <w:szCs w:val="24"/>
          <w:lang w:eastAsia="ru-RU"/>
        </w:rPr>
        <w:t>152 070</w:t>
      </w:r>
      <w:r w:rsidRPr="0048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 </w:t>
      </w:r>
      <w:r w:rsidR="00ED7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 две тысячи семьдесят</w:t>
      </w:r>
      <w:r w:rsidRPr="004859E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рублей.</w:t>
      </w:r>
    </w:p>
    <w:p w:rsidR="004859EE" w:rsidRPr="004859EE" w:rsidRDefault="004859EE" w:rsidP="0048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9EE" w:rsidRPr="004859EE" w:rsidRDefault="004859EE" w:rsidP="0048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 о цене:</w:t>
      </w:r>
      <w:r w:rsidRPr="0048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открытая.</w:t>
      </w:r>
    </w:p>
    <w:p w:rsidR="004859EE" w:rsidRPr="004859EE" w:rsidRDefault="004859EE" w:rsidP="004859E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4859EE" w:rsidRDefault="004859EE" w:rsidP="004859E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859EE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 –</w:t>
      </w:r>
      <w:r w:rsidRPr="004859E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ED700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27</w:t>
      </w:r>
      <w:r w:rsidRPr="004859E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ED700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06</w:t>
      </w:r>
      <w:r w:rsidRPr="004859E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ED700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4859E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8:00 (время местное).</w:t>
      </w:r>
    </w:p>
    <w:p w:rsidR="004859EE" w:rsidRPr="004859EE" w:rsidRDefault="004859EE" w:rsidP="004859E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4859EE" w:rsidRPr="004859EE" w:rsidRDefault="004859EE" w:rsidP="004859E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859EE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– </w:t>
      </w:r>
      <w:r w:rsidR="00ED700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24</w:t>
      </w:r>
      <w:r w:rsidRPr="004859E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</w:t>
      </w:r>
      <w:r w:rsidR="00ED700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7</w:t>
      </w:r>
      <w:r w:rsidRPr="004859E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.2023 в 17:00 (время местное).</w:t>
      </w:r>
    </w:p>
    <w:p w:rsidR="004859EE" w:rsidRDefault="004859EE" w:rsidP="004859EE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859EE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lastRenderedPageBreak/>
        <w:t>Дата определения участников аукциона</w:t>
      </w:r>
      <w:r w:rsidRPr="004859E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– </w:t>
      </w:r>
      <w:r w:rsidR="00ED700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</w:t>
      </w:r>
      <w:r w:rsidRPr="004859E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8.0</w:t>
      </w:r>
      <w:r w:rsidR="00ED700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7</w:t>
      </w:r>
      <w:r w:rsidRPr="004859E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.2023.</w:t>
      </w:r>
    </w:p>
    <w:p w:rsidR="004859EE" w:rsidRPr="004859EE" w:rsidRDefault="004859EE" w:rsidP="004859EE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4859EE" w:rsidRPr="004859EE" w:rsidRDefault="004859EE" w:rsidP="004859E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859EE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Проведение аукциона (дата и время начала приема предложений от участников аукциона) – </w:t>
      </w:r>
      <w:r w:rsidR="00ED700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31</w:t>
      </w:r>
      <w:r w:rsidRPr="004859E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</w:t>
      </w:r>
      <w:r w:rsidR="00ED700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7</w:t>
      </w:r>
      <w:r w:rsidRPr="004859E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.2023 в 9:00 (время местное).</w:t>
      </w:r>
    </w:p>
    <w:p w:rsidR="004859EE" w:rsidRPr="004859EE" w:rsidRDefault="004859EE" w:rsidP="004859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9EE" w:rsidRDefault="004859EE" w:rsidP="004859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аукциона:</w:t>
      </w:r>
      <w:r w:rsidRPr="0048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4859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48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4859EE" w:rsidRPr="004859EE" w:rsidRDefault="004859EE" w:rsidP="004859E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4859EE" w:rsidRDefault="004859EE" w:rsidP="004859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9EE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Срок подведения итогов аукциона</w:t>
      </w:r>
      <w:r w:rsidRPr="004859E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Pr="004859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4859EE" w:rsidRPr="004859EE" w:rsidRDefault="004859EE" w:rsidP="004859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9EE" w:rsidRPr="004859EE" w:rsidRDefault="004859EE" w:rsidP="004859EE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4859EE" w:rsidRPr="004859EE" w:rsidRDefault="004859EE" w:rsidP="004859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9E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4859EE" w:rsidRPr="004859EE" w:rsidRDefault="004859EE" w:rsidP="004859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9EE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4859EE" w:rsidRPr="004859EE" w:rsidRDefault="004859EE" w:rsidP="0048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4859E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площадке</w:t>
      </w:r>
      <w:proofErr w:type="gramEnd"/>
      <w:r w:rsidRPr="0048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ими прекращена.</w:t>
      </w:r>
    </w:p>
    <w:p w:rsidR="004859EE" w:rsidRPr="004859EE" w:rsidRDefault="004859EE" w:rsidP="004859E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9E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4859EE" w:rsidRPr="004859EE" w:rsidRDefault="004859EE" w:rsidP="00485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Задаток для участия в аукционе </w:t>
      </w:r>
      <w:r w:rsidRPr="004859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Pr="00485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59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</w:t>
      </w:r>
      <w:r w:rsidRPr="00485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70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8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от начальной цены, что составляет </w:t>
      </w:r>
      <w:r w:rsidR="00ED7009">
        <w:rPr>
          <w:rFonts w:ascii="Times New Roman" w:eastAsia="Times New Roman" w:hAnsi="Times New Roman" w:cs="Times New Roman"/>
          <w:sz w:val="24"/>
          <w:szCs w:val="24"/>
          <w:lang w:eastAsia="ru-RU"/>
        </w:rPr>
        <w:t>673 190</w:t>
      </w:r>
      <w:r w:rsidRPr="0048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="00ED70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859EE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коп. (</w:t>
      </w:r>
      <w:r w:rsidR="00ED700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Шестьсот семьдесят три тысячи сто девяносто</w:t>
      </w:r>
      <w:r w:rsidRPr="0048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="00ED70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859EE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копеек), в том числе:</w:t>
      </w:r>
    </w:p>
    <w:p w:rsidR="004859EE" w:rsidRPr="004859EE" w:rsidRDefault="004859EE" w:rsidP="00485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4859E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- нежилое здание – </w:t>
      </w:r>
      <w:r w:rsidR="00ED7009">
        <w:rPr>
          <w:rFonts w:ascii="Times New Roman" w:eastAsia="Times New Roman" w:hAnsi="Times New Roman" w:cs="Times New Roman"/>
          <w:sz w:val="24"/>
          <w:szCs w:val="24"/>
          <w:lang w:eastAsia="ru-RU"/>
        </w:rPr>
        <w:t>331 950</w:t>
      </w:r>
      <w:r w:rsidRPr="004859E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руб. </w:t>
      </w:r>
      <w:r w:rsidR="00ED700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859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859E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коп. (</w:t>
      </w:r>
      <w:r w:rsidR="00ED700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 тридцать одна тысяча девятьсот пятьдесят</w:t>
      </w:r>
      <w:r w:rsidRPr="0048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Pr="004859E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="00ED700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859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859E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копе</w:t>
      </w:r>
      <w:r w:rsidRPr="004859EE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4859E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);</w:t>
      </w:r>
    </w:p>
    <w:p w:rsidR="004859EE" w:rsidRPr="00ED7009" w:rsidRDefault="004859EE" w:rsidP="00485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9E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- земельный участок – </w:t>
      </w:r>
      <w:r w:rsidR="00ED70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D7009">
        <w:rPr>
          <w:rFonts w:ascii="Times New Roman" w:eastAsia="Times New Roman" w:hAnsi="Times New Roman" w:cs="Times New Roman"/>
          <w:sz w:val="24"/>
          <w:szCs w:val="24"/>
          <w:lang w:eastAsia="ru-RU"/>
        </w:rPr>
        <w:t>41 239 руб. 40 коп.</w:t>
      </w:r>
      <w:r w:rsidRPr="004859E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</w:t>
      </w:r>
      <w:r w:rsidR="00ED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Триста сорок одна тысяча двести тридцать девять </w:t>
      </w:r>
      <w:r w:rsidRPr="004859E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рублей</w:t>
      </w:r>
      <w:r w:rsidR="00ED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копеек).</w:t>
      </w:r>
    </w:p>
    <w:p w:rsidR="004859EE" w:rsidRDefault="004859EE" w:rsidP="00485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48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859E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Задаток для участия в аукционе служит обеспечением исполнения обязательства победителя аукциона, 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4859EE" w:rsidRPr="004859EE" w:rsidRDefault="004859EE" w:rsidP="00485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2C18D2" w:rsidRPr="002B7B5F" w:rsidRDefault="002C18D2" w:rsidP="0048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внесения задатка: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2B7B5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2C18D2" w:rsidRPr="002B7B5F" w:rsidRDefault="002C18D2" w:rsidP="004859EE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2C18D2" w:rsidRPr="002B7B5F" w:rsidRDefault="002C18D2" w:rsidP="0048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2C18D2" w:rsidRPr="002B7B5F" w:rsidRDefault="002C18D2" w:rsidP="0048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течение 5 календарных дней со дня подведения итогов продажи имущества;</w:t>
      </w:r>
    </w:p>
    <w:p w:rsidR="002C18D2" w:rsidRPr="002B7B5F" w:rsidRDefault="002C18D2" w:rsidP="0048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2C18D2" w:rsidRPr="002B7B5F" w:rsidRDefault="002C18D2" w:rsidP="0048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2C18D2" w:rsidRPr="002B7B5F" w:rsidRDefault="002C18D2" w:rsidP="0048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</w:t>
      </w: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2C18D2" w:rsidRPr="002B7B5F" w:rsidRDefault="002C18D2" w:rsidP="0048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2C18D2" w:rsidRPr="002B7B5F" w:rsidRDefault="002C18D2" w:rsidP="0048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2C18D2" w:rsidRPr="002B7B5F" w:rsidRDefault="002C18D2" w:rsidP="00485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</w:t>
      </w: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засчитывается победителю торгов,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:rsidR="002C18D2" w:rsidRPr="002B7B5F" w:rsidRDefault="002C18D2" w:rsidP="00485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C18D2" w:rsidRPr="002B7B5F" w:rsidRDefault="002C18D2" w:rsidP="00485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8D2" w:rsidRPr="002B7B5F" w:rsidRDefault="002C18D2" w:rsidP="00485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Покупателями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4" w:history="1">
        <w:r w:rsidRPr="002B7B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2C18D2" w:rsidRPr="002B7B5F" w:rsidRDefault="002C18D2" w:rsidP="004859EE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18D2" w:rsidRPr="002B7B5F" w:rsidRDefault="002C18D2" w:rsidP="004859EE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2C18D2" w:rsidRPr="002B7B5F" w:rsidRDefault="002C18D2" w:rsidP="004859EE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2C18D2" w:rsidRPr="002B7B5F" w:rsidRDefault="002C18D2" w:rsidP="004859EE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2C18D2" w:rsidRPr="002B7B5F" w:rsidRDefault="002C18D2" w:rsidP="004859EE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2C18D2" w:rsidRPr="002B7B5F" w:rsidRDefault="002C18D2" w:rsidP="004859EE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C18D2" w:rsidRPr="002B7B5F" w:rsidRDefault="002C18D2" w:rsidP="004859EE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C18D2" w:rsidRPr="002B7B5F" w:rsidRDefault="002C18D2" w:rsidP="004859EE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2C18D2" w:rsidRPr="002B7B5F" w:rsidRDefault="002C18D2" w:rsidP="004859EE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2C18D2" w:rsidRPr="002B7B5F" w:rsidRDefault="002C18D2" w:rsidP="004859EE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2C18D2" w:rsidRPr="002B7B5F" w:rsidRDefault="002C18D2" w:rsidP="004859EE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C18D2" w:rsidRPr="002B7B5F" w:rsidRDefault="002C18D2" w:rsidP="0048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8D2" w:rsidRPr="002B7B5F" w:rsidRDefault="002C18D2" w:rsidP="0048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2C18D2" w:rsidRPr="002B7B5F" w:rsidRDefault="002C18D2" w:rsidP="0048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2C18D2" w:rsidRPr="002B7B5F" w:rsidRDefault="002C18D2" w:rsidP="0048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2C18D2" w:rsidRPr="002B7B5F" w:rsidRDefault="002C18D2" w:rsidP="004859EE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://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utp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sberbank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ast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AP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C18D2" w:rsidRPr="002B7B5F" w:rsidRDefault="002C18D2" w:rsidP="0048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8D2" w:rsidRPr="002B7B5F" w:rsidRDefault="002C18D2" w:rsidP="0048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:rsidR="002C18D2" w:rsidRPr="002B7B5F" w:rsidRDefault="002C18D2" w:rsidP="0048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C18D2" w:rsidRPr="002B7B5F" w:rsidRDefault="002C18D2" w:rsidP="0048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2C18D2" w:rsidRPr="002B7B5F" w:rsidRDefault="002C18D2" w:rsidP="0048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C18D2" w:rsidRPr="002B7B5F" w:rsidRDefault="002C18D2" w:rsidP="004859EE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2C18D2" w:rsidRPr="002B7B5F" w:rsidRDefault="002C18D2" w:rsidP="004859EE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2C18D2" w:rsidRPr="002B7B5F" w:rsidRDefault="002C18D2" w:rsidP="004859EE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2C18D2" w:rsidRPr="002B7B5F" w:rsidRDefault="002C18D2" w:rsidP="004859EE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C18D2" w:rsidRPr="002B7B5F" w:rsidRDefault="002C18D2" w:rsidP="004859EE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C18D2" w:rsidRPr="002B7B5F" w:rsidRDefault="002C18D2" w:rsidP="004859EE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C18D2" w:rsidRPr="002B7B5F" w:rsidRDefault="002C18D2" w:rsidP="0048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2C18D2" w:rsidRPr="002B7B5F" w:rsidRDefault="002C18D2" w:rsidP="0048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2C18D2" w:rsidRPr="002B7B5F" w:rsidRDefault="002C18D2" w:rsidP="0048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C18D2" w:rsidRPr="002B7B5F" w:rsidRDefault="002C18D2" w:rsidP="0048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2C18D2" w:rsidRPr="002B7B5F" w:rsidRDefault="002C18D2" w:rsidP="0048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C18D2" w:rsidRDefault="002C18D2" w:rsidP="004859EE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2C18D2" w:rsidRPr="002B7B5F" w:rsidRDefault="002C18D2" w:rsidP="004859EE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8D2" w:rsidRPr="002B7B5F" w:rsidRDefault="002C18D2" w:rsidP="004859EE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2C18D2" w:rsidRPr="002B7B5F" w:rsidRDefault="002C18D2" w:rsidP="004859EE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2C18D2" w:rsidRPr="002B7B5F" w:rsidRDefault="002C18D2" w:rsidP="004859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B7B5F">
        <w:rPr>
          <w:rFonts w:ascii="Times New Roman" w:eastAsia="Calibri" w:hAnsi="Times New Roman" w:cs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:rsidR="002C18D2" w:rsidRPr="002B7B5F" w:rsidRDefault="002C18D2" w:rsidP="004859EE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2C18D2" w:rsidRPr="002B7B5F" w:rsidRDefault="002C18D2" w:rsidP="0048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8D2" w:rsidRPr="002B7B5F" w:rsidRDefault="002C18D2" w:rsidP="0048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445020, г.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Тольятти,   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ул. Белорусская,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2C18D2" w:rsidRPr="002B7B5F" w:rsidRDefault="002C18D2" w:rsidP="00485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2C18D2" w:rsidRPr="002B7B5F" w:rsidRDefault="002C18D2" w:rsidP="00485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2C18D2" w:rsidRPr="002B7B5F" w:rsidRDefault="002C18D2" w:rsidP="00485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C18D2" w:rsidRPr="002B7B5F" w:rsidRDefault="002C18D2" w:rsidP="004859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8D2" w:rsidRPr="002B7B5F" w:rsidRDefault="002C18D2" w:rsidP="004859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с победителем аукциона,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</w:p>
    <w:p w:rsidR="002C18D2" w:rsidRPr="002B7B5F" w:rsidRDefault="002C18D2" w:rsidP="0048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платежа по договору: единовременно, не позднее десяти рабочих дней со дня заключения договора купли-продажи.</w:t>
      </w:r>
    </w:p>
    <w:p w:rsidR="002C18D2" w:rsidRDefault="002C18D2" w:rsidP="00B00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приобретаемого на аукционе муниципального имущества покупатель производит на счет банка получателя: ОТДЕЛЕНИЕ САМАРА БАНКА РОССИИ//УФК по Самарской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  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г. Самара, БИК 013601205, счёт 40102810545370000036, получатель УФК по Самарской области (департамент по управлению муниципальным имуществом администрации городского округа Тольятти), ИНН 6320001741, КПП 632431001, счет 03100643000000014200, ОКТМО 36740000, КБК 90311402043040000410</w:t>
      </w:r>
      <w:r w:rsidRPr="002B7B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07C0" w:rsidRPr="00B007C0" w:rsidRDefault="00B007C0" w:rsidP="00B00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цене за нежилое здание, сложившейся на аукционе, дополнительно применяется сумма налога на добавленную стоимость.</w:t>
      </w:r>
    </w:p>
    <w:p w:rsidR="00B007C0" w:rsidRDefault="00B007C0" w:rsidP="00B00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приобретаемого на аукционе земельного участка покупатель производит на счет банка получателя: ОТДЕЛЕНИЕ САМАРА БАНКА РОССИИ//УФК по Самарской </w:t>
      </w:r>
      <w:proofErr w:type="gramStart"/>
      <w:r w:rsidRPr="00B00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  </w:t>
      </w:r>
      <w:proofErr w:type="gramEnd"/>
      <w:r w:rsidRPr="00B00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г. Самара БИК 013601205, счет № 40102810545370000036, получатель: УФК по Самарской области (департамент по управлению муниципальным имуществом администрации городского округа Тольятти), ИНН 6320001741, КПП 632431001, счет № 03100643000000014200, ОКТМО 36740000 КБК 90311406024040000430. </w:t>
      </w:r>
    </w:p>
    <w:p w:rsidR="00B007C0" w:rsidRPr="00B007C0" w:rsidRDefault="00B007C0" w:rsidP="00B00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8D2" w:rsidRPr="002B7B5F" w:rsidRDefault="002C18D2" w:rsidP="004859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обо всех предыдущих торгах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</w:p>
    <w:p w:rsidR="00B007C0" w:rsidRDefault="00B007C0" w:rsidP="00B00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C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нежилое здание и земельный участок выставлялись на аукционы 22.03.2022, 19.05.2022, 04.07.2022, 11.11.2022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19.01.2023.</w:t>
      </w:r>
      <w:r w:rsidRPr="00B00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протоколами о признании претендентов участниками аукционов от 21.03.2022, 18.05.2022, 01.07.2022, 10.11.2022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18.01.2023</w:t>
      </w:r>
      <w:r w:rsidRPr="00B00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аукционы признаны несостоявшимися в связи с отсутствием заявок на участие в аукционах.</w:t>
      </w:r>
    </w:p>
    <w:p w:rsidR="00B007C0" w:rsidRPr="00B007C0" w:rsidRDefault="00B007C0" w:rsidP="00B00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F2" w:rsidRDefault="002C18D2" w:rsidP="004859EE">
      <w:pPr>
        <w:spacing w:after="0" w:line="240" w:lineRule="auto"/>
        <w:ind w:firstLine="709"/>
        <w:jc w:val="both"/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 проведении аукциона, проект договора купли-продажи имущества размещены в сети Интернет на официальном сайте Российской Федерации </w:t>
      </w:r>
      <w:hyperlink r:id="rId5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официальном портале администрации городского округа Тольятти </w:t>
      </w:r>
      <w:hyperlink r:id="rId6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«Сбербанк-АСТ»  </w:t>
      </w:r>
      <w:hyperlink r:id="rId7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sectPr w:rsidR="00FB06F2" w:rsidSect="00E3488A">
      <w:pgSz w:w="11906" w:h="16838"/>
      <w:pgMar w:top="720" w:right="707" w:bottom="851" w:left="99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D2"/>
    <w:rsid w:val="00115CB5"/>
    <w:rsid w:val="002C18D2"/>
    <w:rsid w:val="004859EE"/>
    <w:rsid w:val="00B007C0"/>
    <w:rsid w:val="00ED7009"/>
    <w:rsid w:val="00FB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0DA23"/>
  <w15:chartTrackingRefBased/>
  <w15:docId w15:val="{068694FC-41D7-4EE7-BF7C-7A138FE9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gl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consultantplus://offline/ref=6DEBC0B9BB72C6C4C5987D8D201AD66F4B13782ABE38A2466AE4A7D1944294E1B35D94UFDE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2671</Words>
  <Characters>15225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Срок подведения итогов аукциона - не позднее рабочего дня, следующего за днем по</vt:lpstr>
      <vt:lpstr>    </vt:lpstr>
      <vt:lpstr>Платежи по перечислению задатка для участия в торгах и порядок возврата задатка</vt:lpstr>
    </vt:vector>
  </TitlesOfParts>
  <Company/>
  <LinksUpToDate>false</LinksUpToDate>
  <CharactersWithSpaces>17861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4</cp:revision>
  <dcterms:created xsi:type="dcterms:W3CDTF">2023-06-23T05:42:00Z</dcterms:created>
  <dcterms:modified xsi:type="dcterms:W3CDTF">2023-06-23T06:15:00Z</dcterms:modified>
</cp:coreProperties>
</file>