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740F" w14:textId="77777777" w:rsidR="00AE0F3E" w:rsidRDefault="00AE0F3E" w:rsidP="00AE0F3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9A73019" w14:textId="77777777" w:rsidR="00AE0F3E" w:rsidRPr="00AC301D" w:rsidRDefault="00AE0F3E" w:rsidP="00AE0F3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DED2851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1E308139" w14:textId="77777777" w:rsidR="00AE0F3E" w:rsidRPr="00AC301D" w:rsidRDefault="00AE0F3E" w:rsidP="00AE0F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DA1A5C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B320D2B" w14:textId="54E7952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от       202</w:t>
      </w:r>
      <w:r w:rsidR="009253BE">
        <w:rPr>
          <w:rFonts w:ascii="Times New Roman" w:hAnsi="Times New Roman" w:cs="Times New Roman"/>
          <w:b w:val="0"/>
          <w:sz w:val="28"/>
          <w:szCs w:val="28"/>
        </w:rPr>
        <w:t>6</w:t>
      </w:r>
      <w:r w:rsidRPr="00AC301D">
        <w:rPr>
          <w:rFonts w:ascii="Times New Roman" w:hAnsi="Times New Roman" w:cs="Times New Roman"/>
          <w:b w:val="0"/>
          <w:sz w:val="28"/>
          <w:szCs w:val="28"/>
        </w:rPr>
        <w:t xml:space="preserve"> г. №   -    п/1</w:t>
      </w:r>
    </w:p>
    <w:p w14:paraId="1022094A" w14:textId="77777777" w:rsidR="00893FB2" w:rsidRDefault="0099030C" w:rsidP="00893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4CB2804" w14:textId="77777777" w:rsidR="00AE0F3E" w:rsidRPr="00AE0F3E" w:rsidRDefault="00AE0F3E" w:rsidP="00893F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0F3E">
        <w:rPr>
          <w:rFonts w:ascii="Times New Roman" w:hAnsi="Times New Roman" w:cs="Times New Roman"/>
          <w:sz w:val="28"/>
          <w:szCs w:val="24"/>
        </w:rPr>
        <w:t>городского округа Тольятти от 06.03.2025 № 425-п/1«Об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C0211C">
        <w:rPr>
          <w:rFonts w:ascii="Times New Roman" w:hAnsi="Times New Roman" w:cs="Times New Roman"/>
          <w:sz w:val="28"/>
          <w:szCs w:val="24"/>
        </w:rPr>
        <w:t>,</w:t>
      </w:r>
      <w:r w:rsidRPr="00AE0F3E"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185C8F">
        <w:rPr>
          <w:rFonts w:ascii="Times New Roman" w:hAnsi="Times New Roman" w:cs="Times New Roman"/>
          <w:sz w:val="28"/>
          <w:szCs w:val="24"/>
        </w:rPr>
        <w:t>я</w:t>
      </w:r>
      <w:r w:rsidRPr="00AE0F3E">
        <w:rPr>
          <w:rFonts w:ascii="Times New Roman" w:hAnsi="Times New Roman" w:cs="Times New Roman"/>
          <w:sz w:val="28"/>
          <w:szCs w:val="24"/>
        </w:rPr>
        <w:t xml:space="preserve"> отбора получателей указанных субсидий»</w:t>
      </w:r>
    </w:p>
    <w:p w14:paraId="00CAC38D" w14:textId="77777777" w:rsidR="00AE0F3E" w:rsidRDefault="00AE0F3E"/>
    <w:p w14:paraId="7DBC9E22" w14:textId="4CA42282" w:rsidR="00AE0F3E" w:rsidRDefault="00AE0F3E" w:rsidP="00A472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7297">
        <w:rPr>
          <w:rFonts w:ascii="Times New Roman" w:hAnsi="Times New Roman"/>
          <w:sz w:val="28"/>
          <w:szCs w:val="28"/>
        </w:rPr>
        <w:t>В целях совершенствования муниципальн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правов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акт</w:t>
      </w:r>
      <w:r w:rsidR="00452EA2">
        <w:rPr>
          <w:rFonts w:ascii="Times New Roman" w:hAnsi="Times New Roman"/>
          <w:sz w:val="28"/>
          <w:szCs w:val="28"/>
        </w:rPr>
        <w:t>а</w:t>
      </w:r>
      <w:r w:rsidRPr="00A47297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A47297" w:rsidRPr="00A4729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="00A47297" w:rsidRPr="00A47297">
          <w:rPr>
            <w:rFonts w:ascii="Times New Roman" w:hAnsi="Times New Roman"/>
            <w:sz w:val="28"/>
            <w:szCs w:val="28"/>
          </w:rPr>
          <w:t>пунктом 2 статьи 78.1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="00A47297" w:rsidRPr="00A4729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25.10.2023 </w:t>
      </w:r>
      <w:r w:rsidR="000C5DEE">
        <w:rPr>
          <w:rFonts w:ascii="Times New Roman" w:hAnsi="Times New Roman"/>
          <w:sz w:val="28"/>
          <w:szCs w:val="28"/>
        </w:rPr>
        <w:t>№</w:t>
      </w:r>
      <w:r w:rsidR="00A47297" w:rsidRPr="00A47297">
        <w:rPr>
          <w:rFonts w:ascii="Times New Roman" w:hAnsi="Times New Roman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субсидий», </w:t>
      </w:r>
      <w:r w:rsidRPr="00A47297">
        <w:rPr>
          <w:rFonts w:ascii="Times New Roman" w:hAnsi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773ADEA1" w14:textId="250F3ABA" w:rsidR="003C764F" w:rsidRPr="00184D13" w:rsidRDefault="003C764F" w:rsidP="004D48B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13">
        <w:rPr>
          <w:rFonts w:ascii="Times New Roman" w:hAnsi="Times New Roman"/>
          <w:sz w:val="28"/>
          <w:szCs w:val="28"/>
        </w:rPr>
        <w:t>Внести в постановление администрации  городского округа Тольятти от 06.03.2025 № 425-п/1«Об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получате</w:t>
      </w:r>
      <w:r w:rsidR="00A72F71">
        <w:rPr>
          <w:rFonts w:ascii="Times New Roman" w:hAnsi="Times New Roman"/>
          <w:sz w:val="28"/>
          <w:szCs w:val="28"/>
        </w:rPr>
        <w:t>лей указанных субсидий» (далее-</w:t>
      </w:r>
      <w:r w:rsidRPr="00184D13">
        <w:rPr>
          <w:rFonts w:ascii="Times New Roman" w:hAnsi="Times New Roman"/>
          <w:sz w:val="28"/>
          <w:szCs w:val="28"/>
        </w:rPr>
        <w:t>Постановление</w:t>
      </w:r>
      <w:r w:rsidR="00A72F71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Pr="00184D13">
        <w:rPr>
          <w:rFonts w:ascii="Times New Roman" w:hAnsi="Times New Roman"/>
          <w:sz w:val="28"/>
          <w:szCs w:val="28"/>
        </w:rPr>
        <w:t xml:space="preserve"> (газета "Городские ведомости", 2025, 7 марта, 6 мая) изменени</w:t>
      </w:r>
      <w:r w:rsidR="00F707FC">
        <w:rPr>
          <w:rFonts w:ascii="Times New Roman" w:hAnsi="Times New Roman"/>
          <w:sz w:val="28"/>
          <w:szCs w:val="28"/>
        </w:rPr>
        <w:t>е</w:t>
      </w:r>
      <w:r w:rsidR="00184D13" w:rsidRPr="00184D13">
        <w:rPr>
          <w:rFonts w:ascii="Times New Roman" w:hAnsi="Times New Roman"/>
          <w:sz w:val="28"/>
          <w:szCs w:val="28"/>
        </w:rPr>
        <w:t>,</w:t>
      </w:r>
      <w:r w:rsidR="00184D13">
        <w:rPr>
          <w:rFonts w:ascii="Times New Roman" w:hAnsi="Times New Roman"/>
          <w:sz w:val="28"/>
          <w:szCs w:val="28"/>
        </w:rPr>
        <w:t xml:space="preserve"> заменив в</w:t>
      </w:r>
      <w:r w:rsidRPr="00184D13">
        <w:rPr>
          <w:rFonts w:ascii="Times New Roman" w:hAnsi="Times New Roman"/>
          <w:sz w:val="28"/>
          <w:szCs w:val="28"/>
        </w:rPr>
        <w:t xml:space="preserve"> </w:t>
      </w:r>
      <w:r w:rsidR="007534F2" w:rsidRPr="00184D13">
        <w:rPr>
          <w:rFonts w:ascii="Times New Roman" w:hAnsi="Times New Roman"/>
          <w:sz w:val="28"/>
          <w:szCs w:val="28"/>
        </w:rPr>
        <w:t xml:space="preserve">преамбуле </w:t>
      </w:r>
      <w:r w:rsidR="00F707FC">
        <w:rPr>
          <w:rFonts w:ascii="Times New Roman" w:hAnsi="Times New Roman"/>
          <w:sz w:val="28"/>
          <w:szCs w:val="28"/>
        </w:rPr>
        <w:t xml:space="preserve">Постановления </w:t>
      </w:r>
      <w:r w:rsidRPr="00184D13">
        <w:rPr>
          <w:rFonts w:ascii="Times New Roman" w:hAnsi="Times New Roman"/>
          <w:sz w:val="28"/>
          <w:szCs w:val="28"/>
        </w:rPr>
        <w:t>слова «</w:t>
      </w:r>
      <w:r w:rsidR="007534F2" w:rsidRPr="00184D13">
        <w:rPr>
          <w:rFonts w:ascii="Times New Roman" w:hAnsi="Times New Roman" w:cs="Times New Roman"/>
          <w:sz w:val="28"/>
          <w:szCs w:val="28"/>
        </w:rPr>
        <w:t xml:space="preserve">а также физическим лицам - производителям товаров, работ, услуг» </w:t>
      </w:r>
      <w:r w:rsidRPr="00184D13">
        <w:rPr>
          <w:rFonts w:ascii="Times New Roman" w:hAnsi="Times New Roman"/>
          <w:sz w:val="28"/>
          <w:szCs w:val="28"/>
        </w:rPr>
        <w:t>словами «</w:t>
      </w:r>
      <w:r w:rsidR="007534F2" w:rsidRPr="00184D13">
        <w:rPr>
          <w:rFonts w:ascii="Times New Roman" w:hAnsi="Times New Roman"/>
          <w:sz w:val="28"/>
          <w:szCs w:val="28"/>
        </w:rPr>
        <w:t>физическим лицам»</w:t>
      </w:r>
      <w:r w:rsidRPr="00184D13">
        <w:rPr>
          <w:rFonts w:ascii="Times New Roman" w:hAnsi="Times New Roman"/>
          <w:sz w:val="28"/>
          <w:szCs w:val="28"/>
        </w:rPr>
        <w:t>.</w:t>
      </w:r>
    </w:p>
    <w:p w14:paraId="480B7B1C" w14:textId="141AEC5A" w:rsidR="00AE0F3E" w:rsidRPr="004E44C1" w:rsidRDefault="00AE0F3E" w:rsidP="004E44C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C1">
        <w:rPr>
          <w:rFonts w:ascii="Times New Roman" w:hAnsi="Times New Roman"/>
          <w:sz w:val="28"/>
          <w:szCs w:val="28"/>
        </w:rPr>
        <w:t xml:space="preserve">Внести в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</w:t>
      </w:r>
      <w:r w:rsidRPr="004E44C1">
        <w:rPr>
          <w:rFonts w:ascii="Times New Roman" w:hAnsi="Times New Roman"/>
          <w:sz w:val="28"/>
          <w:szCs w:val="28"/>
        </w:rPr>
        <w:lastRenderedPageBreak/>
        <w:t>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</w:t>
      </w:r>
      <w:r w:rsidR="007534F2" w:rsidRPr="004E44C1">
        <w:rPr>
          <w:rFonts w:ascii="Times New Roman" w:hAnsi="Times New Roman"/>
          <w:sz w:val="28"/>
          <w:szCs w:val="28"/>
        </w:rPr>
        <w:t xml:space="preserve">азанных субсидий, </w:t>
      </w:r>
      <w:r w:rsidR="007534F2" w:rsidRPr="004E44C1">
        <w:rPr>
          <w:rFonts w:ascii="Times New Roman" w:hAnsi="Times New Roman" w:cs="Times New Roman"/>
          <w:sz w:val="28"/>
          <w:szCs w:val="28"/>
        </w:rPr>
        <w:t>утвержденный П</w:t>
      </w:r>
      <w:r w:rsidRPr="004E44C1">
        <w:rPr>
          <w:rFonts w:ascii="Times New Roman" w:hAnsi="Times New Roman" w:cs="Times New Roman"/>
          <w:sz w:val="28"/>
          <w:szCs w:val="28"/>
        </w:rPr>
        <w:t>остановлением (далее – Порядок) следующие</w:t>
      </w:r>
      <w:r w:rsidR="00A72F71">
        <w:rPr>
          <w:rFonts w:ascii="Times New Roman" w:hAnsi="Times New Roman" w:cs="Times New Roman"/>
          <w:sz w:val="28"/>
          <w:szCs w:val="28"/>
        </w:rPr>
        <w:t>,</w:t>
      </w:r>
      <w:r w:rsidRPr="004E44C1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53B44E90" w14:textId="6135B854" w:rsidR="004E44C1" w:rsidRPr="00E36761" w:rsidRDefault="00E36761" w:rsidP="00E3676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="004E44C1" w:rsidRPr="00E367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E44C1" w:rsidRPr="00E367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44C1" w:rsidRPr="00E36761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14:paraId="76F2A822" w14:textId="33957F6E" w:rsidR="007534F2" w:rsidRPr="00DE0A5F" w:rsidRDefault="00DE0A5F" w:rsidP="00DE0A5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E44C1">
        <w:rPr>
          <w:rFonts w:ascii="Times New Roman" w:hAnsi="Times New Roman" w:cs="Times New Roman"/>
          <w:sz w:val="28"/>
          <w:szCs w:val="28"/>
        </w:rPr>
        <w:t xml:space="preserve">        </w:t>
      </w:r>
      <w:r w:rsidR="003C764F" w:rsidRPr="004E44C1">
        <w:rPr>
          <w:rFonts w:ascii="Times New Roman" w:hAnsi="Times New Roman" w:cs="Times New Roman"/>
          <w:sz w:val="28"/>
          <w:szCs w:val="28"/>
        </w:rPr>
        <w:t xml:space="preserve"> </w:t>
      </w:r>
      <w:r w:rsidR="00270ACE" w:rsidRPr="004E44C1">
        <w:rPr>
          <w:rFonts w:ascii="Times New Roman" w:hAnsi="Times New Roman" w:cs="Times New Roman"/>
          <w:sz w:val="28"/>
          <w:szCs w:val="28"/>
        </w:rPr>
        <w:t>2</w:t>
      </w:r>
      <w:r w:rsidR="003E3F80" w:rsidRPr="004E44C1">
        <w:rPr>
          <w:rFonts w:ascii="Times New Roman" w:hAnsi="Times New Roman" w:cs="Times New Roman"/>
          <w:sz w:val="28"/>
          <w:szCs w:val="28"/>
        </w:rPr>
        <w:t>.1.</w:t>
      </w:r>
      <w:r w:rsidR="004E44C1" w:rsidRPr="004E44C1">
        <w:rPr>
          <w:rFonts w:ascii="Times New Roman" w:hAnsi="Times New Roman" w:cs="Times New Roman"/>
          <w:sz w:val="28"/>
          <w:szCs w:val="28"/>
        </w:rPr>
        <w:t>1.</w:t>
      </w:r>
      <w:r w:rsidR="00D5440E" w:rsidRPr="004E44C1">
        <w:rPr>
          <w:rFonts w:ascii="Times New Roman" w:hAnsi="Times New Roman" w:cs="Times New Roman"/>
          <w:sz w:val="28"/>
          <w:szCs w:val="28"/>
        </w:rPr>
        <w:t xml:space="preserve"> </w:t>
      </w:r>
      <w:r w:rsidR="001A24ED" w:rsidRPr="004E44C1">
        <w:rPr>
          <w:rFonts w:ascii="Times New Roman" w:hAnsi="Times New Roman" w:cs="Times New Roman"/>
          <w:sz w:val="28"/>
          <w:szCs w:val="28"/>
        </w:rPr>
        <w:t>В</w:t>
      </w:r>
      <w:r w:rsidR="00E36761">
        <w:rPr>
          <w:rFonts w:ascii="Times New Roman" w:hAnsi="Times New Roman" w:cs="Times New Roman"/>
          <w:sz w:val="28"/>
          <w:szCs w:val="28"/>
        </w:rPr>
        <w:t xml:space="preserve"> </w:t>
      </w:r>
      <w:r w:rsidR="007534F2" w:rsidRPr="00DE0A5F">
        <w:rPr>
          <w:rFonts w:ascii="Times New Roman" w:hAnsi="Times New Roman"/>
          <w:sz w:val="28"/>
          <w:szCs w:val="28"/>
        </w:rPr>
        <w:t>пункте 1.</w:t>
      </w:r>
      <w:r w:rsidR="004E44C1">
        <w:rPr>
          <w:rFonts w:ascii="Times New Roman" w:hAnsi="Times New Roman"/>
          <w:sz w:val="28"/>
          <w:szCs w:val="28"/>
        </w:rPr>
        <w:t>1</w:t>
      </w:r>
      <w:r w:rsidR="007534F2" w:rsidRPr="00DE0A5F">
        <w:rPr>
          <w:rFonts w:ascii="Times New Roman" w:hAnsi="Times New Roman"/>
          <w:sz w:val="28"/>
          <w:szCs w:val="28"/>
        </w:rPr>
        <w:t xml:space="preserve"> слова </w:t>
      </w:r>
      <w:r w:rsidR="007534F2" w:rsidRPr="003C764F">
        <w:rPr>
          <w:rFonts w:ascii="Times New Roman" w:hAnsi="Times New Roman"/>
          <w:sz w:val="28"/>
          <w:szCs w:val="28"/>
        </w:rPr>
        <w:t>«</w:t>
      </w:r>
      <w:r w:rsidR="007534F2" w:rsidRPr="00DE0A5F">
        <w:rPr>
          <w:rFonts w:ascii="Times New Roman" w:hAnsi="Times New Roman"/>
          <w:sz w:val="28"/>
          <w:szCs w:val="28"/>
        </w:rPr>
        <w:t xml:space="preserve">а также физическим лицам - производителям товаров, работ, услуг» </w:t>
      </w:r>
      <w:r w:rsidR="007534F2" w:rsidRPr="003C764F">
        <w:rPr>
          <w:rFonts w:ascii="Times New Roman" w:hAnsi="Times New Roman"/>
          <w:sz w:val="28"/>
          <w:szCs w:val="28"/>
        </w:rPr>
        <w:t>заменить словами «</w:t>
      </w:r>
      <w:r w:rsidR="007534F2">
        <w:rPr>
          <w:rFonts w:ascii="Times New Roman" w:hAnsi="Times New Roman"/>
          <w:sz w:val="28"/>
          <w:szCs w:val="28"/>
        </w:rPr>
        <w:t>физическим лицам»</w:t>
      </w:r>
      <w:r w:rsidR="007534F2" w:rsidRPr="003C764F">
        <w:rPr>
          <w:rFonts w:ascii="Times New Roman" w:hAnsi="Times New Roman"/>
          <w:sz w:val="28"/>
          <w:szCs w:val="28"/>
        </w:rPr>
        <w:t>.</w:t>
      </w:r>
    </w:p>
    <w:p w14:paraId="2B90E3B6" w14:textId="4CD387AB" w:rsidR="001A24ED" w:rsidRDefault="001A24ED" w:rsidP="001A24ED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4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0AC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E44C1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4E44C1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1.4</w:t>
      </w:r>
      <w:r w:rsidR="004E44C1">
        <w:rPr>
          <w:rFonts w:cstheme="minorBidi"/>
          <w:sz w:val="28"/>
          <w:szCs w:val="28"/>
        </w:rPr>
        <w:t>:</w:t>
      </w:r>
    </w:p>
    <w:p w14:paraId="6E1E4B50" w14:textId="6153CFB1" w:rsidR="004E44C1" w:rsidRDefault="003E1507" w:rsidP="001A2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4C1">
        <w:rPr>
          <w:rFonts w:ascii="Times New Roman" w:hAnsi="Times New Roman" w:cs="Times New Roman"/>
          <w:sz w:val="28"/>
          <w:szCs w:val="28"/>
        </w:rPr>
        <w:t>2.1.2.1. Абзац четвертый изложить в следующей редакции:</w:t>
      </w:r>
    </w:p>
    <w:p w14:paraId="00E67303" w14:textId="157A9D75" w:rsidR="001A24ED" w:rsidRDefault="004E44C1" w:rsidP="001A2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4ED">
        <w:rPr>
          <w:rFonts w:ascii="Times New Roman" w:hAnsi="Times New Roman" w:cs="Times New Roman"/>
          <w:sz w:val="28"/>
          <w:szCs w:val="28"/>
        </w:rPr>
        <w:t xml:space="preserve">«- на материально-техническое обеспечение деятельности по привлечению лиц для прохождения военной службы по контракту (оплата труда работников получателя субсидии (включая начисления страховых взносов в государственные внебюджетные фонды Российской Федерации), почтовых услуг, банковских услуг, </w:t>
      </w:r>
      <w:r w:rsidR="0039760A">
        <w:rPr>
          <w:rFonts w:ascii="Times New Roman" w:hAnsi="Times New Roman" w:cs="Times New Roman"/>
          <w:sz w:val="28"/>
          <w:szCs w:val="28"/>
        </w:rPr>
        <w:t xml:space="preserve">расходы на приобретение </w:t>
      </w:r>
      <w:r w:rsidR="001A24ED">
        <w:rPr>
          <w:rFonts w:ascii="Times New Roman" w:hAnsi="Times New Roman" w:cs="Times New Roman"/>
          <w:sz w:val="28"/>
          <w:szCs w:val="28"/>
        </w:rPr>
        <w:t>канцелярски</w:t>
      </w:r>
      <w:r w:rsidR="00CC5BD6">
        <w:rPr>
          <w:rFonts w:ascii="Times New Roman" w:hAnsi="Times New Roman" w:cs="Times New Roman"/>
          <w:sz w:val="28"/>
          <w:szCs w:val="28"/>
        </w:rPr>
        <w:t>х</w:t>
      </w:r>
      <w:r w:rsidR="001A24ED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CC5BD6">
        <w:rPr>
          <w:rFonts w:ascii="Times New Roman" w:hAnsi="Times New Roman" w:cs="Times New Roman"/>
          <w:sz w:val="28"/>
          <w:szCs w:val="28"/>
        </w:rPr>
        <w:t>ов</w:t>
      </w:r>
      <w:r w:rsidR="001A24ED">
        <w:rPr>
          <w:rFonts w:ascii="Times New Roman" w:hAnsi="Times New Roman" w:cs="Times New Roman"/>
          <w:sz w:val="28"/>
          <w:szCs w:val="28"/>
        </w:rPr>
        <w:t xml:space="preserve">, </w:t>
      </w:r>
      <w:r w:rsidR="0039760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CC5BD6">
        <w:rPr>
          <w:rFonts w:ascii="Times New Roman" w:hAnsi="Times New Roman" w:cs="Times New Roman"/>
          <w:sz w:val="28"/>
          <w:szCs w:val="28"/>
        </w:rPr>
        <w:t>обслуживание оргтехники,</w:t>
      </w:r>
      <w:r w:rsidR="0039760A">
        <w:rPr>
          <w:rFonts w:ascii="Times New Roman" w:hAnsi="Times New Roman" w:cs="Times New Roman"/>
          <w:sz w:val="28"/>
          <w:szCs w:val="28"/>
        </w:rPr>
        <w:t xml:space="preserve"> расходы на обесп</w:t>
      </w:r>
      <w:r w:rsidR="00FA6D51">
        <w:rPr>
          <w:rFonts w:ascii="Times New Roman" w:hAnsi="Times New Roman" w:cs="Times New Roman"/>
          <w:sz w:val="28"/>
          <w:szCs w:val="28"/>
        </w:rPr>
        <w:t>ечение</w:t>
      </w:r>
      <w:r w:rsidR="00CC5BD6">
        <w:rPr>
          <w:rFonts w:ascii="Times New Roman" w:hAnsi="Times New Roman" w:cs="Times New Roman"/>
          <w:sz w:val="28"/>
          <w:szCs w:val="28"/>
        </w:rPr>
        <w:t xml:space="preserve"> </w:t>
      </w:r>
      <w:r w:rsidR="00FA6D51">
        <w:rPr>
          <w:rFonts w:ascii="Times New Roman" w:hAnsi="Times New Roman" w:cs="Times New Roman"/>
          <w:sz w:val="28"/>
          <w:szCs w:val="28"/>
        </w:rPr>
        <w:t>обмена электронными документами</w:t>
      </w:r>
      <w:r w:rsidR="001A24ED">
        <w:rPr>
          <w:rFonts w:ascii="Times New Roman" w:hAnsi="Times New Roman" w:cs="Times New Roman"/>
          <w:sz w:val="28"/>
          <w:szCs w:val="28"/>
        </w:rPr>
        <w:t xml:space="preserve"> (далее - затраты на МТО)</w:t>
      </w:r>
      <w:r w:rsidR="007E4561">
        <w:rPr>
          <w:rFonts w:ascii="Times New Roman" w:hAnsi="Times New Roman" w:cs="Times New Roman"/>
          <w:sz w:val="28"/>
          <w:szCs w:val="28"/>
        </w:rPr>
        <w:t>»</w:t>
      </w:r>
      <w:r w:rsidR="00720697">
        <w:rPr>
          <w:rFonts w:ascii="Times New Roman" w:hAnsi="Times New Roman" w:cs="Times New Roman"/>
          <w:sz w:val="28"/>
          <w:szCs w:val="28"/>
        </w:rPr>
        <w:t>;</w:t>
      </w:r>
    </w:p>
    <w:p w14:paraId="154EAE57" w14:textId="128B2522" w:rsidR="001A24ED" w:rsidRPr="008A479E" w:rsidRDefault="001A24ED" w:rsidP="001A2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CE">
        <w:rPr>
          <w:rFonts w:ascii="Times New Roman" w:hAnsi="Times New Roman" w:cs="Times New Roman"/>
          <w:sz w:val="28"/>
          <w:szCs w:val="28"/>
        </w:rPr>
        <w:t>2</w:t>
      </w:r>
      <w:r w:rsidR="008A479E" w:rsidRPr="008A479E">
        <w:rPr>
          <w:rFonts w:ascii="Times New Roman" w:hAnsi="Times New Roman" w:cs="Times New Roman"/>
          <w:sz w:val="28"/>
          <w:szCs w:val="28"/>
        </w:rPr>
        <w:t>.1.</w:t>
      </w:r>
      <w:r w:rsidR="004E44C1">
        <w:rPr>
          <w:rFonts w:ascii="Times New Roman" w:hAnsi="Times New Roman" w:cs="Times New Roman"/>
          <w:sz w:val="28"/>
          <w:szCs w:val="28"/>
        </w:rPr>
        <w:t>2</w:t>
      </w:r>
      <w:r w:rsidR="008A479E" w:rsidRPr="008A479E">
        <w:rPr>
          <w:rFonts w:ascii="Times New Roman" w:hAnsi="Times New Roman" w:cs="Times New Roman"/>
          <w:sz w:val="28"/>
          <w:szCs w:val="28"/>
        </w:rPr>
        <w:t>.</w:t>
      </w:r>
      <w:r w:rsidR="004E44C1">
        <w:rPr>
          <w:rFonts w:ascii="Times New Roman" w:hAnsi="Times New Roman" w:cs="Times New Roman"/>
          <w:sz w:val="28"/>
          <w:szCs w:val="28"/>
        </w:rPr>
        <w:t>2.</w:t>
      </w:r>
      <w:r w:rsidR="008A479E" w:rsidRPr="008A479E">
        <w:rPr>
          <w:rFonts w:ascii="Times New Roman" w:hAnsi="Times New Roman" w:cs="Times New Roman"/>
          <w:sz w:val="28"/>
          <w:szCs w:val="28"/>
        </w:rPr>
        <w:t xml:space="preserve"> В абзаце пятом</w:t>
      </w:r>
      <w:r w:rsidR="008A479E" w:rsidRPr="001A24E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A479E">
        <w:rPr>
          <w:rFonts w:ascii="Times New Roman" w:hAnsi="Times New Roman" w:cs="Times New Roman"/>
          <w:sz w:val="28"/>
          <w:szCs w:val="28"/>
        </w:rPr>
        <w:t>с 15.02.2025» заменить словами «</w:t>
      </w:r>
      <w:r w:rsidR="00F323C8">
        <w:rPr>
          <w:rFonts w:ascii="Times New Roman" w:hAnsi="Times New Roman" w:cs="Times New Roman"/>
          <w:sz w:val="28"/>
          <w:szCs w:val="28"/>
        </w:rPr>
        <w:t>с 01</w:t>
      </w:r>
      <w:r w:rsidR="00F707F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A479E">
        <w:rPr>
          <w:rFonts w:ascii="Times New Roman" w:hAnsi="Times New Roman" w:cs="Times New Roman"/>
          <w:sz w:val="28"/>
          <w:szCs w:val="28"/>
        </w:rPr>
        <w:t xml:space="preserve"> текущего года»</w:t>
      </w:r>
      <w:r w:rsidR="00720697">
        <w:rPr>
          <w:rFonts w:ascii="Times New Roman" w:hAnsi="Times New Roman" w:cs="Times New Roman"/>
          <w:sz w:val="28"/>
          <w:szCs w:val="28"/>
        </w:rPr>
        <w:t>.</w:t>
      </w:r>
    </w:p>
    <w:p w14:paraId="440419EC" w14:textId="3D259D5C" w:rsidR="00D5440E" w:rsidRDefault="001A24ED" w:rsidP="00D5440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6761">
        <w:rPr>
          <w:sz w:val="28"/>
          <w:szCs w:val="28"/>
        </w:rPr>
        <w:t xml:space="preserve">    2.2.</w:t>
      </w:r>
      <w:r w:rsidR="008A479E">
        <w:rPr>
          <w:sz w:val="28"/>
          <w:szCs w:val="28"/>
        </w:rPr>
        <w:t xml:space="preserve"> </w:t>
      </w:r>
      <w:r w:rsidR="00D5440E" w:rsidRPr="000B2FFD">
        <w:rPr>
          <w:sz w:val="28"/>
          <w:szCs w:val="28"/>
        </w:rPr>
        <w:t xml:space="preserve">В разделе </w:t>
      </w:r>
      <w:r w:rsidR="00D5440E" w:rsidRPr="000B2FFD">
        <w:rPr>
          <w:sz w:val="28"/>
          <w:szCs w:val="28"/>
          <w:lang w:val="en-US"/>
        </w:rPr>
        <w:t>II</w:t>
      </w:r>
      <w:r w:rsidR="00D5440E" w:rsidRPr="000B2FFD">
        <w:rPr>
          <w:sz w:val="28"/>
          <w:szCs w:val="28"/>
        </w:rPr>
        <w:t xml:space="preserve"> Порядка</w:t>
      </w:r>
      <w:r w:rsidR="00DE0A5F">
        <w:rPr>
          <w:sz w:val="28"/>
          <w:szCs w:val="28"/>
        </w:rPr>
        <w:t>:</w:t>
      </w:r>
    </w:p>
    <w:p w14:paraId="6FF33D5B" w14:textId="1BF759BD" w:rsidR="008A479E" w:rsidRDefault="008A479E" w:rsidP="008A479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24C4" w:rsidRPr="00F323C8">
        <w:rPr>
          <w:sz w:val="28"/>
          <w:szCs w:val="28"/>
        </w:rPr>
        <w:t xml:space="preserve"> </w:t>
      </w:r>
      <w:r w:rsidR="00E36761">
        <w:rPr>
          <w:sz w:val="28"/>
          <w:szCs w:val="28"/>
        </w:rPr>
        <w:t>2.2.</w:t>
      </w:r>
      <w:r>
        <w:rPr>
          <w:sz w:val="28"/>
          <w:szCs w:val="28"/>
        </w:rPr>
        <w:t xml:space="preserve">1. В </w:t>
      </w:r>
      <w:r w:rsidRPr="001A24ED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1A24ED">
        <w:rPr>
          <w:sz w:val="28"/>
          <w:szCs w:val="28"/>
        </w:rPr>
        <w:t xml:space="preserve"> 2.2</w:t>
      </w:r>
      <w:r>
        <w:rPr>
          <w:sz w:val="28"/>
          <w:szCs w:val="28"/>
        </w:rPr>
        <w:t>:</w:t>
      </w:r>
    </w:p>
    <w:p w14:paraId="4557B899" w14:textId="55DF8F45" w:rsidR="001A24ED" w:rsidRDefault="008A479E" w:rsidP="008A479E">
      <w:pPr>
        <w:pStyle w:val="ConsPlusNormal"/>
        <w:tabs>
          <w:tab w:val="left" w:pos="6636"/>
        </w:tabs>
        <w:spacing w:line="276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A24ED">
        <w:rPr>
          <w:sz w:val="28"/>
          <w:szCs w:val="28"/>
        </w:rPr>
        <w:t xml:space="preserve">        </w:t>
      </w:r>
      <w:r w:rsidR="00E36761">
        <w:rPr>
          <w:sz w:val="28"/>
          <w:szCs w:val="28"/>
        </w:rPr>
        <w:t>2.2.1</w:t>
      </w:r>
      <w:r w:rsidR="00274408">
        <w:rPr>
          <w:sz w:val="28"/>
          <w:szCs w:val="28"/>
        </w:rPr>
        <w:t>.</w:t>
      </w:r>
      <w:r w:rsidR="00E36761">
        <w:rPr>
          <w:sz w:val="28"/>
          <w:szCs w:val="28"/>
        </w:rPr>
        <w:t>1.</w:t>
      </w:r>
      <w:r w:rsidR="00D5440E" w:rsidRPr="001A2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 </w:t>
      </w:r>
      <w:r w:rsidR="001A24ED" w:rsidRPr="001A24ED">
        <w:rPr>
          <w:sz w:val="28"/>
          <w:szCs w:val="28"/>
        </w:rPr>
        <w:t>слова «</w:t>
      </w:r>
      <w:r w:rsidR="001A24ED" w:rsidRPr="001A24ED">
        <w:rPr>
          <w:rFonts w:eastAsiaTheme="minorHAnsi"/>
          <w:sz w:val="28"/>
          <w:szCs w:val="28"/>
        </w:rPr>
        <w:t>не более 250 тысяч рублей» заменить словами «не более 500 тысяч рублей</w:t>
      </w:r>
      <w:r>
        <w:rPr>
          <w:rFonts w:eastAsiaTheme="minorHAnsi"/>
          <w:sz w:val="28"/>
          <w:szCs w:val="28"/>
        </w:rPr>
        <w:t>»;</w:t>
      </w:r>
    </w:p>
    <w:p w14:paraId="6E33FBF5" w14:textId="40250E96" w:rsidR="008A479E" w:rsidRDefault="008A479E" w:rsidP="008A479E">
      <w:pPr>
        <w:pStyle w:val="ConsPlusNormal"/>
        <w:tabs>
          <w:tab w:val="left" w:pos="6636"/>
        </w:tabs>
        <w:spacing w:line="276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6761">
        <w:rPr>
          <w:sz w:val="28"/>
          <w:szCs w:val="28"/>
        </w:rPr>
        <w:t>2</w:t>
      </w:r>
      <w:r w:rsidRPr="001A24ED">
        <w:rPr>
          <w:sz w:val="28"/>
          <w:szCs w:val="28"/>
        </w:rPr>
        <w:t>.</w:t>
      </w:r>
      <w:r w:rsidR="00274408">
        <w:rPr>
          <w:sz w:val="28"/>
          <w:szCs w:val="28"/>
        </w:rPr>
        <w:t>2</w:t>
      </w:r>
      <w:r w:rsidRPr="001A24ED">
        <w:rPr>
          <w:sz w:val="28"/>
          <w:szCs w:val="28"/>
        </w:rPr>
        <w:t>.</w:t>
      </w:r>
      <w:r w:rsidR="00E36761">
        <w:rPr>
          <w:sz w:val="28"/>
          <w:szCs w:val="28"/>
        </w:rPr>
        <w:t>1.2.</w:t>
      </w:r>
      <w:r w:rsidRPr="001A24ED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</w:t>
      </w:r>
      <w:r w:rsidRPr="001A24ED">
        <w:rPr>
          <w:sz w:val="28"/>
          <w:szCs w:val="28"/>
        </w:rPr>
        <w:t xml:space="preserve"> слова «</w:t>
      </w:r>
      <w:r w:rsidR="00DE0A5F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3 900 рубля» </w:t>
      </w:r>
      <w:r w:rsidRPr="001A24ED">
        <w:rPr>
          <w:rFonts w:eastAsiaTheme="minorHAnsi"/>
          <w:sz w:val="28"/>
          <w:szCs w:val="28"/>
        </w:rPr>
        <w:t>заменить словами «</w:t>
      </w:r>
      <w:r w:rsidR="00DE0A5F">
        <w:rPr>
          <w:rFonts w:eastAsiaTheme="minorHAnsi"/>
          <w:sz w:val="28"/>
          <w:szCs w:val="28"/>
        </w:rPr>
        <w:t xml:space="preserve">не более </w:t>
      </w:r>
      <w:r>
        <w:rPr>
          <w:rFonts w:eastAsiaTheme="minorHAnsi"/>
          <w:sz w:val="28"/>
          <w:szCs w:val="28"/>
        </w:rPr>
        <w:t>4000</w:t>
      </w:r>
      <w:r w:rsidR="00274408">
        <w:rPr>
          <w:rFonts w:eastAsiaTheme="minorHAnsi"/>
          <w:sz w:val="28"/>
          <w:szCs w:val="28"/>
        </w:rPr>
        <w:t xml:space="preserve"> рублей</w:t>
      </w:r>
      <w:r>
        <w:rPr>
          <w:rFonts w:eastAsiaTheme="minorHAnsi"/>
          <w:sz w:val="28"/>
          <w:szCs w:val="28"/>
        </w:rPr>
        <w:t>»;</w:t>
      </w:r>
    </w:p>
    <w:p w14:paraId="48BF18B7" w14:textId="4ADF06D9" w:rsidR="008A479E" w:rsidRDefault="00274408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E36761">
        <w:rPr>
          <w:rFonts w:eastAsiaTheme="minorHAnsi"/>
          <w:sz w:val="28"/>
          <w:szCs w:val="28"/>
        </w:rPr>
        <w:t xml:space="preserve">2.2.1.3. </w:t>
      </w:r>
      <w:r>
        <w:rPr>
          <w:sz w:val="28"/>
          <w:szCs w:val="28"/>
        </w:rPr>
        <w:t>В абзаце шестом</w:t>
      </w:r>
      <w:r w:rsidR="00DE0A5F">
        <w:rPr>
          <w:sz w:val="28"/>
          <w:szCs w:val="28"/>
        </w:rPr>
        <w:t xml:space="preserve"> цифры</w:t>
      </w:r>
      <w:r w:rsidRPr="001A2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«94,97%» заменить </w:t>
      </w:r>
      <w:r w:rsidR="00DE0A5F">
        <w:rPr>
          <w:sz w:val="28"/>
          <w:szCs w:val="28"/>
        </w:rPr>
        <w:t xml:space="preserve">цифрами </w:t>
      </w:r>
      <w:r>
        <w:rPr>
          <w:sz w:val="28"/>
          <w:szCs w:val="28"/>
        </w:rPr>
        <w:t>«95%»;</w:t>
      </w:r>
    </w:p>
    <w:p w14:paraId="124CC51F" w14:textId="76D26553" w:rsidR="00274408" w:rsidRDefault="00274408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6761">
        <w:rPr>
          <w:sz w:val="28"/>
          <w:szCs w:val="28"/>
        </w:rPr>
        <w:t>2.2.1.4.</w:t>
      </w:r>
      <w:r>
        <w:rPr>
          <w:sz w:val="28"/>
          <w:szCs w:val="28"/>
        </w:rPr>
        <w:t xml:space="preserve"> В абзаце </w:t>
      </w:r>
      <w:r w:rsidR="004C590B">
        <w:rPr>
          <w:sz w:val="28"/>
          <w:szCs w:val="28"/>
        </w:rPr>
        <w:t xml:space="preserve">седьмом </w:t>
      </w:r>
      <w:r w:rsidR="00DE0A5F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«2,51%» заменить</w:t>
      </w:r>
      <w:r w:rsidR="00DE0A5F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«2,5%»;</w:t>
      </w:r>
    </w:p>
    <w:p w14:paraId="49F86F0C" w14:textId="53ACF819" w:rsidR="00274408" w:rsidRDefault="00274408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6761">
        <w:rPr>
          <w:sz w:val="28"/>
          <w:szCs w:val="28"/>
        </w:rPr>
        <w:t>2.2.1.5.</w:t>
      </w:r>
      <w:r>
        <w:rPr>
          <w:sz w:val="28"/>
          <w:szCs w:val="28"/>
        </w:rPr>
        <w:t xml:space="preserve"> В абзаце </w:t>
      </w:r>
      <w:r w:rsidR="004C590B">
        <w:rPr>
          <w:sz w:val="28"/>
          <w:szCs w:val="28"/>
        </w:rPr>
        <w:t xml:space="preserve">восьмом </w:t>
      </w:r>
      <w:r w:rsidR="00DE0A5F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«2,52%» заменить </w:t>
      </w:r>
      <w:r w:rsidR="00DE0A5F">
        <w:rPr>
          <w:sz w:val="28"/>
          <w:szCs w:val="28"/>
        </w:rPr>
        <w:t xml:space="preserve">цифрами </w:t>
      </w:r>
      <w:r>
        <w:rPr>
          <w:sz w:val="28"/>
          <w:szCs w:val="28"/>
        </w:rPr>
        <w:t>«2,5%»</w:t>
      </w:r>
      <w:r w:rsidR="00720697">
        <w:rPr>
          <w:sz w:val="28"/>
          <w:szCs w:val="28"/>
        </w:rPr>
        <w:t>.</w:t>
      </w:r>
    </w:p>
    <w:p w14:paraId="7A911E7B" w14:textId="77813E40" w:rsidR="00274408" w:rsidRDefault="00274408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6761">
        <w:rPr>
          <w:sz w:val="28"/>
          <w:szCs w:val="28"/>
        </w:rPr>
        <w:t>2.2.2.</w:t>
      </w:r>
      <w:r w:rsidR="007F0735">
        <w:rPr>
          <w:sz w:val="28"/>
          <w:szCs w:val="28"/>
        </w:rPr>
        <w:t xml:space="preserve"> А</w:t>
      </w:r>
      <w:r w:rsidR="004724C4">
        <w:rPr>
          <w:sz w:val="28"/>
          <w:szCs w:val="28"/>
        </w:rPr>
        <w:t>бзац трет</w:t>
      </w:r>
      <w:r w:rsidR="007F0735">
        <w:rPr>
          <w:sz w:val="28"/>
          <w:szCs w:val="28"/>
        </w:rPr>
        <w:t>ий</w:t>
      </w:r>
      <w:r w:rsidR="004724C4">
        <w:rPr>
          <w:sz w:val="28"/>
          <w:szCs w:val="28"/>
        </w:rPr>
        <w:t xml:space="preserve"> </w:t>
      </w:r>
      <w:r w:rsidR="004724C4" w:rsidRPr="001A24ED">
        <w:rPr>
          <w:sz w:val="28"/>
          <w:szCs w:val="28"/>
        </w:rPr>
        <w:t>пункт</w:t>
      </w:r>
      <w:r w:rsidR="004724C4">
        <w:rPr>
          <w:sz w:val="28"/>
          <w:szCs w:val="28"/>
        </w:rPr>
        <w:t>а</w:t>
      </w:r>
      <w:r w:rsidR="004724C4" w:rsidRPr="001A24ED">
        <w:rPr>
          <w:sz w:val="28"/>
          <w:szCs w:val="28"/>
        </w:rPr>
        <w:t xml:space="preserve"> </w:t>
      </w:r>
      <w:r w:rsidR="004724C4">
        <w:rPr>
          <w:sz w:val="28"/>
          <w:szCs w:val="28"/>
        </w:rPr>
        <w:t>2.15</w:t>
      </w:r>
      <w:r w:rsidR="004724C4" w:rsidRPr="001A24ED">
        <w:rPr>
          <w:sz w:val="28"/>
          <w:szCs w:val="28"/>
        </w:rPr>
        <w:t xml:space="preserve"> Порядка</w:t>
      </w:r>
      <w:r w:rsidR="004724C4">
        <w:rPr>
          <w:sz w:val="28"/>
          <w:szCs w:val="28"/>
        </w:rPr>
        <w:t xml:space="preserve"> после слов</w:t>
      </w:r>
      <w:r w:rsidR="007F0735">
        <w:rPr>
          <w:sz w:val="28"/>
          <w:szCs w:val="28"/>
        </w:rPr>
        <w:t>а</w:t>
      </w:r>
      <w:r w:rsidR="004724C4">
        <w:rPr>
          <w:sz w:val="28"/>
          <w:szCs w:val="28"/>
        </w:rPr>
        <w:t xml:space="preserve"> </w:t>
      </w:r>
      <w:r w:rsidR="007073EE">
        <w:rPr>
          <w:sz w:val="28"/>
          <w:szCs w:val="28"/>
        </w:rPr>
        <w:t>«</w:t>
      </w:r>
      <w:r w:rsidR="004724C4">
        <w:rPr>
          <w:sz w:val="28"/>
          <w:szCs w:val="28"/>
        </w:rPr>
        <w:t>перевозка</w:t>
      </w:r>
      <w:r w:rsidR="007073EE">
        <w:rPr>
          <w:sz w:val="28"/>
          <w:szCs w:val="28"/>
        </w:rPr>
        <w:t>»</w:t>
      </w:r>
      <w:r w:rsidR="004724C4">
        <w:rPr>
          <w:sz w:val="28"/>
          <w:szCs w:val="28"/>
        </w:rPr>
        <w:t xml:space="preserve"> дополнить </w:t>
      </w:r>
      <w:r w:rsidR="007F0735">
        <w:rPr>
          <w:sz w:val="28"/>
          <w:szCs w:val="28"/>
        </w:rPr>
        <w:t>словами</w:t>
      </w:r>
      <w:r w:rsidR="004724C4">
        <w:rPr>
          <w:sz w:val="28"/>
          <w:szCs w:val="28"/>
        </w:rPr>
        <w:t xml:space="preserve"> «(в случае осуществления перевозки)»</w:t>
      </w:r>
      <w:r w:rsidR="00720697">
        <w:rPr>
          <w:sz w:val="28"/>
          <w:szCs w:val="28"/>
        </w:rPr>
        <w:t>.</w:t>
      </w:r>
    </w:p>
    <w:p w14:paraId="643CB6E2" w14:textId="008AFC81" w:rsidR="00BA627C" w:rsidRDefault="00BA627C" w:rsidP="00BA627C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6761">
        <w:rPr>
          <w:sz w:val="28"/>
          <w:szCs w:val="28"/>
        </w:rPr>
        <w:t>2.2.3.</w:t>
      </w:r>
      <w:r>
        <w:rPr>
          <w:sz w:val="28"/>
          <w:szCs w:val="28"/>
        </w:rPr>
        <w:t xml:space="preserve"> Абзац третий </w:t>
      </w:r>
      <w:r w:rsidRPr="001A24E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1A24ED">
        <w:rPr>
          <w:sz w:val="28"/>
          <w:szCs w:val="28"/>
        </w:rPr>
        <w:t xml:space="preserve"> </w:t>
      </w:r>
      <w:r>
        <w:rPr>
          <w:sz w:val="28"/>
          <w:szCs w:val="28"/>
        </w:rPr>
        <w:t>2.16</w:t>
      </w:r>
      <w:r w:rsidRPr="001A24ED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в следующей редакции:</w:t>
      </w:r>
    </w:p>
    <w:p w14:paraId="0538E0A2" w14:textId="7ADA8CC6" w:rsidR="00BA627C" w:rsidRPr="00FA6D51" w:rsidRDefault="00FA6D51" w:rsidP="00FA6D51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627C">
        <w:rPr>
          <w:sz w:val="28"/>
          <w:szCs w:val="28"/>
        </w:rPr>
        <w:t xml:space="preserve">«- заверенные руководителем Получателя Субсидии копии: </w:t>
      </w:r>
      <w:proofErr w:type="gramStart"/>
      <w:r w:rsidR="00BA627C">
        <w:rPr>
          <w:sz w:val="28"/>
          <w:szCs w:val="28"/>
        </w:rPr>
        <w:t>договоров,  актов</w:t>
      </w:r>
      <w:proofErr w:type="gramEnd"/>
      <w:r w:rsidR="00BA627C">
        <w:rPr>
          <w:sz w:val="28"/>
          <w:szCs w:val="28"/>
        </w:rPr>
        <w:t xml:space="preserve"> приема-передачи, универсальных передаточных документов, счетов-фактур</w:t>
      </w:r>
      <w:r w:rsidR="0013763D">
        <w:rPr>
          <w:sz w:val="28"/>
          <w:szCs w:val="28"/>
        </w:rPr>
        <w:t xml:space="preserve">, </w:t>
      </w:r>
      <w:r w:rsidRPr="00FA6D51">
        <w:rPr>
          <w:sz w:val="28"/>
          <w:szCs w:val="28"/>
        </w:rPr>
        <w:t>лицензионных (</w:t>
      </w:r>
      <w:proofErr w:type="spellStart"/>
      <w:r w:rsidRPr="00FA6D51">
        <w:rPr>
          <w:sz w:val="28"/>
          <w:szCs w:val="28"/>
        </w:rPr>
        <w:t>сублицензионных</w:t>
      </w:r>
      <w:proofErr w:type="spellEnd"/>
      <w:r w:rsidRPr="00FA6D51">
        <w:rPr>
          <w:sz w:val="28"/>
          <w:szCs w:val="28"/>
        </w:rPr>
        <w:t xml:space="preserve">) договоров (соглашений) на передачу прав на использование программных продуктов для обмена электронными документами (в </w:t>
      </w:r>
      <w:r>
        <w:rPr>
          <w:sz w:val="28"/>
          <w:szCs w:val="28"/>
        </w:rPr>
        <w:t>том числе</w:t>
      </w:r>
      <w:r w:rsidRPr="00FA6D51">
        <w:rPr>
          <w:sz w:val="28"/>
          <w:szCs w:val="28"/>
        </w:rPr>
        <w:t xml:space="preserve"> </w:t>
      </w:r>
      <w:proofErr w:type="spellStart"/>
      <w:r w:rsidRPr="00FA6D51">
        <w:rPr>
          <w:sz w:val="28"/>
          <w:szCs w:val="28"/>
        </w:rPr>
        <w:t>КриптоПро</w:t>
      </w:r>
      <w:proofErr w:type="spellEnd"/>
      <w:r w:rsidR="00720697">
        <w:rPr>
          <w:sz w:val="28"/>
          <w:szCs w:val="28"/>
        </w:rPr>
        <w:t>,</w:t>
      </w:r>
      <w:r w:rsidRPr="00FA6D51">
        <w:rPr>
          <w:sz w:val="28"/>
          <w:szCs w:val="28"/>
        </w:rPr>
        <w:t xml:space="preserve"> CSP), товарных накладных</w:t>
      </w:r>
      <w:r w:rsidR="008F5096">
        <w:rPr>
          <w:sz w:val="28"/>
          <w:szCs w:val="28"/>
        </w:rPr>
        <w:t>, подтверждающие затраты на МТО, предусмотренные пунктом 1.4 настоящего Порядка.</w:t>
      </w:r>
      <w:r>
        <w:rPr>
          <w:sz w:val="28"/>
          <w:szCs w:val="28"/>
        </w:rPr>
        <w:t>»</w:t>
      </w:r>
      <w:r w:rsidR="00720697">
        <w:rPr>
          <w:sz w:val="28"/>
          <w:szCs w:val="28"/>
        </w:rPr>
        <w:t>.</w:t>
      </w:r>
    </w:p>
    <w:p w14:paraId="58967D7C" w14:textId="3D4E14F9" w:rsidR="004724C4" w:rsidRDefault="004724C4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507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0B2FFD">
        <w:rPr>
          <w:sz w:val="28"/>
          <w:szCs w:val="28"/>
        </w:rPr>
        <w:t xml:space="preserve">В </w:t>
      </w:r>
      <w:r w:rsidR="005842E2">
        <w:rPr>
          <w:sz w:val="28"/>
          <w:szCs w:val="28"/>
        </w:rPr>
        <w:t>пункт</w:t>
      </w:r>
      <w:r w:rsidR="00F707FC">
        <w:rPr>
          <w:sz w:val="28"/>
          <w:szCs w:val="28"/>
        </w:rPr>
        <w:t>е</w:t>
      </w:r>
      <w:r w:rsidR="00E36761">
        <w:rPr>
          <w:sz w:val="28"/>
          <w:szCs w:val="28"/>
        </w:rPr>
        <w:t xml:space="preserve"> 3.6 </w:t>
      </w:r>
      <w:r w:rsidRPr="000B2FFD">
        <w:rPr>
          <w:sz w:val="28"/>
          <w:szCs w:val="28"/>
        </w:rPr>
        <w:t>раздел</w:t>
      </w:r>
      <w:r w:rsidR="00E36761">
        <w:rPr>
          <w:sz w:val="28"/>
          <w:szCs w:val="28"/>
        </w:rPr>
        <w:t>а</w:t>
      </w:r>
      <w:r w:rsidRPr="000B2FFD">
        <w:rPr>
          <w:sz w:val="28"/>
          <w:szCs w:val="28"/>
        </w:rPr>
        <w:t xml:space="preserve"> </w:t>
      </w:r>
      <w:r w:rsidRPr="000B2FFD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0B2FFD">
        <w:rPr>
          <w:sz w:val="28"/>
          <w:szCs w:val="28"/>
        </w:rPr>
        <w:t xml:space="preserve"> Порядка:</w:t>
      </w:r>
    </w:p>
    <w:p w14:paraId="5BE0D49E" w14:textId="5249B8D6" w:rsidR="004724C4" w:rsidRDefault="004724C4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 w:rsidRPr="004724C4">
        <w:rPr>
          <w:sz w:val="28"/>
          <w:szCs w:val="28"/>
        </w:rPr>
        <w:t xml:space="preserve">           </w:t>
      </w:r>
      <w:r w:rsidR="003E1507">
        <w:rPr>
          <w:sz w:val="28"/>
          <w:szCs w:val="28"/>
        </w:rPr>
        <w:t>2.</w:t>
      </w:r>
      <w:r w:rsidR="00BF7ACD">
        <w:rPr>
          <w:sz w:val="28"/>
          <w:szCs w:val="28"/>
        </w:rPr>
        <w:t xml:space="preserve">3.1. Подпункты </w:t>
      </w:r>
      <w:r w:rsidR="00F707FC">
        <w:rPr>
          <w:sz w:val="28"/>
          <w:szCs w:val="28"/>
        </w:rPr>
        <w:t>1</w:t>
      </w:r>
      <w:r w:rsidR="00BF7ACD">
        <w:rPr>
          <w:sz w:val="28"/>
          <w:szCs w:val="28"/>
        </w:rPr>
        <w:t xml:space="preserve"> и </w:t>
      </w:r>
      <w:r w:rsidR="00F707FC">
        <w:rPr>
          <w:sz w:val="28"/>
          <w:szCs w:val="28"/>
        </w:rPr>
        <w:t>5</w:t>
      </w:r>
      <w:r w:rsidR="00BF7ACD">
        <w:rPr>
          <w:sz w:val="28"/>
          <w:szCs w:val="28"/>
        </w:rPr>
        <w:t xml:space="preserve"> признать утратившими силу</w:t>
      </w:r>
      <w:r>
        <w:rPr>
          <w:sz w:val="28"/>
          <w:szCs w:val="28"/>
        </w:rPr>
        <w:t>;</w:t>
      </w:r>
    </w:p>
    <w:p w14:paraId="2B1990A0" w14:textId="60BC06E1" w:rsidR="005B64C3" w:rsidRDefault="005B64C3" w:rsidP="00274408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3E1507">
        <w:rPr>
          <w:sz w:val="28"/>
          <w:szCs w:val="28"/>
        </w:rPr>
        <w:t>2.</w:t>
      </w:r>
      <w:r w:rsidR="00BF7ACD">
        <w:rPr>
          <w:sz w:val="28"/>
          <w:szCs w:val="28"/>
        </w:rPr>
        <w:t>3</w:t>
      </w:r>
      <w:r w:rsidR="00F707FC">
        <w:rPr>
          <w:sz w:val="28"/>
          <w:szCs w:val="28"/>
        </w:rPr>
        <w:t xml:space="preserve">.2. </w:t>
      </w:r>
      <w:r w:rsidR="00A72F71">
        <w:rPr>
          <w:sz w:val="28"/>
          <w:szCs w:val="28"/>
        </w:rPr>
        <w:t>П</w:t>
      </w:r>
      <w:r w:rsidR="00F707FC">
        <w:rPr>
          <w:sz w:val="28"/>
          <w:szCs w:val="28"/>
        </w:rPr>
        <w:t>одпункт 10</w:t>
      </w:r>
      <w:r>
        <w:rPr>
          <w:sz w:val="28"/>
          <w:szCs w:val="28"/>
        </w:rPr>
        <w:t xml:space="preserve"> после слов «(с участием специальной военной операции)» дополнить </w:t>
      </w:r>
      <w:r w:rsidR="00E36761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«(</w:t>
      </w:r>
      <w:r w:rsidR="00E36761">
        <w:rPr>
          <w:sz w:val="28"/>
          <w:szCs w:val="28"/>
        </w:rPr>
        <w:t>в случае осуществления перевозки)</w:t>
      </w:r>
      <w:r>
        <w:rPr>
          <w:sz w:val="28"/>
          <w:szCs w:val="28"/>
        </w:rPr>
        <w:t>»;</w:t>
      </w:r>
    </w:p>
    <w:p w14:paraId="5A0B2306" w14:textId="53A2A9F6" w:rsidR="006D0FB0" w:rsidRDefault="003E1507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965338"/>
      <w:r>
        <w:rPr>
          <w:rFonts w:ascii="Times New Roman" w:hAnsi="Times New Roman" w:cs="Times New Roman"/>
          <w:sz w:val="28"/>
          <w:szCs w:val="28"/>
        </w:rPr>
        <w:t>3</w:t>
      </w:r>
      <w:r w:rsidR="00BF7ACD">
        <w:rPr>
          <w:rFonts w:ascii="Times New Roman" w:hAnsi="Times New Roman" w:cs="Times New Roman"/>
          <w:sz w:val="28"/>
          <w:szCs w:val="28"/>
        </w:rPr>
        <w:t>. В</w:t>
      </w:r>
      <w:r w:rsidR="009E749A" w:rsidRPr="00935DEC">
        <w:rPr>
          <w:rFonts w:ascii="Times New Roman" w:hAnsi="Times New Roman" w:cs="Times New Roman"/>
          <w:sz w:val="28"/>
          <w:szCs w:val="28"/>
        </w:rPr>
        <w:t xml:space="preserve"> </w:t>
      </w:r>
      <w:r w:rsidR="00F707FC">
        <w:rPr>
          <w:rFonts w:ascii="Times New Roman" w:hAnsi="Times New Roman" w:cs="Times New Roman"/>
          <w:sz w:val="28"/>
          <w:szCs w:val="28"/>
        </w:rPr>
        <w:t>Приложении</w:t>
      </w:r>
      <w:r w:rsidR="006D0FB0" w:rsidRPr="00935DEC">
        <w:rPr>
          <w:rFonts w:ascii="Times New Roman" w:hAnsi="Times New Roman" w:cs="Times New Roman"/>
          <w:sz w:val="28"/>
          <w:szCs w:val="28"/>
        </w:rPr>
        <w:t xml:space="preserve"> № 2 к Порядку</w:t>
      </w:r>
      <w:r w:rsidR="00BF7ACD">
        <w:rPr>
          <w:rFonts w:ascii="Times New Roman" w:hAnsi="Times New Roman" w:cs="Times New Roman"/>
          <w:sz w:val="28"/>
          <w:szCs w:val="28"/>
        </w:rPr>
        <w:t>:</w:t>
      </w:r>
    </w:p>
    <w:p w14:paraId="5ED53851" w14:textId="46E4AD91" w:rsidR="00BF7ACD" w:rsidRDefault="003E1507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ACD">
        <w:rPr>
          <w:rFonts w:ascii="Times New Roman" w:hAnsi="Times New Roman" w:cs="Times New Roman"/>
          <w:sz w:val="28"/>
          <w:szCs w:val="28"/>
        </w:rPr>
        <w:t>.1. в</w:t>
      </w:r>
      <w:r w:rsidR="004B7E90">
        <w:rPr>
          <w:rFonts w:ascii="Times New Roman" w:hAnsi="Times New Roman" w:cs="Times New Roman"/>
          <w:sz w:val="28"/>
          <w:szCs w:val="28"/>
        </w:rPr>
        <w:t xml:space="preserve"> </w:t>
      </w:r>
      <w:r w:rsidR="00BF7ACD">
        <w:rPr>
          <w:rFonts w:ascii="Times New Roman" w:hAnsi="Times New Roman" w:cs="Times New Roman"/>
          <w:sz w:val="28"/>
          <w:szCs w:val="28"/>
        </w:rPr>
        <w:t>столбц</w:t>
      </w:r>
      <w:r w:rsidR="00814F0F">
        <w:rPr>
          <w:rFonts w:ascii="Times New Roman" w:hAnsi="Times New Roman" w:cs="Times New Roman"/>
          <w:sz w:val="28"/>
          <w:szCs w:val="28"/>
        </w:rPr>
        <w:t>е</w:t>
      </w:r>
      <w:r w:rsidR="00BF7ACD">
        <w:rPr>
          <w:rFonts w:ascii="Times New Roman" w:hAnsi="Times New Roman" w:cs="Times New Roman"/>
          <w:sz w:val="28"/>
          <w:szCs w:val="28"/>
        </w:rPr>
        <w:t xml:space="preserve"> 3 таблиц</w:t>
      </w:r>
      <w:r w:rsidR="004B7E90">
        <w:rPr>
          <w:rFonts w:ascii="Times New Roman" w:hAnsi="Times New Roman" w:cs="Times New Roman"/>
          <w:sz w:val="28"/>
          <w:szCs w:val="28"/>
        </w:rPr>
        <w:t>ы</w:t>
      </w:r>
      <w:r w:rsidR="00BF7ACD">
        <w:rPr>
          <w:rFonts w:ascii="Times New Roman" w:hAnsi="Times New Roman" w:cs="Times New Roman"/>
          <w:sz w:val="28"/>
          <w:szCs w:val="28"/>
        </w:rPr>
        <w:t xml:space="preserve"> слово «планирую</w:t>
      </w:r>
      <w:r w:rsidR="004B7E90">
        <w:rPr>
          <w:rFonts w:ascii="Times New Roman" w:hAnsi="Times New Roman" w:cs="Times New Roman"/>
          <w:sz w:val="28"/>
          <w:szCs w:val="28"/>
        </w:rPr>
        <w:t>щие» заменить</w:t>
      </w:r>
      <w:r w:rsidR="00F707FC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4B7E90">
        <w:rPr>
          <w:rFonts w:ascii="Times New Roman" w:hAnsi="Times New Roman" w:cs="Times New Roman"/>
          <w:sz w:val="28"/>
          <w:szCs w:val="28"/>
        </w:rPr>
        <w:t xml:space="preserve"> «планирующих»;</w:t>
      </w:r>
    </w:p>
    <w:p w14:paraId="304EED8C" w14:textId="1CA51016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E90">
        <w:rPr>
          <w:rFonts w:ascii="Times New Roman" w:hAnsi="Times New Roman" w:cs="Times New Roman"/>
          <w:sz w:val="28"/>
          <w:szCs w:val="28"/>
        </w:rPr>
        <w:t>.2. в столбц</w:t>
      </w:r>
      <w:r w:rsidR="00814F0F">
        <w:rPr>
          <w:rFonts w:ascii="Times New Roman" w:hAnsi="Times New Roman" w:cs="Times New Roman"/>
          <w:sz w:val="28"/>
          <w:szCs w:val="28"/>
        </w:rPr>
        <w:t>е</w:t>
      </w:r>
      <w:r w:rsidR="004B7E90">
        <w:rPr>
          <w:rFonts w:ascii="Times New Roman" w:hAnsi="Times New Roman" w:cs="Times New Roman"/>
          <w:sz w:val="28"/>
          <w:szCs w:val="28"/>
        </w:rPr>
        <w:t xml:space="preserve"> 4 таблицы цифры «250,00» заменить цифрами «500</w:t>
      </w:r>
      <w:r w:rsidR="00E251B0">
        <w:rPr>
          <w:rFonts w:ascii="Times New Roman" w:hAnsi="Times New Roman" w:cs="Times New Roman"/>
          <w:sz w:val="28"/>
          <w:szCs w:val="28"/>
        </w:rPr>
        <w:t>,00</w:t>
      </w:r>
      <w:r w:rsidR="004B7E90">
        <w:rPr>
          <w:rFonts w:ascii="Times New Roman" w:hAnsi="Times New Roman" w:cs="Times New Roman"/>
          <w:sz w:val="28"/>
          <w:szCs w:val="28"/>
        </w:rPr>
        <w:t>»;</w:t>
      </w:r>
    </w:p>
    <w:p w14:paraId="38D852EE" w14:textId="5F5881DE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E90">
        <w:rPr>
          <w:rFonts w:ascii="Times New Roman" w:hAnsi="Times New Roman" w:cs="Times New Roman"/>
          <w:sz w:val="28"/>
          <w:szCs w:val="28"/>
        </w:rPr>
        <w:t>.3. в</w:t>
      </w:r>
      <w:r w:rsidR="003A0E7A">
        <w:rPr>
          <w:rFonts w:ascii="Times New Roman" w:hAnsi="Times New Roman" w:cs="Times New Roman"/>
          <w:sz w:val="28"/>
          <w:szCs w:val="28"/>
        </w:rPr>
        <w:t xml:space="preserve"> </w:t>
      </w:r>
      <w:r w:rsidR="004B7E90">
        <w:rPr>
          <w:rFonts w:ascii="Times New Roman" w:hAnsi="Times New Roman" w:cs="Times New Roman"/>
          <w:sz w:val="28"/>
          <w:szCs w:val="28"/>
        </w:rPr>
        <w:t>столбц</w:t>
      </w:r>
      <w:r w:rsidR="00814F0F">
        <w:rPr>
          <w:rFonts w:ascii="Times New Roman" w:hAnsi="Times New Roman" w:cs="Times New Roman"/>
          <w:sz w:val="28"/>
          <w:szCs w:val="28"/>
        </w:rPr>
        <w:t>е</w:t>
      </w:r>
      <w:r w:rsidR="004B7E90">
        <w:rPr>
          <w:rFonts w:ascii="Times New Roman" w:hAnsi="Times New Roman" w:cs="Times New Roman"/>
          <w:sz w:val="28"/>
          <w:szCs w:val="28"/>
        </w:rPr>
        <w:t xml:space="preserve"> 6 таблицы цифры «2,52%» заменить цифрами «2,5%»;</w:t>
      </w:r>
    </w:p>
    <w:p w14:paraId="7B0E353D" w14:textId="2D5ED32C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E90">
        <w:rPr>
          <w:rFonts w:ascii="Times New Roman" w:hAnsi="Times New Roman" w:cs="Times New Roman"/>
          <w:sz w:val="28"/>
          <w:szCs w:val="28"/>
        </w:rPr>
        <w:t>.4. в</w:t>
      </w:r>
      <w:r w:rsidR="003A0E7A">
        <w:rPr>
          <w:rFonts w:ascii="Times New Roman" w:hAnsi="Times New Roman" w:cs="Times New Roman"/>
          <w:sz w:val="28"/>
          <w:szCs w:val="28"/>
        </w:rPr>
        <w:t xml:space="preserve"> </w:t>
      </w:r>
      <w:r w:rsidR="004B7E90">
        <w:rPr>
          <w:rFonts w:ascii="Times New Roman" w:hAnsi="Times New Roman" w:cs="Times New Roman"/>
          <w:sz w:val="28"/>
          <w:szCs w:val="28"/>
        </w:rPr>
        <w:t>столбц</w:t>
      </w:r>
      <w:r w:rsidR="006725AA">
        <w:rPr>
          <w:rFonts w:ascii="Times New Roman" w:hAnsi="Times New Roman" w:cs="Times New Roman"/>
          <w:sz w:val="28"/>
          <w:szCs w:val="28"/>
        </w:rPr>
        <w:t>е</w:t>
      </w:r>
      <w:r w:rsidR="004B7E90">
        <w:rPr>
          <w:rFonts w:ascii="Times New Roman" w:hAnsi="Times New Roman" w:cs="Times New Roman"/>
          <w:sz w:val="28"/>
          <w:szCs w:val="28"/>
        </w:rPr>
        <w:t xml:space="preserve"> 7 таблицы:</w:t>
      </w:r>
    </w:p>
    <w:p w14:paraId="22C3B2A5" w14:textId="675001DD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E90">
        <w:rPr>
          <w:rFonts w:ascii="Times New Roman" w:hAnsi="Times New Roman" w:cs="Times New Roman"/>
          <w:sz w:val="28"/>
          <w:szCs w:val="28"/>
        </w:rPr>
        <w:t xml:space="preserve">.4.1. </w:t>
      </w:r>
      <w:r w:rsidR="008B332D">
        <w:rPr>
          <w:rFonts w:ascii="Times New Roman" w:hAnsi="Times New Roman" w:cs="Times New Roman"/>
          <w:sz w:val="28"/>
          <w:szCs w:val="28"/>
        </w:rPr>
        <w:t>цифры</w:t>
      </w:r>
      <w:r w:rsidR="004B7E90">
        <w:rPr>
          <w:rFonts w:ascii="Times New Roman" w:hAnsi="Times New Roman" w:cs="Times New Roman"/>
          <w:sz w:val="28"/>
          <w:szCs w:val="28"/>
        </w:rPr>
        <w:t xml:space="preserve"> «</w:t>
      </w:r>
      <w:r w:rsidR="008B332D">
        <w:rPr>
          <w:rFonts w:ascii="Times New Roman" w:hAnsi="Times New Roman" w:cs="Times New Roman"/>
          <w:sz w:val="28"/>
          <w:szCs w:val="28"/>
        </w:rPr>
        <w:t>3900,00</w:t>
      </w:r>
      <w:r w:rsidR="004B7E90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B332D">
        <w:rPr>
          <w:rFonts w:ascii="Times New Roman" w:hAnsi="Times New Roman" w:cs="Times New Roman"/>
          <w:sz w:val="28"/>
          <w:szCs w:val="28"/>
        </w:rPr>
        <w:t>цифрами «4000,00»</w:t>
      </w:r>
      <w:r w:rsidR="004B7E90">
        <w:rPr>
          <w:rFonts w:ascii="Times New Roman" w:hAnsi="Times New Roman" w:cs="Times New Roman"/>
          <w:sz w:val="28"/>
          <w:szCs w:val="28"/>
        </w:rPr>
        <w:t>;</w:t>
      </w:r>
    </w:p>
    <w:p w14:paraId="605D8067" w14:textId="3F8C2B79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E90">
        <w:rPr>
          <w:rFonts w:ascii="Times New Roman" w:hAnsi="Times New Roman" w:cs="Times New Roman"/>
          <w:sz w:val="28"/>
          <w:szCs w:val="28"/>
        </w:rPr>
        <w:t>.4.</w:t>
      </w:r>
      <w:r w:rsidR="008B332D">
        <w:rPr>
          <w:rFonts w:ascii="Times New Roman" w:hAnsi="Times New Roman" w:cs="Times New Roman"/>
          <w:sz w:val="28"/>
          <w:szCs w:val="28"/>
        </w:rPr>
        <w:t>2</w:t>
      </w:r>
      <w:r w:rsidR="004B7E90">
        <w:rPr>
          <w:rFonts w:ascii="Times New Roman" w:hAnsi="Times New Roman" w:cs="Times New Roman"/>
          <w:sz w:val="28"/>
          <w:szCs w:val="28"/>
        </w:rPr>
        <w:t>. цифры «2,51%» заменить цифрами «2,5%»;</w:t>
      </w:r>
    </w:p>
    <w:p w14:paraId="0DAC011E" w14:textId="0BA98FF4" w:rsidR="00E251B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E6E">
        <w:rPr>
          <w:rFonts w:ascii="Times New Roman" w:hAnsi="Times New Roman" w:cs="Times New Roman"/>
          <w:sz w:val="28"/>
          <w:szCs w:val="28"/>
        </w:rPr>
        <w:t>. Приложение №</w:t>
      </w:r>
      <w:r w:rsidR="005842E2">
        <w:rPr>
          <w:rFonts w:ascii="Times New Roman" w:hAnsi="Times New Roman" w:cs="Times New Roman"/>
          <w:sz w:val="28"/>
          <w:szCs w:val="28"/>
        </w:rPr>
        <w:t xml:space="preserve"> </w:t>
      </w:r>
      <w:r w:rsidR="007A5E6E">
        <w:rPr>
          <w:rFonts w:ascii="Times New Roman" w:hAnsi="Times New Roman" w:cs="Times New Roman"/>
          <w:sz w:val="28"/>
          <w:szCs w:val="28"/>
        </w:rPr>
        <w:t xml:space="preserve">4 к Порядку изложить в редакции согласно </w:t>
      </w:r>
      <w:proofErr w:type="gramStart"/>
      <w:r w:rsidR="007A5E6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A5E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707FC">
        <w:rPr>
          <w:rFonts w:ascii="Times New Roman" w:hAnsi="Times New Roman" w:cs="Times New Roman"/>
          <w:sz w:val="28"/>
          <w:szCs w:val="28"/>
        </w:rPr>
        <w:t>.</w:t>
      </w:r>
    </w:p>
    <w:p w14:paraId="1FF270BB" w14:textId="0A94051C" w:rsidR="004B7E90" w:rsidRDefault="003E1507" w:rsidP="004B7E9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51B0">
        <w:rPr>
          <w:rFonts w:ascii="Times New Roman" w:hAnsi="Times New Roman" w:cs="Times New Roman"/>
          <w:sz w:val="28"/>
          <w:szCs w:val="28"/>
        </w:rPr>
        <w:t>. В</w:t>
      </w:r>
      <w:r w:rsidR="00E251B0" w:rsidRPr="00935DEC">
        <w:rPr>
          <w:rFonts w:ascii="Times New Roman" w:hAnsi="Times New Roman" w:cs="Times New Roman"/>
          <w:sz w:val="28"/>
          <w:szCs w:val="28"/>
        </w:rPr>
        <w:t xml:space="preserve"> </w:t>
      </w:r>
      <w:r w:rsidR="00E251B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707FC">
        <w:rPr>
          <w:rFonts w:ascii="Times New Roman" w:hAnsi="Times New Roman" w:cs="Times New Roman"/>
          <w:sz w:val="28"/>
          <w:szCs w:val="28"/>
        </w:rPr>
        <w:t>4</w:t>
      </w:r>
      <w:r w:rsidR="00E251B0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E251B0" w:rsidRPr="00935DEC">
        <w:rPr>
          <w:rFonts w:ascii="Times New Roman" w:hAnsi="Times New Roman" w:cs="Times New Roman"/>
          <w:sz w:val="28"/>
          <w:szCs w:val="28"/>
        </w:rPr>
        <w:t>Приложени</w:t>
      </w:r>
      <w:r w:rsidR="00E251B0">
        <w:rPr>
          <w:rFonts w:ascii="Times New Roman" w:hAnsi="Times New Roman" w:cs="Times New Roman"/>
          <w:sz w:val="28"/>
          <w:szCs w:val="28"/>
        </w:rPr>
        <w:t>я</w:t>
      </w:r>
      <w:r w:rsidR="00E251B0" w:rsidRPr="00935DEC">
        <w:rPr>
          <w:rFonts w:ascii="Times New Roman" w:hAnsi="Times New Roman" w:cs="Times New Roman"/>
          <w:sz w:val="28"/>
          <w:szCs w:val="28"/>
        </w:rPr>
        <w:t xml:space="preserve"> № </w:t>
      </w:r>
      <w:r w:rsidR="00E251B0">
        <w:rPr>
          <w:rFonts w:ascii="Times New Roman" w:hAnsi="Times New Roman" w:cs="Times New Roman"/>
          <w:sz w:val="28"/>
          <w:szCs w:val="28"/>
        </w:rPr>
        <w:t>5</w:t>
      </w:r>
      <w:r w:rsidR="00E251B0" w:rsidRPr="00935DEC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E251B0">
        <w:rPr>
          <w:rFonts w:ascii="Times New Roman" w:hAnsi="Times New Roman" w:cs="Times New Roman"/>
          <w:sz w:val="28"/>
          <w:szCs w:val="28"/>
        </w:rPr>
        <w:t xml:space="preserve"> цифры «3900,00» заменить цифрами «400</w:t>
      </w:r>
      <w:r w:rsidR="00F707FC">
        <w:rPr>
          <w:rFonts w:ascii="Times New Roman" w:hAnsi="Times New Roman" w:cs="Times New Roman"/>
          <w:sz w:val="28"/>
          <w:szCs w:val="28"/>
        </w:rPr>
        <w:t>0,00».</w:t>
      </w:r>
    </w:p>
    <w:bookmarkEnd w:id="1"/>
    <w:p w14:paraId="05A2A424" w14:textId="093F4850" w:rsidR="009E749A" w:rsidRPr="009E749A" w:rsidRDefault="003E1507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4F47" w:rsidRPr="009E749A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на </w:t>
      </w:r>
      <w:r w:rsidR="009E749A" w:rsidRPr="009E749A">
        <w:rPr>
          <w:rFonts w:ascii="Times New Roman" w:hAnsi="Times New Roman"/>
          <w:sz w:val="28"/>
          <w:szCs w:val="28"/>
        </w:rPr>
        <w:t>официальном сайте администрации городского округа Тольятти в информационно-телекоммуникационной сети «Интернет».</w:t>
      </w:r>
    </w:p>
    <w:p w14:paraId="4B7FBED6" w14:textId="142076F6" w:rsidR="00834F47" w:rsidRPr="00834F47" w:rsidRDefault="003E150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34F47">
        <w:rPr>
          <w:rFonts w:ascii="Times New Roman" w:hAnsi="Times New Roman"/>
          <w:sz w:val="28"/>
          <w:szCs w:val="28"/>
        </w:rPr>
        <w:t xml:space="preserve">. </w:t>
      </w:r>
      <w:r w:rsidR="00834F47" w:rsidRPr="00834F47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270ACE">
        <w:rPr>
          <w:rFonts w:ascii="Times New Roman" w:hAnsi="Times New Roman"/>
          <w:sz w:val="28"/>
          <w:szCs w:val="28"/>
        </w:rPr>
        <w:t xml:space="preserve"> и распространяют свое действие на </w:t>
      </w:r>
      <w:r w:rsidR="00F707FC">
        <w:rPr>
          <w:rFonts w:ascii="Times New Roman" w:hAnsi="Times New Roman"/>
          <w:sz w:val="28"/>
          <w:szCs w:val="28"/>
        </w:rPr>
        <w:t>право</w:t>
      </w:r>
      <w:r w:rsidR="00270ACE">
        <w:rPr>
          <w:rFonts w:ascii="Times New Roman" w:hAnsi="Times New Roman"/>
          <w:sz w:val="28"/>
          <w:szCs w:val="28"/>
        </w:rPr>
        <w:t>отношения, возникшие с 01.01.2026</w:t>
      </w:r>
      <w:r w:rsidR="00834F47" w:rsidRPr="00834F47">
        <w:rPr>
          <w:rFonts w:ascii="Times New Roman" w:hAnsi="Times New Roman"/>
          <w:sz w:val="28"/>
          <w:szCs w:val="28"/>
        </w:rPr>
        <w:t xml:space="preserve">. </w:t>
      </w:r>
    </w:p>
    <w:p w14:paraId="7EC8F5B3" w14:textId="48107FDD" w:rsidR="00834F47" w:rsidRPr="00834F47" w:rsidRDefault="003E150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4F47">
        <w:rPr>
          <w:rFonts w:ascii="Times New Roman" w:hAnsi="Times New Roman"/>
          <w:sz w:val="28"/>
          <w:szCs w:val="28"/>
        </w:rPr>
        <w:t xml:space="preserve">. </w:t>
      </w:r>
      <w:r w:rsidR="00834F47" w:rsidRPr="00834F4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FD5FE94" w14:textId="11F4A853" w:rsidR="00BD5269" w:rsidRDefault="00BD5269" w:rsidP="00834F47">
      <w:pPr>
        <w:pStyle w:val="ConsPlusNormal"/>
        <w:contextualSpacing/>
        <w:rPr>
          <w:sz w:val="28"/>
          <w:szCs w:val="28"/>
        </w:rPr>
      </w:pPr>
    </w:p>
    <w:p w14:paraId="71EA3990" w14:textId="41AF391B" w:rsidR="00270ACE" w:rsidRDefault="00270ACE" w:rsidP="00834F47">
      <w:pPr>
        <w:pStyle w:val="ConsPlusNormal"/>
        <w:contextualSpacing/>
        <w:rPr>
          <w:sz w:val="28"/>
          <w:szCs w:val="28"/>
        </w:rPr>
      </w:pPr>
    </w:p>
    <w:p w14:paraId="7A2E9AF2" w14:textId="77777777" w:rsidR="00270ACE" w:rsidRDefault="00270ACE" w:rsidP="00834F47">
      <w:pPr>
        <w:pStyle w:val="ConsPlusNormal"/>
        <w:contextualSpacing/>
        <w:rPr>
          <w:sz w:val="28"/>
          <w:szCs w:val="28"/>
        </w:rPr>
      </w:pPr>
    </w:p>
    <w:p w14:paraId="1C0D769C" w14:textId="25887AA6" w:rsidR="00834F47" w:rsidRDefault="00C4502A" w:rsidP="00834F47">
      <w:pPr>
        <w:pStyle w:val="ConsPlusNormal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834F47" w:rsidRPr="00AC301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4F4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834F47">
        <w:rPr>
          <w:sz w:val="28"/>
          <w:szCs w:val="28"/>
        </w:rPr>
        <w:t xml:space="preserve">              </w:t>
      </w:r>
      <w:proofErr w:type="spellStart"/>
      <w:r w:rsidR="00834F47">
        <w:rPr>
          <w:sz w:val="28"/>
          <w:szCs w:val="28"/>
        </w:rPr>
        <w:t>И.Г.Сухих</w:t>
      </w:r>
      <w:proofErr w:type="spellEnd"/>
      <w:r w:rsidR="00834F47" w:rsidRPr="00AC301D">
        <w:rPr>
          <w:sz w:val="28"/>
          <w:szCs w:val="28"/>
        </w:rPr>
        <w:t xml:space="preserve">                                                                      </w:t>
      </w:r>
    </w:p>
    <w:p w14:paraId="4B8C0B66" w14:textId="77777777" w:rsidR="00834F47" w:rsidRDefault="00834F47" w:rsidP="00834F47">
      <w:pPr>
        <w:pStyle w:val="ConsPlusNormal"/>
        <w:contextualSpacing/>
        <w:rPr>
          <w:sz w:val="28"/>
          <w:szCs w:val="28"/>
        </w:rPr>
      </w:pPr>
      <w:r w:rsidRPr="00AC301D">
        <w:rPr>
          <w:sz w:val="28"/>
          <w:szCs w:val="28"/>
        </w:rPr>
        <w:t xml:space="preserve">городского округа                                                        </w:t>
      </w:r>
    </w:p>
    <w:p w14:paraId="03EE0055" w14:textId="77777777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2EAC65C" w14:textId="00416B92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C87563" w14:textId="36BE5991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F7EEC70" w14:textId="03415996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167B3F" w14:textId="62832316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BE5F5DB" w14:textId="2015BDDC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215897" w14:textId="0350977D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5D048FD" w14:textId="628CDCB0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0FB476B" w14:textId="52EFBAE6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1E1DA07" w14:textId="60761B87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E0AF3D8" w14:textId="75396B39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6D36E08" w14:textId="6830FA5A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A01398B" w14:textId="5C096415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F516A9E" w14:textId="21742C4E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0D47E63" w14:textId="73014B77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3B91A95" w14:textId="3F3D7901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4580204" w14:textId="2F522773" w:rsidR="00817971" w:rsidRDefault="00817971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7FAF4FF" w14:textId="39388072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городского округа Тольятти </w:t>
      </w:r>
    </w:p>
    <w:p w14:paraId="0195C471" w14:textId="77777777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№        </w:t>
      </w:r>
      <w:r w:rsidR="00FC3341" w:rsidRPr="003130E2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от                  </w:t>
      </w:r>
      <w:proofErr w:type="gramStart"/>
      <w:r w:rsidRPr="003130E2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699DC272" w14:textId="77777777" w:rsidR="00DD761F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</w:rPr>
      </w:pPr>
    </w:p>
    <w:p w14:paraId="64396D60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 xml:space="preserve">Приложение № 4 </w:t>
      </w:r>
    </w:p>
    <w:p w14:paraId="0A25D8A4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>к Порядку</w:t>
      </w:r>
    </w:p>
    <w:p w14:paraId="52569815" w14:textId="5B12D4A0" w:rsidR="00DD761F" w:rsidRDefault="00DD761F" w:rsidP="00FA6D51">
      <w:pPr>
        <w:pStyle w:val="ConsPlusNormal"/>
        <w:ind w:left="5387"/>
        <w:jc w:val="right"/>
        <w:rPr>
          <w:szCs w:val="24"/>
        </w:rPr>
      </w:pPr>
      <w:r w:rsidRPr="008D5A97">
        <w:rPr>
          <w:szCs w:val="24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F74410">
        <w:rPr>
          <w:szCs w:val="24"/>
        </w:rPr>
        <w:t>,</w:t>
      </w:r>
      <w:r w:rsidRPr="008D5A97">
        <w:rPr>
          <w:szCs w:val="24"/>
        </w:rPr>
        <w:t xml:space="preserve"> и проведени</w:t>
      </w:r>
      <w:r w:rsidR="00F74410">
        <w:rPr>
          <w:szCs w:val="24"/>
        </w:rPr>
        <w:t>я</w:t>
      </w:r>
      <w:r w:rsidRPr="008D5A97">
        <w:rPr>
          <w:szCs w:val="24"/>
        </w:rPr>
        <w:t xml:space="preserve"> отбора получателей указанных субсидий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6117"/>
      </w:tblGrid>
      <w:tr w:rsidR="00DD761F" w14:paraId="0365DD25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15397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bookmarkStart w:id="2" w:name="P649"/>
            <w:bookmarkEnd w:id="2"/>
            <w:r>
              <w:rPr>
                <w:szCs w:val="24"/>
              </w:rPr>
              <w:t>Отчет о затратах,</w:t>
            </w:r>
          </w:p>
          <w:p w14:paraId="4C4B64C6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67EE96A1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E1866A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"        " __________________________             г. </w:t>
            </w:r>
            <w:hyperlink w:anchor="P877" w:tooltip="#P877" w:history="1">
              <w:r>
                <w:rPr>
                  <w:color w:val="0000FF"/>
                  <w:szCs w:val="24"/>
                </w:rPr>
                <w:t>&lt;1&gt;</w:t>
              </w:r>
            </w:hyperlink>
          </w:p>
        </w:tc>
      </w:tr>
      <w:tr w:rsidR="00DD761F" w14:paraId="3E01E9D8" w14:textId="77777777" w:rsidTr="001E7BCA">
        <w:tc>
          <w:tcPr>
            <w:tcW w:w="2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FFD2F4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Получателя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4CC3D8" w14:textId="77777777" w:rsidR="00DD761F" w:rsidRDefault="00DD761F" w:rsidP="001E7BCA">
            <w:pPr>
              <w:pStyle w:val="ConsPlusNormal"/>
              <w:rPr>
                <w:szCs w:val="24"/>
              </w:rPr>
            </w:pPr>
          </w:p>
        </w:tc>
      </w:tr>
      <w:tr w:rsidR="00DD761F" w14:paraId="202A1392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4DC08" w14:textId="77777777" w:rsidR="00DD761F" w:rsidRDefault="00DD761F" w:rsidP="001E7BCA">
            <w:pPr>
              <w:pStyle w:val="ConsPlusNormal"/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Периодичность: </w:t>
            </w:r>
            <w:r w:rsidRPr="00FF063D">
              <w:rPr>
                <w:szCs w:val="24"/>
              </w:rPr>
              <w:t>месячная</w:t>
            </w:r>
            <w:r>
              <w:rPr>
                <w:szCs w:val="24"/>
              </w:rPr>
              <w:t>/</w:t>
            </w:r>
            <w:r w:rsidRPr="007A5E6E">
              <w:rPr>
                <w:i/>
                <w:szCs w:val="24"/>
                <w:u w:val="single"/>
              </w:rPr>
              <w:t>квартальная/</w:t>
            </w:r>
            <w:r w:rsidRPr="00526107">
              <w:rPr>
                <w:szCs w:val="24"/>
              </w:rPr>
              <w:t>годовая</w:t>
            </w:r>
          </w:p>
        </w:tc>
      </w:tr>
      <w:tr w:rsidR="00DD761F" w14:paraId="1B66F2B3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3D9AC3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Единица измерения: рубль (с точностью до второго десятичного знака)</w:t>
            </w:r>
          </w:p>
        </w:tc>
      </w:tr>
    </w:tbl>
    <w:p w14:paraId="577977EB" w14:textId="77777777" w:rsidR="00DD761F" w:rsidRDefault="00DD761F" w:rsidP="00DD761F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1191"/>
        <w:gridCol w:w="340"/>
        <w:gridCol w:w="340"/>
        <w:gridCol w:w="970"/>
        <w:gridCol w:w="397"/>
        <w:gridCol w:w="453"/>
        <w:gridCol w:w="908"/>
        <w:gridCol w:w="340"/>
        <w:gridCol w:w="595"/>
        <w:gridCol w:w="2013"/>
        <w:gridCol w:w="198"/>
      </w:tblGrid>
      <w:tr w:rsidR="00DD761F" w14:paraId="78473A31" w14:textId="77777777" w:rsidTr="001E7BCA">
        <w:tc>
          <w:tcPr>
            <w:tcW w:w="5307" w:type="dxa"/>
            <w:gridSpan w:val="7"/>
            <w:vMerge w:val="restart"/>
          </w:tcPr>
          <w:p w14:paraId="69FA69B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4054" w:type="dxa"/>
            <w:gridSpan w:val="5"/>
          </w:tcPr>
          <w:p w14:paraId="46B71256" w14:textId="77777777" w:rsidR="00DD761F" w:rsidRDefault="00DD761F" w:rsidP="001E7BCA">
            <w:pPr>
              <w:pStyle w:val="ConsPlusNormal"/>
              <w:ind w:left="58"/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DD761F" w14:paraId="4DBAEA28" w14:textId="77777777" w:rsidTr="001E7BCA">
        <w:tc>
          <w:tcPr>
            <w:tcW w:w="5307" w:type="dxa"/>
            <w:gridSpan w:val="7"/>
            <w:vMerge/>
          </w:tcPr>
          <w:p w14:paraId="5F90588B" w14:textId="77777777" w:rsidR="00DD761F" w:rsidRDefault="00DD761F" w:rsidP="001E7BC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FA1B851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отчетный период</w:t>
            </w:r>
          </w:p>
        </w:tc>
        <w:tc>
          <w:tcPr>
            <w:tcW w:w="2211" w:type="dxa"/>
            <w:gridSpan w:val="2"/>
          </w:tcPr>
          <w:p w14:paraId="3A28E3E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нарастающим итогом с начала года</w:t>
            </w:r>
          </w:p>
        </w:tc>
      </w:tr>
      <w:tr w:rsidR="00DD761F" w14:paraId="0FE44BB8" w14:textId="77777777" w:rsidTr="001E7BCA">
        <w:tc>
          <w:tcPr>
            <w:tcW w:w="5307" w:type="dxa"/>
            <w:gridSpan w:val="7"/>
          </w:tcPr>
          <w:p w14:paraId="16B5DBF2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</w:tcPr>
          <w:p w14:paraId="59C39D77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11" w:type="dxa"/>
            <w:gridSpan w:val="2"/>
          </w:tcPr>
          <w:p w14:paraId="407CD42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D761F" w14:paraId="640797BB" w14:textId="77777777" w:rsidTr="001E7BCA">
        <w:tc>
          <w:tcPr>
            <w:tcW w:w="5307" w:type="dxa"/>
            <w:gridSpan w:val="7"/>
          </w:tcPr>
          <w:p w14:paraId="44397A01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Поступило средств, всего:</w:t>
            </w:r>
          </w:p>
        </w:tc>
        <w:tc>
          <w:tcPr>
            <w:tcW w:w="1843" w:type="dxa"/>
            <w:gridSpan w:val="3"/>
          </w:tcPr>
          <w:p w14:paraId="6C0A5FFD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65114EC4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5837C756" w14:textId="77777777" w:rsidTr="001E7BCA">
        <w:tc>
          <w:tcPr>
            <w:tcW w:w="5307" w:type="dxa"/>
            <w:gridSpan w:val="7"/>
          </w:tcPr>
          <w:p w14:paraId="1254DBAB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 том числе:</w:t>
            </w:r>
          </w:p>
          <w:p w14:paraId="5C7BF6D3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из бюджета городского округа Тольятти</w:t>
            </w:r>
          </w:p>
        </w:tc>
        <w:tc>
          <w:tcPr>
            <w:tcW w:w="1843" w:type="dxa"/>
            <w:gridSpan w:val="3"/>
          </w:tcPr>
          <w:p w14:paraId="1AB8F657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44CF1A7B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230F5C32" w14:textId="77777777" w:rsidTr="001E7BCA">
        <w:tc>
          <w:tcPr>
            <w:tcW w:w="5307" w:type="dxa"/>
            <w:gridSpan w:val="7"/>
          </w:tcPr>
          <w:p w14:paraId="6EE7023C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Выплаты по расходам, всего:</w:t>
            </w:r>
          </w:p>
        </w:tc>
        <w:tc>
          <w:tcPr>
            <w:tcW w:w="1843" w:type="dxa"/>
            <w:gridSpan w:val="3"/>
          </w:tcPr>
          <w:p w14:paraId="2F4DA96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516822E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471BA234" w14:textId="77777777" w:rsidTr="001E7BCA">
        <w:tc>
          <w:tcPr>
            <w:tcW w:w="5307" w:type="dxa"/>
            <w:gridSpan w:val="7"/>
          </w:tcPr>
          <w:p w14:paraId="1F50BC10" w14:textId="77777777" w:rsidR="00DD761F" w:rsidRPr="00DD761F" w:rsidRDefault="00DD761F" w:rsidP="001E7BCA">
            <w:pPr>
              <w:pStyle w:val="ConsPlusNormal"/>
              <w:rPr>
                <w:i/>
                <w:szCs w:val="24"/>
              </w:rPr>
            </w:pPr>
            <w:r w:rsidRPr="00DD761F">
              <w:rPr>
                <w:i/>
                <w:szCs w:val="24"/>
              </w:rPr>
              <w:t>в том числе:</w:t>
            </w:r>
          </w:p>
        </w:tc>
        <w:tc>
          <w:tcPr>
            <w:tcW w:w="1843" w:type="dxa"/>
            <w:gridSpan w:val="3"/>
          </w:tcPr>
          <w:p w14:paraId="774B79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58A564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73AFCE01" w14:textId="77777777" w:rsidTr="001E7BCA">
        <w:tc>
          <w:tcPr>
            <w:tcW w:w="5307" w:type="dxa"/>
            <w:gridSpan w:val="7"/>
          </w:tcPr>
          <w:p w14:paraId="0A2A6D46" w14:textId="77777777" w:rsidR="00DD761F" w:rsidRPr="00004C62" w:rsidRDefault="003130E2" w:rsidP="003130E2">
            <w:pPr>
              <w:pStyle w:val="ConsPlusNormal"/>
              <w:rPr>
                <w:szCs w:val="24"/>
              </w:rPr>
            </w:pPr>
            <w:r w:rsidRPr="00004C62">
              <w:rPr>
                <w:szCs w:val="24"/>
              </w:rPr>
              <w:t>Оплата услуг по поиску и подбору кандидатов для заключения контракта с Вооруженными Силами Российской Федерации о прохождении военной службы (с участием в специальной военной операции) в военных комиссариатах города Тольятти</w:t>
            </w:r>
          </w:p>
        </w:tc>
        <w:tc>
          <w:tcPr>
            <w:tcW w:w="1843" w:type="dxa"/>
            <w:gridSpan w:val="3"/>
          </w:tcPr>
          <w:p w14:paraId="18AEDB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730BC2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850B872" w14:textId="77777777" w:rsidTr="001E7BCA">
        <w:tc>
          <w:tcPr>
            <w:tcW w:w="5307" w:type="dxa"/>
            <w:gridSpan w:val="7"/>
          </w:tcPr>
          <w:p w14:paraId="3A7EFD64" w14:textId="442DC9C1" w:rsidR="008D5A97" w:rsidRPr="00004C62" w:rsidRDefault="00632D8F" w:rsidP="00556082">
            <w:pPr>
              <w:pStyle w:val="ConsPlusNormal"/>
              <w:rPr>
                <w:color w:val="4F81BD" w:themeColor="accent1"/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632D8F">
              <w:rPr>
                <w:szCs w:val="24"/>
              </w:rPr>
              <w:t>плат</w:t>
            </w:r>
            <w:r>
              <w:rPr>
                <w:szCs w:val="24"/>
              </w:rPr>
              <w:t>а</w:t>
            </w:r>
            <w:r w:rsidRPr="00632D8F">
              <w:rPr>
                <w:szCs w:val="24"/>
              </w:rPr>
              <w:t xml:space="preserve"> 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городского округа Тольят</w:t>
            </w:r>
            <w:r w:rsidR="00556082">
              <w:rPr>
                <w:szCs w:val="24"/>
              </w:rPr>
              <w:t>ти и</w:t>
            </w:r>
            <w:r w:rsidRPr="00632D8F">
              <w:rPr>
                <w:szCs w:val="24"/>
              </w:rPr>
              <w:t xml:space="preserve"> военных комиссариатов города Тольятти до места прохождения медицинского освидетельствования и медицинского обследования и обратно, места заключения контракта</w:t>
            </w:r>
            <w:r w:rsidRPr="008A5224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4CBB71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3B3444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7A192EB" w14:textId="77777777" w:rsidTr="001E7BCA">
        <w:tc>
          <w:tcPr>
            <w:tcW w:w="5307" w:type="dxa"/>
            <w:gridSpan w:val="7"/>
          </w:tcPr>
          <w:p w14:paraId="3BC0B98B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Выплаты персоналу, всего:</w:t>
            </w:r>
          </w:p>
        </w:tc>
        <w:tc>
          <w:tcPr>
            <w:tcW w:w="1843" w:type="dxa"/>
            <w:gridSpan w:val="3"/>
          </w:tcPr>
          <w:p w14:paraId="6B9AD1F3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2D7549E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CCAA68D" w14:textId="77777777" w:rsidTr="001E7BCA">
        <w:tc>
          <w:tcPr>
            <w:tcW w:w="5307" w:type="dxa"/>
            <w:gridSpan w:val="7"/>
          </w:tcPr>
          <w:p w14:paraId="5C8DECFA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4BC928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7F1391B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7885D3A" w14:textId="77777777" w:rsidTr="001E7BCA">
        <w:tc>
          <w:tcPr>
            <w:tcW w:w="5307" w:type="dxa"/>
            <w:gridSpan w:val="7"/>
          </w:tcPr>
          <w:p w14:paraId="75642D2F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по трудовому договору</w:t>
            </w:r>
          </w:p>
        </w:tc>
        <w:tc>
          <w:tcPr>
            <w:tcW w:w="1843" w:type="dxa"/>
            <w:gridSpan w:val="3"/>
          </w:tcPr>
          <w:p w14:paraId="1F266C9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020DB4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3BB5A24" w14:textId="77777777" w:rsidTr="001E7BCA">
        <w:tc>
          <w:tcPr>
            <w:tcW w:w="5307" w:type="dxa"/>
            <w:gridSpan w:val="7"/>
          </w:tcPr>
          <w:p w14:paraId="356D434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Начисления на оплату труда</w:t>
            </w:r>
          </w:p>
        </w:tc>
        <w:tc>
          <w:tcPr>
            <w:tcW w:w="1843" w:type="dxa"/>
            <w:gridSpan w:val="3"/>
          </w:tcPr>
          <w:p w14:paraId="3BBAC00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65A018" w14:textId="77777777" w:rsidR="008D5A97" w:rsidRPr="00FF063D" w:rsidRDefault="008D5A97" w:rsidP="008D5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A97" w14:paraId="26B50198" w14:textId="77777777" w:rsidTr="001E7BCA">
        <w:tc>
          <w:tcPr>
            <w:tcW w:w="5307" w:type="dxa"/>
            <w:gridSpan w:val="7"/>
          </w:tcPr>
          <w:p w14:paraId="457DCB01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Закупка работ и услуг, всего:</w:t>
            </w:r>
          </w:p>
        </w:tc>
        <w:tc>
          <w:tcPr>
            <w:tcW w:w="1843" w:type="dxa"/>
            <w:gridSpan w:val="3"/>
          </w:tcPr>
          <w:p w14:paraId="05E1BA7C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3FBBE7B6" w14:textId="77777777" w:rsidR="008D5A97" w:rsidRDefault="008D5A97" w:rsidP="008D5A97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8D5A97" w14:paraId="2621AA99" w14:textId="77777777" w:rsidTr="001E7BCA">
        <w:tc>
          <w:tcPr>
            <w:tcW w:w="5307" w:type="dxa"/>
            <w:gridSpan w:val="7"/>
          </w:tcPr>
          <w:p w14:paraId="090ADAD8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007A53E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6FF1B109" w14:textId="77777777" w:rsidR="008D5A97" w:rsidRPr="00B433D8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7E42ABF" w14:textId="77777777" w:rsidTr="001E7BCA">
        <w:tc>
          <w:tcPr>
            <w:tcW w:w="5307" w:type="dxa"/>
            <w:gridSpan w:val="7"/>
          </w:tcPr>
          <w:p w14:paraId="749A660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банковских услуг:</w:t>
            </w:r>
          </w:p>
        </w:tc>
        <w:tc>
          <w:tcPr>
            <w:tcW w:w="1843" w:type="dxa"/>
            <w:gridSpan w:val="3"/>
          </w:tcPr>
          <w:p w14:paraId="624A02F2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4C5FF26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8EB7960" w14:textId="77777777" w:rsidTr="001E7BCA">
        <w:tc>
          <w:tcPr>
            <w:tcW w:w="5307" w:type="dxa"/>
            <w:gridSpan w:val="7"/>
          </w:tcPr>
          <w:p w14:paraId="2748B17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t>Оплата почтовой связи:</w:t>
            </w:r>
          </w:p>
        </w:tc>
        <w:tc>
          <w:tcPr>
            <w:tcW w:w="1843" w:type="dxa"/>
            <w:gridSpan w:val="3"/>
          </w:tcPr>
          <w:p w14:paraId="2ACDC28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32AD99A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70ACE" w14:paraId="1C9F4723" w14:textId="77777777" w:rsidTr="001E7BCA">
        <w:tc>
          <w:tcPr>
            <w:tcW w:w="5307" w:type="dxa"/>
            <w:gridSpan w:val="7"/>
          </w:tcPr>
          <w:p w14:paraId="783C069E" w14:textId="68B8D1C9" w:rsidR="00270ACE" w:rsidRPr="00DD761F" w:rsidRDefault="00E2333C" w:rsidP="00E2333C">
            <w:pPr>
              <w:pStyle w:val="ConsPlusNormal"/>
            </w:pPr>
            <w:r>
              <w:t>Оплата к</w:t>
            </w:r>
            <w:r w:rsidR="00270ACE" w:rsidRPr="00270ACE">
              <w:t>анцелярски</w:t>
            </w:r>
            <w:r>
              <w:t>х</w:t>
            </w:r>
            <w:r w:rsidR="00270ACE" w:rsidRPr="00270ACE">
              <w:t xml:space="preserve"> товар</w:t>
            </w:r>
            <w:r>
              <w:t>ов:</w:t>
            </w:r>
            <w:r w:rsidR="00270A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1D6E63E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1C4BA255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70ACE" w14:paraId="4E8AE4B8" w14:textId="77777777" w:rsidTr="001E7BCA">
        <w:tc>
          <w:tcPr>
            <w:tcW w:w="5307" w:type="dxa"/>
            <w:gridSpan w:val="7"/>
          </w:tcPr>
          <w:p w14:paraId="131AE7A9" w14:textId="1554F8F8" w:rsidR="00270ACE" w:rsidRPr="00DD761F" w:rsidRDefault="00270ACE" w:rsidP="00270ACE">
            <w:pPr>
              <w:pStyle w:val="ConsPlusNormal"/>
            </w:pPr>
            <w:r w:rsidRPr="00270ACE">
              <w:t>Обслуживание оргтехники</w:t>
            </w:r>
            <w:r w:rsidR="00E2333C">
              <w:t>:</w:t>
            </w:r>
          </w:p>
        </w:tc>
        <w:tc>
          <w:tcPr>
            <w:tcW w:w="1843" w:type="dxa"/>
            <w:gridSpan w:val="3"/>
          </w:tcPr>
          <w:p w14:paraId="0A35FF10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5486B2EC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70ACE" w14:paraId="7FD4300B" w14:textId="77777777" w:rsidTr="001E7BCA">
        <w:tc>
          <w:tcPr>
            <w:tcW w:w="5307" w:type="dxa"/>
            <w:gridSpan w:val="7"/>
          </w:tcPr>
          <w:p w14:paraId="1FB6D774" w14:textId="7698B2DE" w:rsidR="00FA6D51" w:rsidRDefault="00FA6D51" w:rsidP="00FA6D51">
            <w:pPr>
              <w:pStyle w:val="ConsPlusNormal"/>
            </w:pPr>
            <w:r>
              <w:t>Оплата р</w:t>
            </w:r>
            <w:r w:rsidRPr="00FA6D51">
              <w:t>асход</w:t>
            </w:r>
            <w:r>
              <w:t>ов</w:t>
            </w:r>
            <w:r w:rsidRPr="00FA6D51">
              <w:t xml:space="preserve"> на обеспечение обмена </w:t>
            </w:r>
          </w:p>
          <w:p w14:paraId="7926731F" w14:textId="3A4FBA9C" w:rsidR="00270ACE" w:rsidRPr="00DD761F" w:rsidRDefault="00FA6D51" w:rsidP="00FA6D51">
            <w:pPr>
              <w:pStyle w:val="ConsPlusNormal"/>
            </w:pPr>
            <w:r w:rsidRPr="00FA6D51">
              <w:t>электронными документами:</w:t>
            </w:r>
            <w:r>
              <w:t xml:space="preserve"> </w:t>
            </w:r>
          </w:p>
        </w:tc>
        <w:tc>
          <w:tcPr>
            <w:tcW w:w="1843" w:type="dxa"/>
            <w:gridSpan w:val="3"/>
          </w:tcPr>
          <w:p w14:paraId="531B6246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5C95F490" w14:textId="77777777" w:rsidR="00270ACE" w:rsidRDefault="00270ACE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DB89F29" w14:textId="77777777" w:rsidTr="001E7BCA">
        <w:tc>
          <w:tcPr>
            <w:tcW w:w="5307" w:type="dxa"/>
            <w:gridSpan w:val="7"/>
          </w:tcPr>
          <w:p w14:paraId="0C9C21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843" w:type="dxa"/>
            <w:gridSpan w:val="3"/>
          </w:tcPr>
          <w:p w14:paraId="5CADE7D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16A4DCD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053489" w14:textId="77777777" w:rsidTr="001E7BCA">
        <w:tc>
          <w:tcPr>
            <w:tcW w:w="5307" w:type="dxa"/>
            <w:gridSpan w:val="7"/>
          </w:tcPr>
          <w:p w14:paraId="3EBEC22F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3130E2">
              <w:rPr>
                <w:i/>
                <w:szCs w:val="24"/>
              </w:rPr>
              <w:t>в том числе:</w:t>
            </w:r>
          </w:p>
          <w:p w14:paraId="28FFC57E" w14:textId="0FAD6DA3" w:rsidR="008D5A97" w:rsidRDefault="008D5A97" w:rsidP="00E233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требуется в направлении на те же цели</w:t>
            </w:r>
          </w:p>
        </w:tc>
        <w:tc>
          <w:tcPr>
            <w:tcW w:w="1843" w:type="dxa"/>
            <w:gridSpan w:val="3"/>
          </w:tcPr>
          <w:p w14:paraId="77482965" w14:textId="77777777" w:rsidR="008D5A97" w:rsidRPr="004D5A33" w:rsidRDefault="008D5A97" w:rsidP="008D5A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</w:tcPr>
          <w:p w14:paraId="2668F17E" w14:textId="77777777" w:rsidR="008D5A97" w:rsidRDefault="008D5A97" w:rsidP="008D5A97">
            <w:pPr>
              <w:jc w:val="center"/>
            </w:pPr>
          </w:p>
        </w:tc>
      </w:tr>
      <w:tr w:rsidR="008D5A97" w14:paraId="173B6F6E" w14:textId="77777777" w:rsidTr="001E7BCA">
        <w:tc>
          <w:tcPr>
            <w:tcW w:w="5307" w:type="dxa"/>
            <w:gridSpan w:val="7"/>
          </w:tcPr>
          <w:p w14:paraId="08029E73" w14:textId="6C8D825F" w:rsidR="008D5A97" w:rsidRDefault="008D5A97" w:rsidP="00E233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подлежит возврату в бюджет городского округа</w:t>
            </w:r>
          </w:p>
        </w:tc>
        <w:tc>
          <w:tcPr>
            <w:tcW w:w="1843" w:type="dxa"/>
            <w:gridSpan w:val="3"/>
          </w:tcPr>
          <w:p w14:paraId="6785585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19A4AF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67CF4D01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DE9965" w14:textId="592FC506" w:rsidR="008D5A97" w:rsidRDefault="008D5A97" w:rsidP="00935DE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</w:t>
            </w:r>
          </w:p>
        </w:tc>
        <w:tc>
          <w:tcPr>
            <w:tcW w:w="16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BAF9175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6C0036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F50CEC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19030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96FF5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814E148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C9FE60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3068A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B252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3D579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56BA9D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41F9B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1DFAEA25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1342CC" w14:textId="77777777" w:rsidR="008D5A97" w:rsidRDefault="008D5A97" w:rsidP="008D5A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F67C6E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10463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362F6B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0781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2B0210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645E2D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F5481C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DC3CA2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0EB9E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FE2BA7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DD9EF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28B99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5A24E097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916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4434E0" w14:textId="77777777" w:rsidR="00E2333C" w:rsidRDefault="008D5A97" w:rsidP="00E2333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"_____" __________ 20____ г.</w:t>
            </w:r>
          </w:p>
          <w:p w14:paraId="5C7D9E0B" w14:textId="5D189EBC" w:rsidR="00935DEC" w:rsidRPr="005D645B" w:rsidRDefault="00935DEC" w:rsidP="0039760A">
            <w:pPr>
              <w:pStyle w:val="ConsPlusNormal"/>
              <w:jc w:val="both"/>
              <w:rPr>
                <w:sz w:val="22"/>
                <w:szCs w:val="22"/>
              </w:rPr>
            </w:pPr>
            <w:r w:rsidRPr="005D645B">
              <w:rPr>
                <w:sz w:val="22"/>
                <w:szCs w:val="22"/>
              </w:rPr>
              <w:t xml:space="preserve">&lt;1&gt; Настоящий отчет составляется нарастающим </w:t>
            </w:r>
            <w:r w:rsidR="00F90938">
              <w:rPr>
                <w:sz w:val="22"/>
                <w:szCs w:val="22"/>
              </w:rPr>
              <w:t>и</w:t>
            </w:r>
            <w:r w:rsidRPr="005D645B">
              <w:rPr>
                <w:sz w:val="22"/>
                <w:szCs w:val="22"/>
              </w:rPr>
              <w:t>тогом с начала текущего финансового года.</w:t>
            </w:r>
            <w:r w:rsidR="00BD5269" w:rsidRPr="005D645B">
              <w:rPr>
                <w:sz w:val="22"/>
                <w:szCs w:val="22"/>
              </w:rPr>
              <w:t xml:space="preserve"> </w:t>
            </w:r>
          </w:p>
        </w:tc>
      </w:tr>
    </w:tbl>
    <w:p w14:paraId="046D7D1B" w14:textId="77777777" w:rsidR="0039760A" w:rsidRDefault="0039760A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bookmarkStart w:id="3" w:name="P877"/>
      <w:bookmarkEnd w:id="3"/>
    </w:p>
    <w:sectPr w:rsidR="0039760A" w:rsidSect="007A5E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AB1"/>
    <w:multiLevelType w:val="multilevel"/>
    <w:tmpl w:val="D19AB0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Theme="minorHAnsi" w:hAnsiTheme="minorHAnsi" w:hint="default"/>
      </w:rPr>
    </w:lvl>
  </w:abstractNum>
  <w:abstractNum w:abstractNumId="1" w15:restartNumberingAfterBreak="0">
    <w:nsid w:val="5CC66AEC"/>
    <w:multiLevelType w:val="multilevel"/>
    <w:tmpl w:val="18E8DA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95B729E"/>
    <w:multiLevelType w:val="hybridMultilevel"/>
    <w:tmpl w:val="877E6E30"/>
    <w:lvl w:ilvl="0" w:tplc="252A3CD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F3E"/>
    <w:rsid w:val="0000091B"/>
    <w:rsid w:val="000017BF"/>
    <w:rsid w:val="00004C62"/>
    <w:rsid w:val="00007349"/>
    <w:rsid w:val="000119DC"/>
    <w:rsid w:val="00015493"/>
    <w:rsid w:val="00031167"/>
    <w:rsid w:val="000369D9"/>
    <w:rsid w:val="0003778F"/>
    <w:rsid w:val="00041D6A"/>
    <w:rsid w:val="00041FDC"/>
    <w:rsid w:val="00042930"/>
    <w:rsid w:val="00051B2A"/>
    <w:rsid w:val="00053A2C"/>
    <w:rsid w:val="00070EEB"/>
    <w:rsid w:val="00072313"/>
    <w:rsid w:val="00073C2F"/>
    <w:rsid w:val="000A27E2"/>
    <w:rsid w:val="000A66FE"/>
    <w:rsid w:val="000B2FFD"/>
    <w:rsid w:val="000B5401"/>
    <w:rsid w:val="000C017E"/>
    <w:rsid w:val="000C5DEE"/>
    <w:rsid w:val="000D2C95"/>
    <w:rsid w:val="000E1247"/>
    <w:rsid w:val="000E5EF8"/>
    <w:rsid w:val="000E607A"/>
    <w:rsid w:val="000E6601"/>
    <w:rsid w:val="000E6833"/>
    <w:rsid w:val="000F2174"/>
    <w:rsid w:val="001079A7"/>
    <w:rsid w:val="00110291"/>
    <w:rsid w:val="0011202A"/>
    <w:rsid w:val="00116791"/>
    <w:rsid w:val="001210AE"/>
    <w:rsid w:val="001217E3"/>
    <w:rsid w:val="0013763D"/>
    <w:rsid w:val="00151011"/>
    <w:rsid w:val="00152DEE"/>
    <w:rsid w:val="00155FD5"/>
    <w:rsid w:val="00162FF2"/>
    <w:rsid w:val="00163D43"/>
    <w:rsid w:val="00175E14"/>
    <w:rsid w:val="00184D13"/>
    <w:rsid w:val="00185C8F"/>
    <w:rsid w:val="001A0166"/>
    <w:rsid w:val="001A03A7"/>
    <w:rsid w:val="001A24ED"/>
    <w:rsid w:val="001A402F"/>
    <w:rsid w:val="001A413C"/>
    <w:rsid w:val="001A6693"/>
    <w:rsid w:val="001B5A42"/>
    <w:rsid w:val="001B5ECD"/>
    <w:rsid w:val="001B6547"/>
    <w:rsid w:val="001E27F2"/>
    <w:rsid w:val="001E5978"/>
    <w:rsid w:val="001E6EAC"/>
    <w:rsid w:val="001F21D6"/>
    <w:rsid w:val="001F7B67"/>
    <w:rsid w:val="0022049B"/>
    <w:rsid w:val="00222A35"/>
    <w:rsid w:val="00225928"/>
    <w:rsid w:val="00227264"/>
    <w:rsid w:val="00231DDB"/>
    <w:rsid w:val="002404D6"/>
    <w:rsid w:val="0024273D"/>
    <w:rsid w:val="002446DA"/>
    <w:rsid w:val="00245CBD"/>
    <w:rsid w:val="002464BB"/>
    <w:rsid w:val="00255A59"/>
    <w:rsid w:val="00265567"/>
    <w:rsid w:val="00270ACE"/>
    <w:rsid w:val="00274408"/>
    <w:rsid w:val="00285BC8"/>
    <w:rsid w:val="00296B3F"/>
    <w:rsid w:val="002977A1"/>
    <w:rsid w:val="002A2F24"/>
    <w:rsid w:val="002A30B2"/>
    <w:rsid w:val="002B3960"/>
    <w:rsid w:val="002B637C"/>
    <w:rsid w:val="002C2759"/>
    <w:rsid w:val="002C7E3E"/>
    <w:rsid w:val="002D51F6"/>
    <w:rsid w:val="002D68C8"/>
    <w:rsid w:val="002F11FD"/>
    <w:rsid w:val="0030105E"/>
    <w:rsid w:val="003130E2"/>
    <w:rsid w:val="00327F2B"/>
    <w:rsid w:val="0033268C"/>
    <w:rsid w:val="0034546C"/>
    <w:rsid w:val="0036098A"/>
    <w:rsid w:val="00366B8A"/>
    <w:rsid w:val="0037147A"/>
    <w:rsid w:val="003823EA"/>
    <w:rsid w:val="00383761"/>
    <w:rsid w:val="003950BC"/>
    <w:rsid w:val="0039760A"/>
    <w:rsid w:val="003A0E7A"/>
    <w:rsid w:val="003A2B82"/>
    <w:rsid w:val="003C2569"/>
    <w:rsid w:val="003C764F"/>
    <w:rsid w:val="003D3421"/>
    <w:rsid w:val="003D4933"/>
    <w:rsid w:val="003E1056"/>
    <w:rsid w:val="003E1507"/>
    <w:rsid w:val="003E3F80"/>
    <w:rsid w:val="003E4D1E"/>
    <w:rsid w:val="003E6867"/>
    <w:rsid w:val="00412943"/>
    <w:rsid w:val="00423629"/>
    <w:rsid w:val="00435E53"/>
    <w:rsid w:val="00452EA2"/>
    <w:rsid w:val="0045594F"/>
    <w:rsid w:val="004724C4"/>
    <w:rsid w:val="00473B63"/>
    <w:rsid w:val="00480D8F"/>
    <w:rsid w:val="00482736"/>
    <w:rsid w:val="00490D3C"/>
    <w:rsid w:val="00492348"/>
    <w:rsid w:val="00494E12"/>
    <w:rsid w:val="0049512E"/>
    <w:rsid w:val="0049780F"/>
    <w:rsid w:val="00497870"/>
    <w:rsid w:val="004A22C5"/>
    <w:rsid w:val="004A7E1A"/>
    <w:rsid w:val="004B13ED"/>
    <w:rsid w:val="004B7E90"/>
    <w:rsid w:val="004C1A63"/>
    <w:rsid w:val="004C3CED"/>
    <w:rsid w:val="004C44E8"/>
    <w:rsid w:val="004C590B"/>
    <w:rsid w:val="004D4EB9"/>
    <w:rsid w:val="004D5929"/>
    <w:rsid w:val="004D6484"/>
    <w:rsid w:val="004D7985"/>
    <w:rsid w:val="004E3ACE"/>
    <w:rsid w:val="004E44C1"/>
    <w:rsid w:val="004E63A7"/>
    <w:rsid w:val="004F287D"/>
    <w:rsid w:val="004F560A"/>
    <w:rsid w:val="004F6DA2"/>
    <w:rsid w:val="0050286A"/>
    <w:rsid w:val="00506D1A"/>
    <w:rsid w:val="005132D4"/>
    <w:rsid w:val="00517319"/>
    <w:rsid w:val="0054616C"/>
    <w:rsid w:val="00556082"/>
    <w:rsid w:val="00570C56"/>
    <w:rsid w:val="00581D8C"/>
    <w:rsid w:val="005842E2"/>
    <w:rsid w:val="00584DB1"/>
    <w:rsid w:val="005863B1"/>
    <w:rsid w:val="00592264"/>
    <w:rsid w:val="005974F9"/>
    <w:rsid w:val="005B2F66"/>
    <w:rsid w:val="005B64C3"/>
    <w:rsid w:val="005C05AA"/>
    <w:rsid w:val="005D32D6"/>
    <w:rsid w:val="005D645B"/>
    <w:rsid w:val="006064A7"/>
    <w:rsid w:val="00621559"/>
    <w:rsid w:val="00632D8F"/>
    <w:rsid w:val="006426C6"/>
    <w:rsid w:val="0064698A"/>
    <w:rsid w:val="00654BE6"/>
    <w:rsid w:val="006725AA"/>
    <w:rsid w:val="00672C0B"/>
    <w:rsid w:val="0068410D"/>
    <w:rsid w:val="006C0097"/>
    <w:rsid w:val="006D0FB0"/>
    <w:rsid w:val="006D3393"/>
    <w:rsid w:val="006D352D"/>
    <w:rsid w:val="006D5C0A"/>
    <w:rsid w:val="006E6C36"/>
    <w:rsid w:val="006F17BE"/>
    <w:rsid w:val="006F5EB5"/>
    <w:rsid w:val="006F70F5"/>
    <w:rsid w:val="0070289C"/>
    <w:rsid w:val="007037E9"/>
    <w:rsid w:val="007073EE"/>
    <w:rsid w:val="00720697"/>
    <w:rsid w:val="00726BBE"/>
    <w:rsid w:val="0073257B"/>
    <w:rsid w:val="00732FFE"/>
    <w:rsid w:val="00740FA9"/>
    <w:rsid w:val="007471B3"/>
    <w:rsid w:val="007534F2"/>
    <w:rsid w:val="0075371E"/>
    <w:rsid w:val="007568E0"/>
    <w:rsid w:val="00756FEC"/>
    <w:rsid w:val="00760678"/>
    <w:rsid w:val="00790082"/>
    <w:rsid w:val="007A5E6E"/>
    <w:rsid w:val="007B3F3A"/>
    <w:rsid w:val="007C6212"/>
    <w:rsid w:val="007C7E22"/>
    <w:rsid w:val="007D6F24"/>
    <w:rsid w:val="007E4561"/>
    <w:rsid w:val="007F0735"/>
    <w:rsid w:val="007F1047"/>
    <w:rsid w:val="008008CB"/>
    <w:rsid w:val="00810C46"/>
    <w:rsid w:val="00812703"/>
    <w:rsid w:val="00813984"/>
    <w:rsid w:val="00814F0F"/>
    <w:rsid w:val="00816EF8"/>
    <w:rsid w:val="00817971"/>
    <w:rsid w:val="00834F47"/>
    <w:rsid w:val="00836BA8"/>
    <w:rsid w:val="00850535"/>
    <w:rsid w:val="008568AE"/>
    <w:rsid w:val="00861E3C"/>
    <w:rsid w:val="00863462"/>
    <w:rsid w:val="00864AB3"/>
    <w:rsid w:val="00870909"/>
    <w:rsid w:val="008731A8"/>
    <w:rsid w:val="00874333"/>
    <w:rsid w:val="00877543"/>
    <w:rsid w:val="00881CFA"/>
    <w:rsid w:val="0088357D"/>
    <w:rsid w:val="008912F1"/>
    <w:rsid w:val="008937DB"/>
    <w:rsid w:val="00893FB2"/>
    <w:rsid w:val="008A1CBB"/>
    <w:rsid w:val="008A41EB"/>
    <w:rsid w:val="008A479E"/>
    <w:rsid w:val="008A5224"/>
    <w:rsid w:val="008B332D"/>
    <w:rsid w:val="008B7781"/>
    <w:rsid w:val="008D389C"/>
    <w:rsid w:val="008D5347"/>
    <w:rsid w:val="008D5A97"/>
    <w:rsid w:val="008E1282"/>
    <w:rsid w:val="008E57FD"/>
    <w:rsid w:val="008F13E6"/>
    <w:rsid w:val="008F4C15"/>
    <w:rsid w:val="008F5096"/>
    <w:rsid w:val="00920FD7"/>
    <w:rsid w:val="009253BE"/>
    <w:rsid w:val="00932DA6"/>
    <w:rsid w:val="00935DEC"/>
    <w:rsid w:val="00936D71"/>
    <w:rsid w:val="00954A64"/>
    <w:rsid w:val="00963C27"/>
    <w:rsid w:val="00964A23"/>
    <w:rsid w:val="0099030C"/>
    <w:rsid w:val="009B0FDC"/>
    <w:rsid w:val="009C2295"/>
    <w:rsid w:val="009D677F"/>
    <w:rsid w:val="009E0E4B"/>
    <w:rsid w:val="009E18D1"/>
    <w:rsid w:val="009E35E4"/>
    <w:rsid w:val="009E749A"/>
    <w:rsid w:val="00A0602A"/>
    <w:rsid w:val="00A126DA"/>
    <w:rsid w:val="00A205BC"/>
    <w:rsid w:val="00A345D8"/>
    <w:rsid w:val="00A47297"/>
    <w:rsid w:val="00A500DB"/>
    <w:rsid w:val="00A553EA"/>
    <w:rsid w:val="00A56251"/>
    <w:rsid w:val="00A606C0"/>
    <w:rsid w:val="00A60E69"/>
    <w:rsid w:val="00A72F71"/>
    <w:rsid w:val="00A8758A"/>
    <w:rsid w:val="00A9156A"/>
    <w:rsid w:val="00A967FB"/>
    <w:rsid w:val="00AA0BA5"/>
    <w:rsid w:val="00AA1A06"/>
    <w:rsid w:val="00AA384C"/>
    <w:rsid w:val="00AA6A8C"/>
    <w:rsid w:val="00AA73B2"/>
    <w:rsid w:val="00AA7AD5"/>
    <w:rsid w:val="00AB0D9C"/>
    <w:rsid w:val="00AC337E"/>
    <w:rsid w:val="00AC6B7E"/>
    <w:rsid w:val="00AC74B3"/>
    <w:rsid w:val="00AD02D3"/>
    <w:rsid w:val="00AD1704"/>
    <w:rsid w:val="00AE0F3E"/>
    <w:rsid w:val="00AE2971"/>
    <w:rsid w:val="00AF076B"/>
    <w:rsid w:val="00AF157A"/>
    <w:rsid w:val="00B00EDE"/>
    <w:rsid w:val="00B0585F"/>
    <w:rsid w:val="00B10EB4"/>
    <w:rsid w:val="00B17CAC"/>
    <w:rsid w:val="00B2195B"/>
    <w:rsid w:val="00B32B7C"/>
    <w:rsid w:val="00B40C52"/>
    <w:rsid w:val="00B41CE1"/>
    <w:rsid w:val="00B4214C"/>
    <w:rsid w:val="00B618C1"/>
    <w:rsid w:val="00B6651A"/>
    <w:rsid w:val="00B83217"/>
    <w:rsid w:val="00B96A0B"/>
    <w:rsid w:val="00B9707F"/>
    <w:rsid w:val="00BA627C"/>
    <w:rsid w:val="00BA7793"/>
    <w:rsid w:val="00BC75C1"/>
    <w:rsid w:val="00BD1E65"/>
    <w:rsid w:val="00BD5269"/>
    <w:rsid w:val="00BE601D"/>
    <w:rsid w:val="00BE77B6"/>
    <w:rsid w:val="00BF7ACD"/>
    <w:rsid w:val="00C01C94"/>
    <w:rsid w:val="00C0211C"/>
    <w:rsid w:val="00C06059"/>
    <w:rsid w:val="00C11EBD"/>
    <w:rsid w:val="00C24D1F"/>
    <w:rsid w:val="00C260C5"/>
    <w:rsid w:val="00C4502A"/>
    <w:rsid w:val="00C63025"/>
    <w:rsid w:val="00C66E95"/>
    <w:rsid w:val="00C67F46"/>
    <w:rsid w:val="00C745B8"/>
    <w:rsid w:val="00C74B8C"/>
    <w:rsid w:val="00C85EC0"/>
    <w:rsid w:val="00C9576B"/>
    <w:rsid w:val="00CA775C"/>
    <w:rsid w:val="00CB65A1"/>
    <w:rsid w:val="00CC2FCD"/>
    <w:rsid w:val="00CC5BD6"/>
    <w:rsid w:val="00CE3AA5"/>
    <w:rsid w:val="00CE5E9A"/>
    <w:rsid w:val="00CE7D8D"/>
    <w:rsid w:val="00CF6CC7"/>
    <w:rsid w:val="00D10113"/>
    <w:rsid w:val="00D26641"/>
    <w:rsid w:val="00D31642"/>
    <w:rsid w:val="00D44CF4"/>
    <w:rsid w:val="00D514F8"/>
    <w:rsid w:val="00D52898"/>
    <w:rsid w:val="00D5440E"/>
    <w:rsid w:val="00D574DC"/>
    <w:rsid w:val="00D61288"/>
    <w:rsid w:val="00D72730"/>
    <w:rsid w:val="00D81910"/>
    <w:rsid w:val="00D961CD"/>
    <w:rsid w:val="00DA4380"/>
    <w:rsid w:val="00DA496B"/>
    <w:rsid w:val="00DB0AF2"/>
    <w:rsid w:val="00DB654A"/>
    <w:rsid w:val="00DD0950"/>
    <w:rsid w:val="00DD761F"/>
    <w:rsid w:val="00DE0A5F"/>
    <w:rsid w:val="00DF3B28"/>
    <w:rsid w:val="00DF6FCC"/>
    <w:rsid w:val="00E00821"/>
    <w:rsid w:val="00E16E95"/>
    <w:rsid w:val="00E1774C"/>
    <w:rsid w:val="00E200B2"/>
    <w:rsid w:val="00E2233C"/>
    <w:rsid w:val="00E2333C"/>
    <w:rsid w:val="00E23E3D"/>
    <w:rsid w:val="00E251B0"/>
    <w:rsid w:val="00E36761"/>
    <w:rsid w:val="00E42E1B"/>
    <w:rsid w:val="00E44573"/>
    <w:rsid w:val="00E55BFC"/>
    <w:rsid w:val="00E70151"/>
    <w:rsid w:val="00E715D8"/>
    <w:rsid w:val="00E7462D"/>
    <w:rsid w:val="00E74A30"/>
    <w:rsid w:val="00E80445"/>
    <w:rsid w:val="00E83157"/>
    <w:rsid w:val="00E8579C"/>
    <w:rsid w:val="00E90F7B"/>
    <w:rsid w:val="00EA21F8"/>
    <w:rsid w:val="00EB06E9"/>
    <w:rsid w:val="00EB6B03"/>
    <w:rsid w:val="00EC5FFC"/>
    <w:rsid w:val="00ED0749"/>
    <w:rsid w:val="00ED419E"/>
    <w:rsid w:val="00EE0B29"/>
    <w:rsid w:val="00F03DFF"/>
    <w:rsid w:val="00F11C92"/>
    <w:rsid w:val="00F12751"/>
    <w:rsid w:val="00F141E5"/>
    <w:rsid w:val="00F17983"/>
    <w:rsid w:val="00F22FD5"/>
    <w:rsid w:val="00F323C8"/>
    <w:rsid w:val="00F34BBA"/>
    <w:rsid w:val="00F37DF4"/>
    <w:rsid w:val="00F41516"/>
    <w:rsid w:val="00F43955"/>
    <w:rsid w:val="00F5420B"/>
    <w:rsid w:val="00F57E39"/>
    <w:rsid w:val="00F6214F"/>
    <w:rsid w:val="00F624EB"/>
    <w:rsid w:val="00F6270C"/>
    <w:rsid w:val="00F6454E"/>
    <w:rsid w:val="00F66A0E"/>
    <w:rsid w:val="00F707FC"/>
    <w:rsid w:val="00F74410"/>
    <w:rsid w:val="00F8194F"/>
    <w:rsid w:val="00F83BE2"/>
    <w:rsid w:val="00F90938"/>
    <w:rsid w:val="00F95DEE"/>
    <w:rsid w:val="00FA3397"/>
    <w:rsid w:val="00FA6D51"/>
    <w:rsid w:val="00FB0FA2"/>
    <w:rsid w:val="00FB5040"/>
    <w:rsid w:val="00FC3341"/>
    <w:rsid w:val="00FC4516"/>
    <w:rsid w:val="00FD2932"/>
    <w:rsid w:val="00FE4AA6"/>
    <w:rsid w:val="00FF2A9F"/>
    <w:rsid w:val="00FF539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893"/>
  <w15:docId w15:val="{2415336E-6992-4875-85AA-B7621A6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0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rsid w:val="00AE0F3E"/>
    <w:rPr>
      <w:color w:val="3C6491"/>
      <w:u w:val="single"/>
    </w:rPr>
  </w:style>
  <w:style w:type="paragraph" w:customStyle="1" w:styleId="ConsPlusNormal">
    <w:name w:val="ConsPlusNormal"/>
    <w:link w:val="ConsPlusNormal0"/>
    <w:qFormat/>
    <w:rsid w:val="00AE0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nhideWhenUsed/>
    <w:rsid w:val="00F4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39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3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95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9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0805" TargetMode="External"/><Relationship Id="rId5" Type="http://schemas.openxmlformats.org/officeDocument/2006/relationships/hyperlink" Target="https://login.consultant.ru/link/?req=doc&amp;base=LAW&amp;n=466790&amp;dst=103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shepel.oa</dc:creator>
  <cp:lastModifiedBy>Гамова Марина Михайловна</cp:lastModifiedBy>
  <cp:revision>307</cp:revision>
  <cp:lastPrinted>2026-01-27T06:23:00Z</cp:lastPrinted>
  <dcterms:created xsi:type="dcterms:W3CDTF">2025-03-20T05:11:00Z</dcterms:created>
  <dcterms:modified xsi:type="dcterms:W3CDTF">2026-01-27T11:37:00Z</dcterms:modified>
</cp:coreProperties>
</file>