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8F" w:rsidRDefault="00744A8F" w:rsidP="008217A9">
      <w:pPr>
        <w:tabs>
          <w:tab w:val="left" w:pos="9923"/>
        </w:tabs>
      </w:pPr>
      <w:bookmarkStart w:id="0" w:name="_GoBack"/>
      <w:bookmarkEnd w:id="0"/>
    </w:p>
    <w:p w:rsidR="00336047" w:rsidRPr="00EF71DE" w:rsidRDefault="00336047" w:rsidP="00336047">
      <w:pPr>
        <w:pStyle w:val="ConsPlusNormal"/>
        <w:ind w:left="8222"/>
        <w:jc w:val="right"/>
        <w:outlineLvl w:val="1"/>
        <w:rPr>
          <w:rFonts w:asciiTheme="minorHAnsi" w:hAnsiTheme="minorHAnsi" w:cs="Times New Roman"/>
          <w:szCs w:val="22"/>
        </w:rPr>
      </w:pPr>
      <w:r w:rsidRPr="00EF71DE">
        <w:rPr>
          <w:rFonts w:asciiTheme="minorHAnsi" w:hAnsiTheme="minorHAnsi" w:cs="Times New Roman"/>
          <w:szCs w:val="22"/>
        </w:rPr>
        <w:t xml:space="preserve">Приложение </w:t>
      </w:r>
    </w:p>
    <w:p w:rsidR="00EF71DE" w:rsidRDefault="00336047" w:rsidP="00336047">
      <w:pPr>
        <w:pStyle w:val="ConsPlusNormal"/>
        <w:ind w:left="8222"/>
        <w:jc w:val="right"/>
        <w:outlineLvl w:val="1"/>
        <w:rPr>
          <w:rFonts w:asciiTheme="minorHAnsi" w:hAnsiTheme="minorHAnsi" w:cs="Times New Roman"/>
          <w:szCs w:val="22"/>
        </w:rPr>
      </w:pPr>
      <w:r w:rsidRPr="00EF71DE">
        <w:rPr>
          <w:rFonts w:asciiTheme="minorHAnsi" w:hAnsiTheme="minorHAnsi" w:cs="Times New Roman"/>
          <w:szCs w:val="22"/>
        </w:rPr>
        <w:t>к постановлению</w:t>
      </w:r>
    </w:p>
    <w:p w:rsidR="00336047" w:rsidRPr="00EF71DE" w:rsidRDefault="00336047" w:rsidP="00336047">
      <w:pPr>
        <w:pStyle w:val="ConsPlusNormal"/>
        <w:ind w:left="8222"/>
        <w:jc w:val="right"/>
        <w:outlineLvl w:val="1"/>
        <w:rPr>
          <w:rFonts w:asciiTheme="minorHAnsi" w:hAnsiTheme="minorHAnsi" w:cs="Times New Roman"/>
          <w:szCs w:val="22"/>
        </w:rPr>
      </w:pPr>
      <w:r w:rsidRPr="00EF71DE">
        <w:rPr>
          <w:rFonts w:asciiTheme="minorHAnsi" w:hAnsiTheme="minorHAnsi" w:cs="Times New Roman"/>
          <w:szCs w:val="22"/>
        </w:rPr>
        <w:t xml:space="preserve"> администрации городского округа Тольятти </w:t>
      </w:r>
    </w:p>
    <w:p w:rsidR="00336047" w:rsidRPr="00EF71DE" w:rsidRDefault="00336047" w:rsidP="00336047">
      <w:pPr>
        <w:pStyle w:val="ConsPlusNormal"/>
        <w:ind w:left="8222"/>
        <w:jc w:val="right"/>
        <w:outlineLvl w:val="1"/>
        <w:rPr>
          <w:rFonts w:asciiTheme="minorHAnsi" w:hAnsiTheme="minorHAnsi" w:cs="Times New Roman"/>
          <w:szCs w:val="22"/>
        </w:rPr>
      </w:pPr>
      <w:r w:rsidRPr="00EF71DE">
        <w:rPr>
          <w:rFonts w:asciiTheme="minorHAnsi" w:hAnsiTheme="minorHAnsi" w:cs="Times New Roman"/>
          <w:szCs w:val="22"/>
        </w:rPr>
        <w:t xml:space="preserve"> от «__</w:t>
      </w:r>
      <w:proofErr w:type="gramStart"/>
      <w:r w:rsidRPr="00EF71DE">
        <w:rPr>
          <w:rFonts w:asciiTheme="minorHAnsi" w:hAnsiTheme="minorHAnsi" w:cs="Times New Roman"/>
          <w:szCs w:val="22"/>
        </w:rPr>
        <w:t>_»_</w:t>
      </w:r>
      <w:proofErr w:type="gramEnd"/>
      <w:r w:rsidRPr="00EF71DE">
        <w:rPr>
          <w:rFonts w:asciiTheme="minorHAnsi" w:hAnsiTheme="minorHAnsi" w:cs="Times New Roman"/>
          <w:szCs w:val="22"/>
        </w:rPr>
        <w:t>_____20</w:t>
      </w:r>
      <w:r w:rsidR="00FA3E44" w:rsidRPr="00EF71DE">
        <w:rPr>
          <w:rFonts w:asciiTheme="minorHAnsi" w:hAnsiTheme="minorHAnsi" w:cs="Times New Roman"/>
          <w:szCs w:val="22"/>
        </w:rPr>
        <w:t>20</w:t>
      </w:r>
      <w:r w:rsidRPr="00EF71DE">
        <w:rPr>
          <w:rFonts w:asciiTheme="minorHAnsi" w:hAnsiTheme="minorHAnsi" w:cs="Times New Roman"/>
          <w:szCs w:val="22"/>
        </w:rPr>
        <w:t xml:space="preserve"> г. №_____________</w:t>
      </w:r>
    </w:p>
    <w:p w:rsidR="00ED66FD" w:rsidRDefault="00ED66FD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D1DF2" w:rsidRDefault="006D1DF2" w:rsidP="006D1DF2">
      <w:pPr>
        <w:pStyle w:val="ConsPlusNormal"/>
        <w:jc w:val="right"/>
        <w:outlineLvl w:val="1"/>
      </w:pPr>
      <w:r>
        <w:t>Приложение N 4</w:t>
      </w:r>
    </w:p>
    <w:p w:rsidR="006D1DF2" w:rsidRDefault="006D1DF2" w:rsidP="006D1DF2">
      <w:pPr>
        <w:pStyle w:val="ConsPlusNormal"/>
        <w:jc w:val="right"/>
      </w:pPr>
      <w:r>
        <w:t>к Правилам</w:t>
      </w:r>
    </w:p>
    <w:p w:rsidR="006D1DF2" w:rsidRDefault="006D1DF2" w:rsidP="006D1DF2">
      <w:pPr>
        <w:pStyle w:val="ConsPlusNormal"/>
        <w:jc w:val="right"/>
      </w:pPr>
      <w:r>
        <w:t>определения нормативных затрат на</w:t>
      </w:r>
    </w:p>
    <w:p w:rsidR="006D1DF2" w:rsidRDefault="006D1DF2" w:rsidP="006D1DF2">
      <w:pPr>
        <w:pStyle w:val="ConsPlusNormal"/>
        <w:jc w:val="right"/>
      </w:pPr>
      <w:r>
        <w:t>обеспечение функций органов местного</w:t>
      </w:r>
    </w:p>
    <w:p w:rsidR="006D1DF2" w:rsidRDefault="006D1DF2" w:rsidP="006D1DF2">
      <w:pPr>
        <w:pStyle w:val="ConsPlusNormal"/>
        <w:jc w:val="right"/>
      </w:pPr>
      <w:r>
        <w:t>самоуправления городского округа</w:t>
      </w:r>
    </w:p>
    <w:p w:rsidR="006D1DF2" w:rsidRDefault="006D1DF2" w:rsidP="006D1DF2">
      <w:pPr>
        <w:pStyle w:val="ConsPlusNormal"/>
        <w:jc w:val="right"/>
      </w:pPr>
      <w:r>
        <w:t>Тольятти (включая подведомственные им</w:t>
      </w:r>
    </w:p>
    <w:p w:rsidR="006D1DF2" w:rsidRDefault="006D1DF2" w:rsidP="006D1DF2">
      <w:pPr>
        <w:pStyle w:val="ConsPlusNormal"/>
        <w:jc w:val="right"/>
      </w:pPr>
      <w:r>
        <w:t>муниципальные казенные учреждения</w:t>
      </w:r>
    </w:p>
    <w:p w:rsidR="006D1DF2" w:rsidRDefault="006D1DF2" w:rsidP="006D1DF2">
      <w:pPr>
        <w:pStyle w:val="ConsPlusNormal"/>
        <w:jc w:val="right"/>
      </w:pPr>
      <w:r>
        <w:t>городского округа Тольятти)</w:t>
      </w:r>
    </w:p>
    <w:p w:rsidR="00ED66FD" w:rsidRPr="00BA2935" w:rsidRDefault="00ED66FD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36047" w:rsidRPr="00BA2935" w:rsidRDefault="00336047" w:rsidP="003360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1641" w:rsidRDefault="00081641" w:rsidP="00081641">
      <w:pPr>
        <w:pStyle w:val="ConsPlusNormal"/>
        <w:jc w:val="center"/>
      </w:pPr>
      <w:r>
        <w:t>НОРМАТИВЫ</w:t>
      </w:r>
    </w:p>
    <w:p w:rsidR="00081641" w:rsidRDefault="00081641" w:rsidP="00081641">
      <w:pPr>
        <w:pStyle w:val="ConsPlusNormal"/>
        <w:jc w:val="center"/>
      </w:pPr>
      <w:r>
        <w:t>ОБЕСПЕЧЕНИЯ ФУНКЦИЙ ОРГАНОВ МЕСТНОГО САМОУПРАВЛЕНИЯ</w:t>
      </w:r>
    </w:p>
    <w:p w:rsidR="00081641" w:rsidRDefault="00081641" w:rsidP="00081641">
      <w:pPr>
        <w:pStyle w:val="ConsPlusNormal"/>
        <w:jc w:val="center"/>
      </w:pPr>
      <w:r>
        <w:t>ГОРОДСКОГО ОКРУГА ТОЛЬЯТТИ (ВКЛЮЧАЯ ПОДВЕДОМСТВЕННЫЕ ИМ</w:t>
      </w:r>
    </w:p>
    <w:p w:rsidR="00081641" w:rsidRDefault="00081641" w:rsidP="00081641">
      <w:pPr>
        <w:pStyle w:val="ConsPlusNormal"/>
        <w:jc w:val="center"/>
      </w:pPr>
      <w:r>
        <w:t>МУНИЦИПАЛЬНЫЕ КАЗЕННЫЕ УЧРЕЖДЕНИЯ ГОРОДСКОГО ОКРУГА</w:t>
      </w:r>
    </w:p>
    <w:p w:rsidR="00081641" w:rsidRDefault="00081641" w:rsidP="00081641">
      <w:pPr>
        <w:pStyle w:val="ConsPlusNormal"/>
        <w:jc w:val="center"/>
      </w:pPr>
      <w:r>
        <w:t>ТОЛЬЯТТИ), ПРИМЕНЯЕМЫЕ ПРИ РАСЧЕТЕ НОРМАТИВНЫХ ЗАТРАТ</w:t>
      </w:r>
    </w:p>
    <w:p w:rsidR="00081641" w:rsidRDefault="00081641" w:rsidP="00081641">
      <w:pPr>
        <w:pStyle w:val="ConsPlusNormal"/>
        <w:jc w:val="center"/>
      </w:pPr>
      <w:r>
        <w:t>НА ПРИОБРЕТЕНИЕ СИСТЕМ КОНДИЦИОНИРОВАНИЯ</w:t>
      </w:r>
    </w:p>
    <w:p w:rsidR="00081641" w:rsidRDefault="00081641" w:rsidP="00081641">
      <w:pPr>
        <w:pStyle w:val="ConsPlusNormal"/>
        <w:jc w:val="center"/>
      </w:pPr>
      <w:r>
        <w:t>(КОЛЛЕКТИВНЫЙ НОРМАТИВ)</w:t>
      </w:r>
    </w:p>
    <w:p w:rsidR="00081641" w:rsidRPr="00BA2935" w:rsidRDefault="00081641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644"/>
        <w:gridCol w:w="1725"/>
        <w:gridCol w:w="1701"/>
        <w:gridCol w:w="1701"/>
        <w:gridCol w:w="1701"/>
        <w:gridCol w:w="1559"/>
      </w:tblGrid>
      <w:tr w:rsidR="004354CF" w:rsidTr="004354CF">
        <w:tc>
          <w:tcPr>
            <w:tcW w:w="1871" w:type="dxa"/>
            <w:vMerge w:val="restart"/>
          </w:tcPr>
          <w:p w:rsidR="004354CF" w:rsidRDefault="004354CF" w:rsidP="004354CF">
            <w:pPr>
              <w:pStyle w:val="ConsPlusNormal"/>
              <w:jc w:val="center"/>
            </w:pPr>
            <w:r>
              <w:t>Вид оборудования</w:t>
            </w:r>
          </w:p>
        </w:tc>
        <w:tc>
          <w:tcPr>
            <w:tcW w:w="1644" w:type="dxa"/>
            <w:vMerge w:val="restart"/>
          </w:tcPr>
          <w:p w:rsidR="004354CF" w:rsidRDefault="004354CF" w:rsidP="00EC1492">
            <w:pPr>
              <w:pStyle w:val="ConsPlusNormal"/>
              <w:jc w:val="center"/>
            </w:pPr>
            <w:r>
              <w:t>Количество единиц</w:t>
            </w:r>
          </w:p>
        </w:tc>
        <w:tc>
          <w:tcPr>
            <w:tcW w:w="8387" w:type="dxa"/>
            <w:gridSpan w:val="5"/>
          </w:tcPr>
          <w:p w:rsidR="004354CF" w:rsidRDefault="004354CF" w:rsidP="00EC1492">
            <w:pPr>
              <w:pStyle w:val="ConsPlusNormal"/>
              <w:jc w:val="center"/>
            </w:pPr>
            <w:r>
              <w:t>Цена приобретения</w:t>
            </w:r>
          </w:p>
        </w:tc>
      </w:tr>
      <w:tr w:rsidR="004354CF" w:rsidTr="004354CF">
        <w:tc>
          <w:tcPr>
            <w:tcW w:w="1871" w:type="dxa"/>
            <w:vMerge/>
          </w:tcPr>
          <w:p w:rsidR="004354CF" w:rsidRDefault="004354CF" w:rsidP="00EC1492"/>
        </w:tc>
        <w:tc>
          <w:tcPr>
            <w:tcW w:w="1644" w:type="dxa"/>
            <w:vMerge/>
          </w:tcPr>
          <w:p w:rsidR="004354CF" w:rsidRDefault="004354CF" w:rsidP="00EC1492"/>
        </w:tc>
        <w:tc>
          <w:tcPr>
            <w:tcW w:w="6828" w:type="dxa"/>
            <w:gridSpan w:val="4"/>
          </w:tcPr>
          <w:p w:rsidR="004354CF" w:rsidRDefault="004354CF" w:rsidP="00EC1492">
            <w:pPr>
              <w:pStyle w:val="ConsPlusNormal"/>
              <w:jc w:val="center"/>
            </w:pPr>
            <w:r>
              <w:t>В отношении органов местного самоуправления</w:t>
            </w:r>
          </w:p>
        </w:tc>
        <w:tc>
          <w:tcPr>
            <w:tcW w:w="1559" w:type="dxa"/>
            <w:vMerge w:val="restart"/>
          </w:tcPr>
          <w:p w:rsidR="004354CF" w:rsidRDefault="004354CF" w:rsidP="00EC1492">
            <w:pPr>
              <w:pStyle w:val="ConsPlusNormal"/>
              <w:jc w:val="center"/>
            </w:pPr>
            <w:r>
              <w:t>В отношении муниципальных казенных учреждений</w:t>
            </w:r>
          </w:p>
        </w:tc>
      </w:tr>
      <w:tr w:rsidR="004354CF" w:rsidTr="004354CF">
        <w:tc>
          <w:tcPr>
            <w:tcW w:w="1871" w:type="dxa"/>
            <w:vMerge/>
          </w:tcPr>
          <w:p w:rsidR="004354CF" w:rsidRDefault="004354CF" w:rsidP="00EC1492"/>
        </w:tc>
        <w:tc>
          <w:tcPr>
            <w:tcW w:w="1644" w:type="dxa"/>
            <w:vMerge/>
          </w:tcPr>
          <w:p w:rsidR="004354CF" w:rsidRDefault="004354CF" w:rsidP="00EC1492"/>
        </w:tc>
        <w:tc>
          <w:tcPr>
            <w:tcW w:w="6828" w:type="dxa"/>
            <w:gridSpan w:val="4"/>
          </w:tcPr>
          <w:p w:rsidR="004354CF" w:rsidRDefault="004354CF" w:rsidP="00EC1492">
            <w:pPr>
              <w:pStyle w:val="ConsPlusNormal"/>
              <w:jc w:val="center"/>
            </w:pPr>
            <w:r>
              <w:t>Категории должностей</w:t>
            </w:r>
          </w:p>
        </w:tc>
        <w:tc>
          <w:tcPr>
            <w:tcW w:w="1559" w:type="dxa"/>
            <w:vMerge/>
          </w:tcPr>
          <w:p w:rsidR="004354CF" w:rsidRDefault="004354CF" w:rsidP="00EC1492"/>
        </w:tc>
      </w:tr>
      <w:tr w:rsidR="004354CF" w:rsidTr="004354CF">
        <w:tc>
          <w:tcPr>
            <w:tcW w:w="1871" w:type="dxa"/>
            <w:vMerge/>
          </w:tcPr>
          <w:p w:rsidR="004354CF" w:rsidRDefault="004354CF" w:rsidP="00EC1492"/>
        </w:tc>
        <w:tc>
          <w:tcPr>
            <w:tcW w:w="1644" w:type="dxa"/>
            <w:vMerge/>
          </w:tcPr>
          <w:p w:rsidR="004354CF" w:rsidRDefault="004354CF" w:rsidP="00EC1492"/>
        </w:tc>
        <w:tc>
          <w:tcPr>
            <w:tcW w:w="1725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руководители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помощники (советники)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специалисты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обеспечивающие специалисты</w:t>
            </w:r>
          </w:p>
        </w:tc>
        <w:tc>
          <w:tcPr>
            <w:tcW w:w="1559" w:type="dxa"/>
            <w:vMerge/>
          </w:tcPr>
          <w:p w:rsidR="004354CF" w:rsidRDefault="004354CF" w:rsidP="00EC1492"/>
        </w:tc>
      </w:tr>
      <w:tr w:rsidR="004354CF" w:rsidTr="004354CF">
        <w:tblPrEx>
          <w:tblBorders>
            <w:insideH w:val="nil"/>
          </w:tblBorders>
        </w:tblPrEx>
        <w:trPr>
          <w:trHeight w:val="1074"/>
        </w:trPr>
        <w:tc>
          <w:tcPr>
            <w:tcW w:w="1871" w:type="dxa"/>
          </w:tcPr>
          <w:p w:rsidR="004354CF" w:rsidRDefault="004354CF" w:rsidP="00EC1492">
            <w:pPr>
              <w:pStyle w:val="ConsPlusNormal"/>
            </w:pPr>
            <w:r>
              <w:t>Кондиционеры</w:t>
            </w:r>
          </w:p>
          <w:p w:rsidR="004354CF" w:rsidRDefault="004354CF" w:rsidP="00EC1492">
            <w:pPr>
              <w:pStyle w:val="ConsPlusNormal"/>
            </w:pPr>
            <w:r>
              <w:t>бытовые</w:t>
            </w:r>
          </w:p>
        </w:tc>
        <w:tc>
          <w:tcPr>
            <w:tcW w:w="1644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1 единицы на 1 рабочее помещение</w:t>
            </w:r>
          </w:p>
        </w:tc>
        <w:tc>
          <w:tcPr>
            <w:tcW w:w="1725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50 тыс. руб.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50 тыс. руб.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50 тыс. руб.</w:t>
            </w:r>
          </w:p>
        </w:tc>
        <w:tc>
          <w:tcPr>
            <w:tcW w:w="1701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50 тыс. руб.</w:t>
            </w:r>
          </w:p>
        </w:tc>
        <w:tc>
          <w:tcPr>
            <w:tcW w:w="1559" w:type="dxa"/>
          </w:tcPr>
          <w:p w:rsidR="004354CF" w:rsidRDefault="004354CF" w:rsidP="00EC1492">
            <w:pPr>
              <w:pStyle w:val="ConsPlusNormal"/>
              <w:jc w:val="center"/>
            </w:pPr>
            <w:r>
              <w:t>Не более 50 тыс. руб.</w:t>
            </w:r>
          </w:p>
        </w:tc>
      </w:tr>
    </w:tbl>
    <w:p w:rsidR="00336047" w:rsidRPr="00BA2935" w:rsidRDefault="00336047" w:rsidP="00EF71DE">
      <w:pPr>
        <w:rPr>
          <w:rFonts w:ascii="Times New Roman" w:hAnsi="Times New Roman" w:cs="Times New Roman"/>
          <w:sz w:val="24"/>
          <w:szCs w:val="24"/>
        </w:rPr>
      </w:pPr>
    </w:p>
    <w:sectPr w:rsidR="00336047" w:rsidRPr="00BA2935" w:rsidSect="006D1DF2">
      <w:pgSz w:w="16838" w:h="11906" w:orient="landscape" w:code="9"/>
      <w:pgMar w:top="28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47"/>
    <w:rsid w:val="00081641"/>
    <w:rsid w:val="002215FE"/>
    <w:rsid w:val="00336047"/>
    <w:rsid w:val="003F617F"/>
    <w:rsid w:val="004354CF"/>
    <w:rsid w:val="006876B6"/>
    <w:rsid w:val="006D1DF2"/>
    <w:rsid w:val="00744A8F"/>
    <w:rsid w:val="007737FC"/>
    <w:rsid w:val="007857CE"/>
    <w:rsid w:val="0079418E"/>
    <w:rsid w:val="008217A9"/>
    <w:rsid w:val="008B11B7"/>
    <w:rsid w:val="008D290A"/>
    <w:rsid w:val="009023EC"/>
    <w:rsid w:val="00925BD4"/>
    <w:rsid w:val="00AB21A7"/>
    <w:rsid w:val="00B96379"/>
    <w:rsid w:val="00BA2935"/>
    <w:rsid w:val="00C60632"/>
    <w:rsid w:val="00ED66FD"/>
    <w:rsid w:val="00EF71DE"/>
    <w:rsid w:val="00FA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4B2E2-54BA-410D-B8B3-6B6FA0AD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0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2020-02-19T12:46:00Z</cp:lastPrinted>
  <dcterms:created xsi:type="dcterms:W3CDTF">2020-02-26T09:20:00Z</dcterms:created>
  <dcterms:modified xsi:type="dcterms:W3CDTF">2020-02-26T09:20:00Z</dcterms:modified>
</cp:coreProperties>
</file>