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F662F" w14:textId="77777777" w:rsidR="001C0C41" w:rsidRDefault="004F60E9" w:rsidP="004F60E9">
      <w:pPr>
        <w:jc w:val="right"/>
        <w:rPr>
          <w:sz w:val="24"/>
          <w:szCs w:val="24"/>
        </w:rPr>
      </w:pPr>
      <w:r w:rsidRPr="004F60E9">
        <w:rPr>
          <w:sz w:val="24"/>
          <w:szCs w:val="24"/>
        </w:rPr>
        <w:t xml:space="preserve"> </w:t>
      </w:r>
    </w:p>
    <w:p w14:paraId="4DC009EA" w14:textId="77777777" w:rsidR="004F60E9" w:rsidRPr="004F60E9" w:rsidRDefault="004F60E9" w:rsidP="004F60E9">
      <w:pPr>
        <w:pStyle w:val="21"/>
      </w:pPr>
    </w:p>
    <w:p w14:paraId="5B4944FA" w14:textId="77777777" w:rsidR="003E445D" w:rsidRDefault="003E445D" w:rsidP="001C0C41">
      <w:pPr>
        <w:pStyle w:val="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24E80509" w14:textId="77777777" w:rsidR="003E445D" w:rsidRDefault="003E445D" w:rsidP="003E445D"/>
    <w:p w14:paraId="7415F86B" w14:textId="77777777" w:rsidR="003E445D" w:rsidRDefault="003E445D" w:rsidP="003E445D">
      <w:pPr>
        <w:jc w:val="center"/>
        <w:rPr>
          <w:sz w:val="24"/>
          <w:szCs w:val="24"/>
        </w:rPr>
      </w:pPr>
      <w:r w:rsidRPr="003E445D">
        <w:rPr>
          <w:sz w:val="24"/>
          <w:szCs w:val="24"/>
        </w:rPr>
        <w:t>к проекту постановления администрации городского округа Тольятти</w:t>
      </w:r>
    </w:p>
    <w:p w14:paraId="09E80C06" w14:textId="77777777" w:rsidR="003E445D" w:rsidRPr="003E445D" w:rsidRDefault="003E445D" w:rsidP="003E445D">
      <w:pPr>
        <w:jc w:val="center"/>
        <w:rPr>
          <w:sz w:val="24"/>
          <w:szCs w:val="24"/>
        </w:rPr>
      </w:pPr>
    </w:p>
    <w:p w14:paraId="2621EC11" w14:textId="77777777" w:rsidR="004E0B93" w:rsidRPr="003E445D" w:rsidRDefault="003E445D" w:rsidP="0049457E">
      <w:pPr>
        <w:pStyle w:val="1"/>
        <w:ind w:firstLine="0"/>
        <w:jc w:val="center"/>
        <w:rPr>
          <w:szCs w:val="24"/>
        </w:rPr>
      </w:pPr>
      <w:r w:rsidRPr="003E445D">
        <w:rPr>
          <w:szCs w:val="24"/>
        </w:rPr>
        <w:t xml:space="preserve">«Об утверждении </w:t>
      </w:r>
      <w:r w:rsidR="004F60E9" w:rsidRPr="003E445D">
        <w:rPr>
          <w:szCs w:val="24"/>
        </w:rPr>
        <w:t xml:space="preserve">муниципальной программы </w:t>
      </w:r>
      <w:r w:rsidR="004E0B93" w:rsidRPr="003E445D">
        <w:rPr>
          <w:szCs w:val="24"/>
        </w:rPr>
        <w:t>«</w:t>
      </w:r>
      <w:r w:rsidR="006238F1" w:rsidRPr="003E445D">
        <w:rPr>
          <w:szCs w:val="24"/>
        </w:rPr>
        <w:t>Развитие транспортной системы и дорожного хозяйства городского округа Тольятти на 2021 - 2025 гг.</w:t>
      </w:r>
      <w:r w:rsidR="004E0B93" w:rsidRPr="003E445D">
        <w:rPr>
          <w:szCs w:val="24"/>
        </w:rPr>
        <w:t>»</w:t>
      </w:r>
    </w:p>
    <w:p w14:paraId="7E6A1041" w14:textId="77777777" w:rsidR="004E0B93" w:rsidRDefault="004E0B93" w:rsidP="004E0B93">
      <w:pPr>
        <w:jc w:val="center"/>
        <w:rPr>
          <w:sz w:val="28"/>
          <w:szCs w:val="28"/>
        </w:rPr>
      </w:pPr>
    </w:p>
    <w:p w14:paraId="45FE83C6" w14:textId="77777777" w:rsidR="0049457E" w:rsidRPr="007E3383" w:rsidRDefault="0049457E" w:rsidP="007E3383">
      <w:pPr>
        <w:jc w:val="center"/>
        <w:rPr>
          <w:sz w:val="24"/>
          <w:szCs w:val="24"/>
        </w:rPr>
      </w:pPr>
    </w:p>
    <w:p w14:paraId="50122E00" w14:textId="24A62BE6" w:rsidR="003E445D" w:rsidRPr="00853C36" w:rsidRDefault="004F60E9" w:rsidP="007E3383">
      <w:pPr>
        <w:ind w:firstLine="709"/>
        <w:jc w:val="both"/>
        <w:rPr>
          <w:sz w:val="24"/>
          <w:szCs w:val="24"/>
        </w:rPr>
      </w:pPr>
      <w:r w:rsidRPr="00853C36">
        <w:rPr>
          <w:sz w:val="24"/>
          <w:szCs w:val="24"/>
        </w:rPr>
        <w:t>Основанием для разработки проекта Программы является постановление мэрии городского округа Тольятти от 16.02.2017 № 597-п/1 «Об утверждении Перечня муниципальных программ, проектов муниципальных программ городского округа Тольятти» (в редакции постановления администрации городского округа Тольятти от 21.02.2020 № 548-п/1).</w:t>
      </w:r>
    </w:p>
    <w:p w14:paraId="647BA57E" w14:textId="1475626C" w:rsidR="004F60E9" w:rsidRPr="00853C36" w:rsidRDefault="004F60E9" w:rsidP="007E3383">
      <w:pPr>
        <w:ind w:firstLine="709"/>
        <w:jc w:val="both"/>
        <w:rPr>
          <w:sz w:val="24"/>
          <w:szCs w:val="24"/>
        </w:rPr>
      </w:pPr>
      <w:r w:rsidRPr="00853C36">
        <w:rPr>
          <w:sz w:val="24"/>
          <w:szCs w:val="24"/>
        </w:rPr>
        <w:t xml:space="preserve">Проект </w:t>
      </w:r>
      <w:r w:rsidR="00A2774B" w:rsidRPr="00853C36">
        <w:rPr>
          <w:sz w:val="24"/>
          <w:szCs w:val="24"/>
        </w:rPr>
        <w:t>Программы</w:t>
      </w:r>
      <w:r w:rsidRPr="00853C36">
        <w:rPr>
          <w:sz w:val="24"/>
          <w:szCs w:val="24"/>
        </w:rPr>
        <w:t xml:space="preserve"> разработан в </w:t>
      </w:r>
      <w:r w:rsidR="00A2774B" w:rsidRPr="00853C36">
        <w:rPr>
          <w:sz w:val="24"/>
          <w:szCs w:val="24"/>
        </w:rPr>
        <w:t>соответствии</w:t>
      </w:r>
      <w:r w:rsidRPr="00853C36">
        <w:rPr>
          <w:sz w:val="24"/>
          <w:szCs w:val="24"/>
        </w:rPr>
        <w:t xml:space="preserve"> с </w:t>
      </w:r>
      <w:hyperlink r:id="rId5" w:history="1">
        <w:r w:rsidRPr="00853C36">
          <w:rPr>
            <w:sz w:val="24"/>
            <w:szCs w:val="24"/>
          </w:rPr>
          <w:t>постановлением</w:t>
        </w:r>
      </w:hyperlink>
      <w:r w:rsidRPr="00853C36">
        <w:rPr>
          <w:sz w:val="24"/>
          <w:szCs w:val="24"/>
        </w:rPr>
        <w:t xml:space="preserve"> мэрии городского округа Тольятти от 12.08.2013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</w:t>
      </w:r>
      <w:r w:rsidR="007E3383" w:rsidRPr="00853C36">
        <w:rPr>
          <w:sz w:val="24"/>
          <w:szCs w:val="24"/>
        </w:rPr>
        <w:t>,</w:t>
      </w:r>
      <w:r w:rsidRPr="00853C36">
        <w:rPr>
          <w:sz w:val="24"/>
          <w:szCs w:val="24"/>
        </w:rPr>
        <w:t xml:space="preserve"> одобрен на заседании Коллегии администрации городского округа Тольятти </w:t>
      </w:r>
      <w:r w:rsidR="005C6DDA" w:rsidRPr="00853C36">
        <w:rPr>
          <w:sz w:val="24"/>
          <w:szCs w:val="24"/>
        </w:rPr>
        <w:t xml:space="preserve"> </w:t>
      </w:r>
      <w:r w:rsidR="007E3383" w:rsidRPr="00853C36">
        <w:rPr>
          <w:sz w:val="24"/>
          <w:szCs w:val="24"/>
        </w:rPr>
        <w:t xml:space="preserve">и Думой городского округа Тольятти </w:t>
      </w:r>
      <w:r w:rsidR="005C6DDA" w:rsidRPr="00853C36">
        <w:rPr>
          <w:sz w:val="24"/>
          <w:szCs w:val="24"/>
        </w:rPr>
        <w:t>(протокол</w:t>
      </w:r>
      <w:r w:rsidR="00877D49" w:rsidRPr="00853C36">
        <w:rPr>
          <w:sz w:val="24"/>
          <w:szCs w:val="24"/>
        </w:rPr>
        <w:t xml:space="preserve"> </w:t>
      </w:r>
      <w:r w:rsidR="005C6DDA" w:rsidRPr="00853C36">
        <w:rPr>
          <w:sz w:val="24"/>
          <w:szCs w:val="24"/>
        </w:rPr>
        <w:t>от 0</w:t>
      </w:r>
      <w:r w:rsidR="00877D49" w:rsidRPr="00853C36">
        <w:rPr>
          <w:sz w:val="24"/>
          <w:szCs w:val="24"/>
        </w:rPr>
        <w:t>8</w:t>
      </w:r>
      <w:r w:rsidR="005C6DDA" w:rsidRPr="00853C36">
        <w:rPr>
          <w:sz w:val="24"/>
          <w:szCs w:val="24"/>
        </w:rPr>
        <w:t>.0</w:t>
      </w:r>
      <w:r w:rsidR="00877D49" w:rsidRPr="00853C36">
        <w:rPr>
          <w:sz w:val="24"/>
          <w:szCs w:val="24"/>
        </w:rPr>
        <w:t>6</w:t>
      </w:r>
      <w:r w:rsidR="005C6DDA" w:rsidRPr="00853C36">
        <w:rPr>
          <w:sz w:val="24"/>
          <w:szCs w:val="24"/>
        </w:rPr>
        <w:t xml:space="preserve">.2020 № </w:t>
      </w:r>
      <w:r w:rsidR="00877D49" w:rsidRPr="00853C36">
        <w:rPr>
          <w:sz w:val="24"/>
          <w:szCs w:val="24"/>
        </w:rPr>
        <w:t>7</w:t>
      </w:r>
      <w:r w:rsidR="007E3383" w:rsidRPr="00853C36">
        <w:rPr>
          <w:sz w:val="24"/>
          <w:szCs w:val="24"/>
        </w:rPr>
        <w:t>, Решение Думы г.о.Тольятти от 08.07.2020 № 656</w:t>
      </w:r>
      <w:r w:rsidR="005C6DDA" w:rsidRPr="00853C36">
        <w:rPr>
          <w:sz w:val="24"/>
          <w:szCs w:val="24"/>
        </w:rPr>
        <w:t xml:space="preserve"> прилага</w:t>
      </w:r>
      <w:r w:rsidR="007E3383" w:rsidRPr="00853C36">
        <w:rPr>
          <w:sz w:val="24"/>
          <w:szCs w:val="24"/>
        </w:rPr>
        <w:t>ю</w:t>
      </w:r>
      <w:r w:rsidR="005C6DDA" w:rsidRPr="00853C36">
        <w:rPr>
          <w:sz w:val="24"/>
          <w:szCs w:val="24"/>
        </w:rPr>
        <w:t>тся).</w:t>
      </w:r>
    </w:p>
    <w:p w14:paraId="16657BE7" w14:textId="77777777" w:rsidR="0035112D" w:rsidRPr="00853C36" w:rsidRDefault="0035112D" w:rsidP="0035112D">
      <w:pPr>
        <w:ind w:firstLine="709"/>
        <w:jc w:val="both"/>
        <w:rPr>
          <w:sz w:val="24"/>
          <w:szCs w:val="24"/>
        </w:rPr>
      </w:pPr>
      <w:r w:rsidRPr="00853C36">
        <w:rPr>
          <w:sz w:val="24"/>
          <w:szCs w:val="24"/>
        </w:rPr>
        <w:t>Проект постановления подготовлен с учетом замечаний структурных подразделений администрации городского округа Тольятти к проекту информации администрации по Программе для рассмотрения на заседании Думы (3069-исх/2.2/пр от 02.04.2020).</w:t>
      </w:r>
    </w:p>
    <w:p w14:paraId="7688B766" w14:textId="77777777" w:rsidR="00877D49" w:rsidRPr="00853C36" w:rsidRDefault="00877D49" w:rsidP="007E3383">
      <w:pPr>
        <w:ind w:firstLine="709"/>
        <w:jc w:val="both"/>
        <w:rPr>
          <w:rFonts w:eastAsia="Calibri"/>
          <w:sz w:val="24"/>
          <w:szCs w:val="24"/>
        </w:rPr>
      </w:pPr>
      <w:r w:rsidRPr="00853C36">
        <w:rPr>
          <w:sz w:val="24"/>
          <w:szCs w:val="24"/>
        </w:rPr>
        <w:t>Разработка и реализация Программы необходима в целях повышения эффективности деятельности органов исполнительной власти городского округа Тольятти в сфере обеспечения безопасности дорожного движения, транспортной системы и дорожного хозяйства</w:t>
      </w:r>
      <w:r w:rsidRPr="00853C36">
        <w:rPr>
          <w:rFonts w:eastAsia="Calibri"/>
          <w:sz w:val="24"/>
          <w:szCs w:val="24"/>
        </w:rPr>
        <w:t>.</w:t>
      </w:r>
    </w:p>
    <w:p w14:paraId="75F0C215" w14:textId="77777777" w:rsidR="00877D49" w:rsidRPr="00853C36" w:rsidRDefault="00877D49" w:rsidP="007E33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53C36">
        <w:rPr>
          <w:bCs/>
          <w:sz w:val="24"/>
          <w:szCs w:val="24"/>
        </w:rPr>
        <w:t>Программа разработана с учетом:</w:t>
      </w:r>
    </w:p>
    <w:p w14:paraId="30528D8D" w14:textId="77777777" w:rsidR="00877D49" w:rsidRPr="00853C36" w:rsidRDefault="00877D49" w:rsidP="007E338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53C36">
        <w:rPr>
          <w:bCs/>
          <w:sz w:val="24"/>
          <w:szCs w:val="24"/>
        </w:rPr>
        <w:t>- Указа Президента Российской Федерации от 07.05.2018г. № 204 «О национальных целях и стратегических задачах развития Российской Федерации на период до 2024 года», которым предусмотрена реализация национальных проектов, в том числе национального проекта «Безопасные и качественные автомобильные дороги»;</w:t>
      </w:r>
    </w:p>
    <w:p w14:paraId="6A0D1FAE" w14:textId="77777777" w:rsidR="00877D49" w:rsidRPr="00853C36" w:rsidRDefault="00877D49" w:rsidP="007E338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53C36">
        <w:rPr>
          <w:bCs/>
          <w:sz w:val="24"/>
          <w:szCs w:val="24"/>
        </w:rPr>
        <w:t>- приоритетов развития городского округа Тольятти, определенных Стратегией социально-экономического развития городского округа Тольятти на период до 2030 года, утвержденной Решением  Думы городского округа Тольятти Самарской области от 25.01.2019 №131, в том числе приоритета «Тольятти мобильный», направленного на повышение транспортной связности, мобильности населения и формирование центрального (тольяттинского) ядра Самарско-Тольяттинской агломерации.</w:t>
      </w:r>
    </w:p>
    <w:p w14:paraId="14853EAA" w14:textId="77777777" w:rsidR="005C6DDA" w:rsidRPr="00853C36" w:rsidRDefault="005C6DDA" w:rsidP="007E3383">
      <w:pPr>
        <w:ind w:firstLine="709"/>
        <w:jc w:val="both"/>
        <w:rPr>
          <w:sz w:val="24"/>
          <w:szCs w:val="24"/>
        </w:rPr>
      </w:pPr>
      <w:r w:rsidRPr="00853C36">
        <w:rPr>
          <w:sz w:val="24"/>
          <w:szCs w:val="24"/>
        </w:rPr>
        <w:t xml:space="preserve">Координатор </w:t>
      </w:r>
      <w:r w:rsidR="006238F1" w:rsidRPr="00853C36">
        <w:rPr>
          <w:sz w:val="24"/>
          <w:szCs w:val="24"/>
        </w:rPr>
        <w:t xml:space="preserve">и Заказчик </w:t>
      </w:r>
      <w:r w:rsidRPr="00853C36">
        <w:rPr>
          <w:sz w:val="24"/>
          <w:szCs w:val="24"/>
        </w:rPr>
        <w:t xml:space="preserve">Программы </w:t>
      </w:r>
      <w:r w:rsidR="006238F1" w:rsidRPr="00853C36">
        <w:rPr>
          <w:sz w:val="24"/>
          <w:szCs w:val="24"/>
        </w:rPr>
        <w:t>–</w:t>
      </w:r>
      <w:r w:rsidRPr="00853C36">
        <w:rPr>
          <w:sz w:val="24"/>
          <w:szCs w:val="24"/>
        </w:rPr>
        <w:t xml:space="preserve"> </w:t>
      </w:r>
      <w:r w:rsidR="006238F1" w:rsidRPr="00853C36">
        <w:rPr>
          <w:sz w:val="24"/>
          <w:szCs w:val="24"/>
        </w:rPr>
        <w:t xml:space="preserve">департамент дорожного хозяйства и транспорта </w:t>
      </w:r>
      <w:r w:rsidRPr="00853C36">
        <w:rPr>
          <w:sz w:val="24"/>
          <w:szCs w:val="24"/>
        </w:rPr>
        <w:t>администрации городского округа Тольятти.</w:t>
      </w:r>
    </w:p>
    <w:p w14:paraId="56C1BB2D" w14:textId="77777777" w:rsidR="004E0B93" w:rsidRPr="00853C36" w:rsidRDefault="004E0B93" w:rsidP="007E33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53C36">
        <w:rPr>
          <w:sz w:val="24"/>
          <w:szCs w:val="24"/>
        </w:rPr>
        <w:t>Целью Программы</w:t>
      </w:r>
      <w:r w:rsidR="006238F1" w:rsidRPr="00853C36">
        <w:rPr>
          <w:sz w:val="24"/>
          <w:szCs w:val="24"/>
        </w:rPr>
        <w:t xml:space="preserve">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14:paraId="613688C2" w14:textId="77777777" w:rsidR="005C6DDA" w:rsidRPr="00853C36" w:rsidRDefault="005C6DDA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Для достижения цели Программы предусматривается решение следующих задач:</w:t>
      </w:r>
    </w:p>
    <w:p w14:paraId="04296B66" w14:textId="77777777" w:rsidR="006238F1" w:rsidRPr="00853C36" w:rsidRDefault="006238F1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14:paraId="4409D144" w14:textId="77777777" w:rsidR="006238F1" w:rsidRPr="00853C36" w:rsidRDefault="006238F1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14:paraId="47ADF3CC" w14:textId="77777777" w:rsidR="006238F1" w:rsidRPr="00853C36" w:rsidRDefault="006238F1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 xml:space="preserve">3. Содействие экономическому и социальному развитию городского округа Тольятти </w:t>
      </w:r>
      <w:r w:rsidRPr="00853C36">
        <w:rPr>
          <w:rFonts w:ascii="Times New Roman" w:hAnsi="Times New Roman" w:cs="Times New Roman"/>
          <w:sz w:val="24"/>
          <w:szCs w:val="24"/>
        </w:rPr>
        <w:lastRenderedPageBreak/>
        <w:t>за счет поддержания надлежащего санитарно-технического и транспортно-эксплуатационного состояния объектов улично-дорожной сети.</w:t>
      </w:r>
    </w:p>
    <w:p w14:paraId="776EA7A2" w14:textId="77777777" w:rsidR="005C6DDA" w:rsidRPr="00853C36" w:rsidRDefault="006238F1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14:paraId="6B21D97A" w14:textId="77777777" w:rsidR="005C6DDA" w:rsidRPr="00853C36" w:rsidRDefault="005C6DDA" w:rsidP="007E3383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853C36">
        <w:rPr>
          <w:sz w:val="24"/>
          <w:szCs w:val="24"/>
        </w:rPr>
        <w:t xml:space="preserve">Достижение поставленной цели и решение задач </w:t>
      </w:r>
      <w:r w:rsidR="00A2774B" w:rsidRPr="00853C36">
        <w:rPr>
          <w:sz w:val="24"/>
          <w:szCs w:val="24"/>
        </w:rPr>
        <w:t>П</w:t>
      </w:r>
      <w:r w:rsidRPr="00853C36">
        <w:rPr>
          <w:sz w:val="24"/>
          <w:szCs w:val="24"/>
        </w:rPr>
        <w:t>рограммы предусматривает выполнение комплекса мероприятий.</w:t>
      </w:r>
    </w:p>
    <w:p w14:paraId="0CA0FF41" w14:textId="77777777" w:rsidR="005C6DDA" w:rsidRPr="00853C36" w:rsidRDefault="00014BF7" w:rsidP="007E338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hyperlink r:id="rId6" w:history="1">
        <w:r w:rsidR="005C6DDA" w:rsidRPr="00853C36">
          <w:rPr>
            <w:sz w:val="24"/>
            <w:szCs w:val="24"/>
          </w:rPr>
          <w:t>Перечень</w:t>
        </w:r>
      </w:hyperlink>
      <w:r w:rsidR="005C6DDA" w:rsidRPr="00853C36">
        <w:rPr>
          <w:sz w:val="24"/>
          <w:szCs w:val="24"/>
        </w:rPr>
        <w:t xml:space="preserve"> мероприятий приведен в приложении № </w:t>
      </w:r>
      <w:r w:rsidR="006238F1" w:rsidRPr="00853C36">
        <w:rPr>
          <w:sz w:val="24"/>
          <w:szCs w:val="24"/>
        </w:rPr>
        <w:t>3</w:t>
      </w:r>
      <w:r w:rsidR="005C6DDA" w:rsidRPr="00853C36">
        <w:rPr>
          <w:sz w:val="24"/>
          <w:szCs w:val="24"/>
        </w:rPr>
        <w:t xml:space="preserve"> к настоящей </w:t>
      </w:r>
      <w:r w:rsidR="00A2774B" w:rsidRPr="00853C36">
        <w:rPr>
          <w:sz w:val="24"/>
          <w:szCs w:val="24"/>
        </w:rPr>
        <w:t>П</w:t>
      </w:r>
      <w:r w:rsidR="005C6DDA" w:rsidRPr="00853C36">
        <w:rPr>
          <w:sz w:val="24"/>
          <w:szCs w:val="24"/>
        </w:rPr>
        <w:t>рограмме</w:t>
      </w:r>
      <w:r w:rsidR="00A2774B" w:rsidRPr="00853C36">
        <w:rPr>
          <w:sz w:val="24"/>
          <w:szCs w:val="24"/>
        </w:rPr>
        <w:t>, с учетом финансового обеспечения</w:t>
      </w:r>
      <w:r w:rsidR="005C6DDA" w:rsidRPr="00853C36">
        <w:rPr>
          <w:sz w:val="24"/>
          <w:szCs w:val="24"/>
        </w:rPr>
        <w:t>.</w:t>
      </w:r>
    </w:p>
    <w:p w14:paraId="176D23AD" w14:textId="77777777" w:rsidR="006238F1" w:rsidRPr="00853C36" w:rsidRDefault="006238F1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 xml:space="preserve">Решением Думы городского округа Тольятти от 11.12.2019 N 427 «О бюджете городского округа Тольятти на 2020 год и плановый период 2021 и 2022 годов»  на реализацию планируемых мероприятий Программы на 2021 и 2022 годы предусмотрено финансирование мероприятий. На 2023-2025 годы запланировано финансирование </w:t>
      </w:r>
      <w:r w:rsidRPr="00853C36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853C36">
        <w:rPr>
          <w:rFonts w:ascii="Times New Roman" w:hAnsi="Times New Roman" w:cs="Times New Roman"/>
          <w:bCs/>
          <w:sz w:val="24"/>
          <w:szCs w:val="24"/>
        </w:rPr>
        <w:t xml:space="preserve">в объемах, с учетом плановых мероприятий. </w:t>
      </w:r>
    </w:p>
    <w:p w14:paraId="50FE6D20" w14:textId="7AB70AFB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Финансовые затраты на реализацию муниципальной программы составят 1064</w:t>
      </w:r>
      <w:r w:rsidR="00B802C3" w:rsidRPr="00853C36">
        <w:rPr>
          <w:rFonts w:ascii="Times New Roman" w:hAnsi="Times New Roman" w:cs="Times New Roman"/>
          <w:bCs/>
          <w:sz w:val="24"/>
          <w:szCs w:val="24"/>
        </w:rPr>
        <w:t>0780</w:t>
      </w:r>
      <w:r w:rsidRPr="00853C36">
        <w:rPr>
          <w:rFonts w:ascii="Times New Roman" w:hAnsi="Times New Roman" w:cs="Times New Roman"/>
          <w:bCs/>
          <w:sz w:val="24"/>
          <w:szCs w:val="24"/>
        </w:rPr>
        <w:t>,3 тыс. руб., из них:</w:t>
      </w:r>
    </w:p>
    <w:p w14:paraId="4BAD5731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- средства областного бюджета – 6 260 367,6 тыс. руб., в том числе по годам:</w:t>
      </w:r>
    </w:p>
    <w:p w14:paraId="53F6C239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2021 год - 700 000,0 тыс. руб.,</w:t>
      </w:r>
    </w:p>
    <w:p w14:paraId="3C85F33A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2022 год – 700 000,0 тыс. руб.,</w:t>
      </w:r>
    </w:p>
    <w:p w14:paraId="79D0CED6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2023 год - 1 325 316,0 тыс. руб.,</w:t>
      </w:r>
    </w:p>
    <w:p w14:paraId="5A9BCE9E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2024 год – 1 667 612,5 тыс. руб.,</w:t>
      </w:r>
    </w:p>
    <w:p w14:paraId="26526C60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2025 год – 1 867 439,1 тыс. руб.;</w:t>
      </w:r>
    </w:p>
    <w:p w14:paraId="431464B5" w14:textId="2A6E1846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- средства бюджета городского округа Тольятти – 4</w:t>
      </w:r>
      <w:r w:rsidR="00B802C3" w:rsidRPr="00853C36">
        <w:rPr>
          <w:rFonts w:ascii="Times New Roman" w:hAnsi="Times New Roman" w:cs="Times New Roman"/>
          <w:bCs/>
          <w:sz w:val="24"/>
          <w:szCs w:val="24"/>
        </w:rPr>
        <w:t> </w:t>
      </w:r>
      <w:r w:rsidRPr="00853C36">
        <w:rPr>
          <w:rFonts w:ascii="Times New Roman" w:hAnsi="Times New Roman" w:cs="Times New Roman"/>
          <w:bCs/>
          <w:sz w:val="24"/>
          <w:szCs w:val="24"/>
        </w:rPr>
        <w:t>3</w:t>
      </w:r>
      <w:r w:rsidR="00B802C3" w:rsidRPr="00853C36">
        <w:rPr>
          <w:rFonts w:ascii="Times New Roman" w:hAnsi="Times New Roman" w:cs="Times New Roman"/>
          <w:bCs/>
          <w:sz w:val="24"/>
          <w:szCs w:val="24"/>
        </w:rPr>
        <w:t>79 852</w:t>
      </w:r>
      <w:r w:rsidRPr="00853C36">
        <w:rPr>
          <w:rFonts w:ascii="Times New Roman" w:hAnsi="Times New Roman" w:cs="Times New Roman"/>
          <w:bCs/>
          <w:sz w:val="24"/>
          <w:szCs w:val="24"/>
        </w:rPr>
        <w:t>,7 тыс. руб., в том числе по годам:</w:t>
      </w:r>
    </w:p>
    <w:p w14:paraId="006858B0" w14:textId="1EA114C2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2021 год – 88</w:t>
      </w:r>
      <w:r w:rsidR="00B802C3" w:rsidRPr="00853C36">
        <w:rPr>
          <w:rFonts w:ascii="Times New Roman" w:hAnsi="Times New Roman" w:cs="Times New Roman"/>
          <w:bCs/>
          <w:sz w:val="24"/>
          <w:szCs w:val="24"/>
        </w:rPr>
        <w:t>2</w:t>
      </w:r>
      <w:r w:rsidRPr="00853C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02C3" w:rsidRPr="00853C36">
        <w:rPr>
          <w:rFonts w:ascii="Times New Roman" w:hAnsi="Times New Roman" w:cs="Times New Roman"/>
          <w:bCs/>
          <w:sz w:val="24"/>
          <w:szCs w:val="24"/>
        </w:rPr>
        <w:t>086</w:t>
      </w:r>
      <w:r w:rsidRPr="00853C36">
        <w:rPr>
          <w:rFonts w:ascii="Times New Roman" w:hAnsi="Times New Roman" w:cs="Times New Roman"/>
          <w:bCs/>
          <w:sz w:val="24"/>
          <w:szCs w:val="24"/>
        </w:rPr>
        <w:t>,0 тыс. руб.,</w:t>
      </w:r>
    </w:p>
    <w:p w14:paraId="3E1EFEC0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2022 год – 777 917,0 тыс. руб.,</w:t>
      </w:r>
    </w:p>
    <w:p w14:paraId="461FE90A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2023 год – 905 097,9 тыс. руб.,</w:t>
      </w:r>
    </w:p>
    <w:p w14:paraId="513BEBF7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2024 год – 903 918,9 тыс. руб.,</w:t>
      </w:r>
    </w:p>
    <w:p w14:paraId="02D83994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2025 год – 910 832,9 тыс. руб.;</w:t>
      </w:r>
    </w:p>
    <w:p w14:paraId="3C2583E2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- внебюджетные средства – 560,0 тыс. руб., в том числе по годам:</w:t>
      </w:r>
    </w:p>
    <w:p w14:paraId="064159E3" w14:textId="28086399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2021 год - 112,0 тыс. руб.,</w:t>
      </w:r>
    </w:p>
    <w:p w14:paraId="14220959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2022 год - 112,0 тыс. руб.,</w:t>
      </w:r>
    </w:p>
    <w:p w14:paraId="78CD516D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2023 год - 112,0 тыс. руб.,</w:t>
      </w:r>
    </w:p>
    <w:p w14:paraId="77B9C857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2024 год - 112,0 тыс. руб.,</w:t>
      </w:r>
    </w:p>
    <w:p w14:paraId="2D47BAA7" w14:textId="77777777" w:rsidR="002C0803" w:rsidRPr="00853C36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3C36">
        <w:rPr>
          <w:rFonts w:ascii="Times New Roman" w:hAnsi="Times New Roman" w:cs="Times New Roman"/>
          <w:bCs/>
          <w:sz w:val="24"/>
          <w:szCs w:val="24"/>
        </w:rPr>
        <w:t>2025 год - 112,0 тыс. руб.</w:t>
      </w:r>
    </w:p>
    <w:p w14:paraId="33D054B0" w14:textId="77777777" w:rsidR="002C0803" w:rsidRPr="00853C36" w:rsidRDefault="002C0803" w:rsidP="007E3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носят прогнозный характер и подлежат ежегодному уточнению. </w:t>
      </w:r>
    </w:p>
    <w:p w14:paraId="5A4DAA5E" w14:textId="64E1A9D0" w:rsidR="005C6DDA" w:rsidRPr="00853C36" w:rsidRDefault="005C6DDA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Осуществление своевременного финансирования и успешное выполнение мероприятий муниципальной программы позволит достичь к 202</w:t>
      </w:r>
      <w:r w:rsidR="002C0803" w:rsidRPr="00853C36">
        <w:rPr>
          <w:rFonts w:ascii="Times New Roman" w:hAnsi="Times New Roman" w:cs="Times New Roman"/>
          <w:sz w:val="24"/>
          <w:szCs w:val="24"/>
        </w:rPr>
        <w:t>5</w:t>
      </w:r>
      <w:r w:rsidRPr="00853C36">
        <w:rPr>
          <w:rFonts w:ascii="Times New Roman" w:hAnsi="Times New Roman" w:cs="Times New Roman"/>
          <w:sz w:val="24"/>
          <w:szCs w:val="24"/>
        </w:rPr>
        <w:t xml:space="preserve"> году следующих результатов:</w:t>
      </w:r>
    </w:p>
    <w:p w14:paraId="708DCE75" w14:textId="77777777" w:rsidR="002C0803" w:rsidRPr="00853C36" w:rsidRDefault="002C0803" w:rsidP="007E3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снизить количество дорожно-транспортных происшествий (далее - ДТП) и количества мест концентрации ДТП (аварийно-опасных участков) за счет оптимизации режимов движения на участках улично-дорожной сети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</w:r>
    </w:p>
    <w:p w14:paraId="0B365771" w14:textId="77777777" w:rsidR="002C0803" w:rsidRPr="00853C36" w:rsidRDefault="002C0803" w:rsidP="007E3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улучшить транспортно-эксплуатационное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 за счет выполнения реконструкции, ремонта, капитального ремонта.</w:t>
      </w:r>
    </w:p>
    <w:p w14:paraId="3EC5441F" w14:textId="77777777" w:rsidR="002C0803" w:rsidRPr="00853C36" w:rsidRDefault="002C0803" w:rsidP="007E3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повысить удовлетворенность населения содержанием улично-дорожной сети.</w:t>
      </w:r>
    </w:p>
    <w:p w14:paraId="30D32A56" w14:textId="3A105A39" w:rsidR="002C0803" w:rsidRDefault="002C0803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создать комфортные условия передвижения на общественном транспорте жителей и гостей города.</w:t>
      </w:r>
    </w:p>
    <w:p w14:paraId="20622037" w14:textId="61140DE7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показателям (индикаторам) Программы поясняю следующее.</w:t>
      </w:r>
    </w:p>
    <w:p w14:paraId="59663FD1" w14:textId="2F3EAE27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отчетных данных в 2019 году за базовые значения приняты данные 2018 года по следующим индикаторам:</w:t>
      </w:r>
    </w:p>
    <w:p w14:paraId="28E27BB7" w14:textId="77777777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1</w:t>
      </w:r>
      <w:r w:rsidRPr="000C014E">
        <w:t xml:space="preserve"> </w:t>
      </w:r>
      <w:r>
        <w:t>«</w:t>
      </w:r>
      <w:r w:rsidRPr="000C014E">
        <w:rPr>
          <w:rFonts w:ascii="Times New Roman" w:hAnsi="Times New Roman" w:cs="Times New Roman"/>
          <w:sz w:val="24"/>
          <w:szCs w:val="24"/>
        </w:rPr>
        <w:t>Устройство линий наружного электроосвещения мест концентрации ДТП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12ABDC2C" w14:textId="6A251E6A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2 «</w:t>
      </w:r>
      <w:r w:rsidRPr="000C014E">
        <w:rPr>
          <w:rFonts w:ascii="Times New Roman" w:hAnsi="Times New Roman" w:cs="Times New Roman"/>
          <w:sz w:val="24"/>
          <w:szCs w:val="24"/>
        </w:rPr>
        <w:t>Количество приобретенных секций пешеходных и барьерных ограждений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70D32397" w14:textId="4A573EDF" w:rsidR="00E97830" w:rsidRDefault="00E97830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4 «</w:t>
      </w:r>
      <w:r w:rsidRPr="00E97830">
        <w:rPr>
          <w:rFonts w:ascii="Times New Roman" w:hAnsi="Times New Roman" w:cs="Times New Roman"/>
          <w:sz w:val="24"/>
          <w:szCs w:val="24"/>
        </w:rPr>
        <w:t>Количество проектных работ на устройство пешеходных дорожек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1013CF80" w14:textId="273C2B1D" w:rsidR="00E97830" w:rsidRDefault="00E97830" w:rsidP="00E97830">
      <w:pPr>
        <w:pStyle w:val="ConsPlusNormal"/>
        <w:ind w:left="13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97830">
        <w:rPr>
          <w:rFonts w:ascii="Times New Roman" w:hAnsi="Times New Roman" w:cs="Times New Roman"/>
          <w:sz w:val="24"/>
          <w:szCs w:val="24"/>
        </w:rPr>
        <w:t>Количество проведенных проверок достоверности определения сметной стоимости проекта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4A4EBEB7" w14:textId="290866D7" w:rsidR="00E97830" w:rsidRDefault="00E97830" w:rsidP="00E97830">
      <w:pPr>
        <w:pStyle w:val="ConsPlusNormal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7 «</w:t>
      </w:r>
      <w:r w:rsidRPr="00E97830">
        <w:rPr>
          <w:rFonts w:ascii="Times New Roman" w:hAnsi="Times New Roman" w:cs="Times New Roman"/>
          <w:sz w:val="24"/>
          <w:szCs w:val="24"/>
        </w:rPr>
        <w:t>Количество экспертных заключений на соответствие выполненных работ условиям муниципальных контрактов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6DD2DDAA" w14:textId="6BDBD823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12 «</w:t>
      </w:r>
      <w:r w:rsidRPr="000C014E">
        <w:rPr>
          <w:rFonts w:ascii="Times New Roman" w:hAnsi="Times New Roman" w:cs="Times New Roman"/>
          <w:sz w:val="24"/>
          <w:szCs w:val="24"/>
        </w:rPr>
        <w:t>Количество приобретенных единиц спецтехники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BFF963F" w14:textId="4733DF81" w:rsidR="000C014E" w:rsidRDefault="000C014E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7B905B" w14:textId="77777777" w:rsidR="002C10DA" w:rsidRPr="00853C36" w:rsidRDefault="002C10DA" w:rsidP="002C10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 xml:space="preserve">Показатели конечного результата отражены в разделе </w:t>
      </w:r>
      <w:r w:rsidRPr="00853C36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853C36">
        <w:rPr>
          <w:rFonts w:ascii="Times New Roman" w:hAnsi="Times New Roman" w:cs="Times New Roman"/>
          <w:sz w:val="24"/>
          <w:szCs w:val="24"/>
        </w:rPr>
        <w:t xml:space="preserve"> Программы. В таблице планируемой динамики выделены показатели, относящиеся к:</w:t>
      </w:r>
    </w:p>
    <w:p w14:paraId="359703F3" w14:textId="2B5B0F9E" w:rsidR="002C10DA" w:rsidRPr="00853C36" w:rsidRDefault="002C10DA" w:rsidP="002C10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стратегии социально-экономического развития городского округа Тольятти (решение Думы г.о.Тольятти от 25.01.2019 № 131)</w:t>
      </w:r>
      <w:r w:rsidR="004B6D53" w:rsidRPr="00853C36">
        <w:rPr>
          <w:rFonts w:ascii="Times New Roman" w:hAnsi="Times New Roman" w:cs="Times New Roman"/>
          <w:sz w:val="24"/>
          <w:szCs w:val="24"/>
        </w:rPr>
        <w:t xml:space="preserve"> (далее- Стратегия)</w:t>
      </w:r>
      <w:r w:rsidRPr="00853C36">
        <w:rPr>
          <w:rFonts w:ascii="Times New Roman" w:hAnsi="Times New Roman" w:cs="Times New Roman"/>
          <w:sz w:val="24"/>
          <w:szCs w:val="24"/>
        </w:rPr>
        <w:t xml:space="preserve">: № </w:t>
      </w:r>
      <w:r w:rsidR="009856EF" w:rsidRPr="00D541BF">
        <w:rPr>
          <w:rFonts w:ascii="Times New Roman" w:hAnsi="Times New Roman" w:cs="Times New Roman"/>
          <w:sz w:val="24"/>
          <w:szCs w:val="24"/>
        </w:rPr>
        <w:t>1</w:t>
      </w:r>
      <w:r w:rsidR="00D541BF" w:rsidRPr="00D541BF">
        <w:rPr>
          <w:rFonts w:ascii="Times New Roman" w:hAnsi="Times New Roman" w:cs="Times New Roman"/>
          <w:sz w:val="24"/>
          <w:szCs w:val="24"/>
        </w:rPr>
        <w:t>4</w:t>
      </w:r>
      <w:r w:rsidRPr="00D541BF">
        <w:rPr>
          <w:rFonts w:ascii="Times New Roman" w:hAnsi="Times New Roman" w:cs="Times New Roman"/>
          <w:sz w:val="24"/>
          <w:szCs w:val="24"/>
        </w:rPr>
        <w:t>;</w:t>
      </w:r>
    </w:p>
    <w:p w14:paraId="583BB689" w14:textId="5883FF0E" w:rsidR="002C10DA" w:rsidRPr="00853C36" w:rsidRDefault="002C10DA" w:rsidP="002C10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 xml:space="preserve">- </w:t>
      </w:r>
      <w:r w:rsidR="008A2452" w:rsidRPr="00853C36">
        <w:rPr>
          <w:rFonts w:ascii="Times New Roman" w:hAnsi="Times New Roman" w:cs="Times New Roman"/>
          <w:sz w:val="24"/>
          <w:szCs w:val="24"/>
        </w:rPr>
        <w:t>национальному проекту «Безопасные качественные автомобильные дороги»: №№</w:t>
      </w:r>
      <w:r w:rsidR="004B6D53" w:rsidRPr="00853C36">
        <w:rPr>
          <w:rFonts w:ascii="Times New Roman" w:hAnsi="Times New Roman" w:cs="Times New Roman"/>
          <w:sz w:val="24"/>
          <w:szCs w:val="24"/>
        </w:rPr>
        <w:t xml:space="preserve"> </w:t>
      </w:r>
      <w:r w:rsidR="004B6D53" w:rsidRPr="00D541BF">
        <w:rPr>
          <w:rFonts w:ascii="Times New Roman" w:hAnsi="Times New Roman" w:cs="Times New Roman"/>
          <w:sz w:val="24"/>
          <w:szCs w:val="24"/>
        </w:rPr>
        <w:t>1</w:t>
      </w:r>
      <w:r w:rsidR="00D541BF" w:rsidRPr="00D541BF">
        <w:rPr>
          <w:rFonts w:ascii="Times New Roman" w:hAnsi="Times New Roman" w:cs="Times New Roman"/>
          <w:sz w:val="24"/>
          <w:szCs w:val="24"/>
        </w:rPr>
        <w:t>5</w:t>
      </w:r>
      <w:r w:rsidR="004B6D53" w:rsidRPr="00D541BF">
        <w:rPr>
          <w:rFonts w:ascii="Times New Roman" w:hAnsi="Times New Roman" w:cs="Times New Roman"/>
          <w:sz w:val="24"/>
          <w:szCs w:val="24"/>
        </w:rPr>
        <w:t>, 1</w:t>
      </w:r>
      <w:r w:rsidR="00D541BF" w:rsidRPr="00D541BF">
        <w:rPr>
          <w:rFonts w:ascii="Times New Roman" w:hAnsi="Times New Roman" w:cs="Times New Roman"/>
          <w:sz w:val="24"/>
          <w:szCs w:val="24"/>
        </w:rPr>
        <w:t>6</w:t>
      </w:r>
      <w:r w:rsidR="004B6D53" w:rsidRPr="00D541BF">
        <w:rPr>
          <w:rFonts w:ascii="Times New Roman" w:hAnsi="Times New Roman" w:cs="Times New Roman"/>
          <w:sz w:val="24"/>
          <w:szCs w:val="24"/>
        </w:rPr>
        <w:t>.</w:t>
      </w:r>
      <w:r w:rsidR="004B6D53" w:rsidRPr="00853C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1A392" w14:textId="7B10A34F" w:rsidR="004B6D53" w:rsidRDefault="004B6D53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Целевые показатели по реализации региональных составляющих национальных проектов по городскому округу Тольятти, включенные в Стратегию, «Доля контрактов на осуществление дорожной деятельности в рамках реализации национального проекта, предусматривающего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% в общем объеме новых муниципальных контрактов на выполнение работ по капитальному ремонту, ремонту и содержанию автомобильных дорог (накопленным итогом) Доля контрактов на осуществление дорожной деятельности в рамках реализации национального проекта, предусматривающего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% в общем объеме новых муниципальных контрактов на выполнение работ по капитальному ремонту, ремонту и содержанию автомобильных дорог (накопленным итогом)», «Доля контрактов на осуществление дорожной деятельности в рамках реализации национального проекта, предусматривающего выполнение работ на принципах контракта жизненного цикла, предусматривающего объединение в один контракт различных видов дорожных работ, % в общем объеме новых государственных контрактов на выполнение работ по капитальному ремонту, ремонту и содержанию автомобильных дорог»</w:t>
      </w:r>
      <w:r w:rsidR="00C71514" w:rsidRPr="00853C36">
        <w:rPr>
          <w:rFonts w:ascii="Times New Roman" w:hAnsi="Times New Roman" w:cs="Times New Roman"/>
          <w:sz w:val="24"/>
          <w:szCs w:val="24"/>
        </w:rPr>
        <w:t xml:space="preserve"> не утверждены для городского округа Тольятти в рамках региональной составляющей национального проекта «Безопасные качественные дороги».</w:t>
      </w:r>
    </w:p>
    <w:p w14:paraId="6A17B41E" w14:textId="77777777" w:rsidR="00AE2DAD" w:rsidRDefault="00AE2DAD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отсутствием фактических данных в 2017-2019 гг по следующим показателям конечного результата отсутствуют базовые значения:</w:t>
      </w:r>
    </w:p>
    <w:p w14:paraId="48560B94" w14:textId="6C5DC642" w:rsidR="00AE2DAD" w:rsidRDefault="00AE2DAD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№4 «</w:t>
      </w:r>
      <w:r w:rsidRPr="00AE2DAD">
        <w:rPr>
          <w:rFonts w:ascii="Times New Roman" w:hAnsi="Times New Roman" w:cs="Times New Roman"/>
          <w:sz w:val="24"/>
          <w:szCs w:val="24"/>
        </w:rPr>
        <w:t>Доля построенных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07C96945" w14:textId="7209E7C6" w:rsidR="00AE2DAD" w:rsidRDefault="00AE2DAD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№5 «</w:t>
      </w:r>
      <w:r w:rsidRPr="00AE2DAD">
        <w:rPr>
          <w:rFonts w:ascii="Times New Roman" w:hAnsi="Times New Roman" w:cs="Times New Roman"/>
          <w:sz w:val="24"/>
          <w:szCs w:val="24"/>
        </w:rPr>
        <w:t>Доля реконструированных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010D91AB" w14:textId="2CEE7BC4" w:rsidR="00AE2DAD" w:rsidRDefault="00AE2DAD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 6 «</w:t>
      </w:r>
      <w:r w:rsidRPr="00AE2DAD">
        <w:rPr>
          <w:rFonts w:ascii="Times New Roman" w:hAnsi="Times New Roman" w:cs="Times New Roman"/>
          <w:sz w:val="24"/>
          <w:szCs w:val="24"/>
        </w:rPr>
        <w:t>Доля отремонтированных за счет капитального ремонта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7830">
        <w:rPr>
          <w:rFonts w:ascii="Times New Roman" w:hAnsi="Times New Roman" w:cs="Times New Roman"/>
          <w:sz w:val="24"/>
          <w:szCs w:val="24"/>
        </w:rPr>
        <w:t>.</w:t>
      </w:r>
    </w:p>
    <w:p w14:paraId="540EC99F" w14:textId="28C5FC54" w:rsidR="00E97830" w:rsidRPr="00853C36" w:rsidRDefault="00E97830" w:rsidP="004B6D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показателю № 7 «</w:t>
      </w:r>
      <w:r w:rsidRPr="00E97830">
        <w:rPr>
          <w:rFonts w:ascii="Times New Roman" w:hAnsi="Times New Roman" w:cs="Times New Roman"/>
          <w:sz w:val="24"/>
          <w:szCs w:val="24"/>
        </w:rPr>
        <w:t xml:space="preserve">Доля отремонтированных путем отсыпки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</w:t>
      </w:r>
      <w:r w:rsidRPr="00E97830">
        <w:rPr>
          <w:rFonts w:ascii="Times New Roman" w:hAnsi="Times New Roman" w:cs="Times New Roman"/>
          <w:sz w:val="24"/>
          <w:szCs w:val="24"/>
        </w:rPr>
        <w:lastRenderedPageBreak/>
        <w:t>также дорог в зоне застройки индивидуальными жилыми домами в общей площади автомобильных дорог с невысокой транспортной нагрузкой в городском округе Тольятти</w:t>
      </w:r>
      <w:r>
        <w:rPr>
          <w:rFonts w:ascii="Times New Roman" w:hAnsi="Times New Roman" w:cs="Times New Roman"/>
          <w:sz w:val="24"/>
          <w:szCs w:val="24"/>
        </w:rPr>
        <w:t>» за базовое значение принято значение 2018 года.</w:t>
      </w:r>
    </w:p>
    <w:p w14:paraId="300BED40" w14:textId="63BC9D99" w:rsidR="007E3383" w:rsidRDefault="0002587B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В соответствии с пунктом 5 решения Думы городского округа Тольятти от 08.07.2020 № 656</w:t>
      </w:r>
      <w:r w:rsidR="00245C09" w:rsidRPr="00853C36">
        <w:rPr>
          <w:rFonts w:ascii="Times New Roman" w:hAnsi="Times New Roman" w:cs="Times New Roman"/>
          <w:sz w:val="24"/>
          <w:szCs w:val="24"/>
        </w:rPr>
        <w:t xml:space="preserve"> (далее – Решение)</w:t>
      </w:r>
      <w:r w:rsidRPr="00853C36">
        <w:rPr>
          <w:rFonts w:ascii="Times New Roman" w:hAnsi="Times New Roman" w:cs="Times New Roman"/>
          <w:sz w:val="24"/>
          <w:szCs w:val="24"/>
        </w:rPr>
        <w:t>:</w:t>
      </w:r>
    </w:p>
    <w:p w14:paraId="55F6D750" w14:textId="61843928" w:rsidR="00AB650A" w:rsidRDefault="00AB650A" w:rsidP="007E33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добавлены показатели: №10</w:t>
      </w:r>
      <w:r w:rsidRPr="00AB650A">
        <w:t xml:space="preserve"> </w:t>
      </w:r>
      <w:r>
        <w:t>«</w:t>
      </w:r>
      <w:r w:rsidRPr="00AB650A">
        <w:rPr>
          <w:rFonts w:ascii="Times New Roman" w:hAnsi="Times New Roman" w:cs="Times New Roman"/>
          <w:sz w:val="24"/>
          <w:szCs w:val="24"/>
        </w:rPr>
        <w:t>Доля подвижного состава автобусов, не превышающих нормативный срок эксплуатации</w:t>
      </w:r>
      <w:r>
        <w:rPr>
          <w:rFonts w:ascii="Times New Roman" w:hAnsi="Times New Roman" w:cs="Times New Roman"/>
          <w:sz w:val="24"/>
          <w:szCs w:val="24"/>
        </w:rPr>
        <w:t>», № 11</w:t>
      </w:r>
      <w:r w:rsidRPr="00AB650A">
        <w:t xml:space="preserve"> </w:t>
      </w:r>
      <w:r>
        <w:t>«</w:t>
      </w:r>
      <w:r w:rsidRPr="00AB650A">
        <w:rPr>
          <w:rFonts w:ascii="Times New Roman" w:hAnsi="Times New Roman" w:cs="Times New Roman"/>
          <w:sz w:val="24"/>
          <w:szCs w:val="24"/>
        </w:rPr>
        <w:t>Доля подвижного состава троллейбусов, не превышающих нормативный срок эксплуатации</w:t>
      </w:r>
      <w:r>
        <w:rPr>
          <w:rFonts w:ascii="Times New Roman" w:hAnsi="Times New Roman" w:cs="Times New Roman"/>
          <w:sz w:val="24"/>
          <w:szCs w:val="24"/>
        </w:rPr>
        <w:t>», № 12 «</w:t>
      </w:r>
      <w:r w:rsidRPr="00AB650A">
        <w:rPr>
          <w:rFonts w:ascii="Times New Roman" w:hAnsi="Times New Roman" w:cs="Times New Roman"/>
          <w:sz w:val="24"/>
          <w:szCs w:val="24"/>
        </w:rPr>
        <w:t>Обеспеченность парка транспортом с низким (пониженным) уровнем пола МП "ТПАТП N 3"</w:t>
      </w:r>
      <w:r>
        <w:rPr>
          <w:rFonts w:ascii="Times New Roman" w:hAnsi="Times New Roman" w:cs="Times New Roman"/>
          <w:sz w:val="24"/>
          <w:szCs w:val="24"/>
        </w:rPr>
        <w:t>», №13 «</w:t>
      </w:r>
      <w:r w:rsidRPr="00AB650A">
        <w:rPr>
          <w:rFonts w:ascii="Times New Roman" w:hAnsi="Times New Roman" w:cs="Times New Roman"/>
          <w:sz w:val="24"/>
          <w:szCs w:val="24"/>
        </w:rPr>
        <w:t>Обеспеченность парка транспортом с низким (пониженным) уровнем пола МП "ТТУ"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636E26BF" w14:textId="73846F7B" w:rsidR="00AB650A" w:rsidRPr="00AB650A" w:rsidRDefault="00AB650A" w:rsidP="00AB6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50A">
        <w:rPr>
          <w:rFonts w:ascii="Times New Roman" w:hAnsi="Times New Roman" w:cs="Times New Roman"/>
          <w:sz w:val="24"/>
          <w:szCs w:val="24"/>
        </w:rPr>
        <w:t>- о</w:t>
      </w:r>
      <w:r w:rsidR="0002587B" w:rsidRPr="00AB650A">
        <w:rPr>
          <w:rFonts w:ascii="Times New Roman" w:hAnsi="Times New Roman" w:cs="Times New Roman"/>
          <w:sz w:val="24"/>
          <w:szCs w:val="24"/>
        </w:rPr>
        <w:t>тсутствие в показателях конечного результата показател</w:t>
      </w:r>
      <w:r w:rsidRPr="00AB650A">
        <w:rPr>
          <w:rFonts w:ascii="Times New Roman" w:hAnsi="Times New Roman" w:cs="Times New Roman"/>
          <w:sz w:val="24"/>
          <w:szCs w:val="24"/>
        </w:rPr>
        <w:t>ей</w:t>
      </w:r>
      <w:r w:rsidR="0002587B" w:rsidRPr="00AB650A">
        <w:rPr>
          <w:rFonts w:ascii="Times New Roman" w:hAnsi="Times New Roman" w:cs="Times New Roman"/>
          <w:sz w:val="24"/>
          <w:szCs w:val="24"/>
        </w:rPr>
        <w:t xml:space="preserve"> «Обеспеченность подвижного состава средствами визуального оповещения», «Доля подвижного состава автобусов, работающих на газомоторном топливе»</w:t>
      </w:r>
      <w:r w:rsidRPr="00AB650A">
        <w:rPr>
          <w:rFonts w:ascii="Times New Roman" w:hAnsi="Times New Roman" w:cs="Times New Roman"/>
          <w:sz w:val="24"/>
          <w:szCs w:val="24"/>
        </w:rPr>
        <w:t xml:space="preserve"> обусловлен тем, что весь приобретенный и приобретаемый подвижной состав соответствует повышению доступности для маломобильных граждан. Данная цель достигается за счет приобретения нового (адаптированного) транспорта, а также за счет оснащения имеющегося подвижного состава специальным оборудованием: для инвалидов с нарушением опорно-двигательного аппарата - транспорт с пониженным уровнем пола, оборудованный аппарелями и местами для крепления инвалидных колясок; для инвалидов по слуху - наличие средств визуального оповещения (световое табло); для инвалидов по зрению - наличие средств звукового оповещения (речевые автоинформаторы).</w:t>
      </w:r>
    </w:p>
    <w:p w14:paraId="54997914" w14:textId="1F921FCA" w:rsidR="00A2774B" w:rsidRDefault="0002587B" w:rsidP="000258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50A"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r w:rsidR="00245C09" w:rsidRPr="00AB650A">
        <w:rPr>
          <w:rFonts w:ascii="Times New Roman" w:hAnsi="Times New Roman" w:cs="Times New Roman"/>
          <w:sz w:val="24"/>
          <w:szCs w:val="24"/>
        </w:rPr>
        <w:t xml:space="preserve">рассматривается вопрос </w:t>
      </w:r>
      <w:r w:rsidRPr="00AB650A">
        <w:rPr>
          <w:rFonts w:ascii="Times New Roman" w:hAnsi="Times New Roman" w:cs="Times New Roman"/>
          <w:sz w:val="24"/>
          <w:szCs w:val="24"/>
        </w:rPr>
        <w:t>обновлени</w:t>
      </w:r>
      <w:r w:rsidR="00245C09" w:rsidRPr="00AB650A">
        <w:rPr>
          <w:rFonts w:ascii="Times New Roman" w:hAnsi="Times New Roman" w:cs="Times New Roman"/>
          <w:sz w:val="24"/>
          <w:szCs w:val="24"/>
        </w:rPr>
        <w:t>я</w:t>
      </w:r>
      <w:r w:rsidRPr="00AB650A">
        <w:rPr>
          <w:rFonts w:ascii="Times New Roman" w:hAnsi="Times New Roman" w:cs="Times New Roman"/>
          <w:sz w:val="24"/>
          <w:szCs w:val="24"/>
        </w:rPr>
        <w:t xml:space="preserve"> подвижного состава наземного общественного пассажирского транспорта, предусмотренного национальным проектом «Безопасные и качественные автомобильные дороги», </w:t>
      </w:r>
      <w:r w:rsidR="00245C09" w:rsidRPr="00AB650A">
        <w:rPr>
          <w:rFonts w:ascii="Times New Roman" w:hAnsi="Times New Roman" w:cs="Times New Roman"/>
          <w:sz w:val="24"/>
          <w:szCs w:val="24"/>
        </w:rPr>
        <w:t xml:space="preserve">рассматривается. Мероприятие будет включено в Программу после утверждения объемов финансирования. </w:t>
      </w:r>
    </w:p>
    <w:p w14:paraId="1EC6E363" w14:textId="77777777" w:rsidR="00245C09" w:rsidRPr="00853C36" w:rsidRDefault="00245C09" w:rsidP="000258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В соответствии с пунктом 6 Решения о невключении в показатели (индикаторы) целевых индикаторов Стратегии социально-экономического развития городского округа Тольятти по приоритетному направлению «Тольятти мобильный»:</w:t>
      </w:r>
    </w:p>
    <w:p w14:paraId="4F0E0EC0" w14:textId="0572644E" w:rsidR="00245C09" w:rsidRPr="00853C36" w:rsidRDefault="006F1246" w:rsidP="00245C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1)</w:t>
      </w:r>
      <w:r w:rsidR="00245C09" w:rsidRPr="00853C36">
        <w:rPr>
          <w:rFonts w:ascii="Times New Roman" w:hAnsi="Times New Roman" w:cs="Times New Roman"/>
          <w:sz w:val="24"/>
          <w:szCs w:val="24"/>
        </w:rPr>
        <w:t xml:space="preserve"> пассажирооборот транспорта общего пользования. </w:t>
      </w:r>
      <w:r w:rsidR="008C43E1" w:rsidRPr="00853C36">
        <w:rPr>
          <w:rFonts w:ascii="Times New Roman" w:hAnsi="Times New Roman" w:cs="Times New Roman"/>
          <w:sz w:val="24"/>
          <w:szCs w:val="24"/>
        </w:rPr>
        <w:t xml:space="preserve"> Замечание учтено. </w:t>
      </w:r>
      <w:r w:rsidR="002C10DA" w:rsidRPr="00853C36">
        <w:rPr>
          <w:rFonts w:ascii="Times New Roman" w:hAnsi="Times New Roman" w:cs="Times New Roman"/>
          <w:sz w:val="24"/>
          <w:szCs w:val="24"/>
        </w:rPr>
        <w:t>Показатель конечного результата у</w:t>
      </w:r>
      <w:r w:rsidR="00245C09" w:rsidRPr="00853C36">
        <w:rPr>
          <w:rFonts w:ascii="Times New Roman" w:hAnsi="Times New Roman" w:cs="Times New Roman"/>
          <w:sz w:val="24"/>
          <w:szCs w:val="24"/>
        </w:rPr>
        <w:t xml:space="preserve">читывается под </w:t>
      </w:r>
      <w:r w:rsidR="00245C09" w:rsidRPr="00C6277D">
        <w:rPr>
          <w:rFonts w:ascii="Times New Roman" w:hAnsi="Times New Roman" w:cs="Times New Roman"/>
          <w:sz w:val="24"/>
          <w:szCs w:val="24"/>
        </w:rPr>
        <w:t>номером 1</w:t>
      </w:r>
      <w:r w:rsidR="00C6277D" w:rsidRPr="00C6277D">
        <w:rPr>
          <w:rFonts w:ascii="Times New Roman" w:hAnsi="Times New Roman" w:cs="Times New Roman"/>
          <w:sz w:val="24"/>
          <w:szCs w:val="24"/>
        </w:rPr>
        <w:t>4</w:t>
      </w:r>
      <w:r w:rsidR="00E2479D" w:rsidRPr="00C6277D">
        <w:rPr>
          <w:rFonts w:ascii="Times New Roman" w:hAnsi="Times New Roman" w:cs="Times New Roman"/>
          <w:sz w:val="24"/>
          <w:szCs w:val="24"/>
        </w:rPr>
        <w:t>;</w:t>
      </w:r>
    </w:p>
    <w:p w14:paraId="6958C805" w14:textId="77777777" w:rsidR="00E2479D" w:rsidRPr="00853C36" w:rsidRDefault="006F1246" w:rsidP="00245C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2)</w:t>
      </w:r>
      <w:r w:rsidR="00E2479D" w:rsidRPr="00853C36">
        <w:rPr>
          <w:rFonts w:ascii="Times New Roman" w:hAnsi="Times New Roman" w:cs="Times New Roman"/>
          <w:sz w:val="24"/>
          <w:szCs w:val="24"/>
        </w:rPr>
        <w:t xml:space="preserve"> протяженность велодорожек, отвечающих современным требованиям безопасности. </w:t>
      </w:r>
      <w:r w:rsidRPr="00853C36">
        <w:rPr>
          <w:rFonts w:ascii="Times New Roman" w:hAnsi="Times New Roman" w:cs="Times New Roman"/>
          <w:sz w:val="24"/>
          <w:szCs w:val="24"/>
        </w:rPr>
        <w:t>Мероприятие по созданию велопешеходных дорожек реализуется в рамках программы «Формирование современной городской среды на 2018-2022 годы»;</w:t>
      </w:r>
    </w:p>
    <w:p w14:paraId="0DFE53B7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3) количество фото- и видеокамер фиксации нарушения правил дорожного движения относится к полномочиям департамента информационных технологий и связи Самарской области;</w:t>
      </w:r>
    </w:p>
    <w:p w14:paraId="70DE5C88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4) протяженность выделенных полос для общественного транспорта.</w:t>
      </w:r>
      <w:r w:rsidRPr="00853C36">
        <w:rPr>
          <w:sz w:val="24"/>
          <w:szCs w:val="24"/>
        </w:rPr>
        <w:t xml:space="preserve"> </w:t>
      </w:r>
      <w:r w:rsidRPr="00853C36">
        <w:rPr>
          <w:rFonts w:ascii="Times New Roman" w:hAnsi="Times New Roman" w:cs="Times New Roman"/>
          <w:sz w:val="24"/>
          <w:szCs w:val="24"/>
        </w:rPr>
        <w:t>Полосы для маршрутных транспортных средств введены в 2015 году на нескольких улицах городского округа Тольятти в качестве эксперимента. За истекший период была изучена необходимость их наличия. В декабре 2018 года собрана информация от руководства предприятий, осуществляющих перевозку пассажиров в городе. Перевозчиками не названо ни одного положительного аргумента, между тем отрицательных множество:</w:t>
      </w:r>
    </w:p>
    <w:p w14:paraId="1D90D16F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специальные полосы только увеличивают «пробки», так как они не являются дополнительными, а выделены из существующих;</w:t>
      </w:r>
    </w:p>
    <w:p w14:paraId="57BF44E6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отсутствует сокращение времени движения по маршруту;</w:t>
      </w:r>
    </w:p>
    <w:p w14:paraId="5FC30086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- средняя скорость движения не увеличилась;</w:t>
      </w:r>
    </w:p>
    <w:p w14:paraId="56F7EDC5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 xml:space="preserve">- полосами для маршрутных транспортных средств и остановками общественного транспорта не могли пользоваться ведомственные автобусы, нанятые в частном порядке, перевозящие сотрудников и работников многих фирм и производств города. </w:t>
      </w:r>
    </w:p>
    <w:p w14:paraId="00697749" w14:textId="77777777" w:rsidR="006F1246" w:rsidRPr="00853C36" w:rsidRDefault="006F1246" w:rsidP="006F12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C36">
        <w:rPr>
          <w:rFonts w:ascii="Times New Roman" w:hAnsi="Times New Roman" w:cs="Times New Roman"/>
          <w:sz w:val="24"/>
          <w:szCs w:val="24"/>
        </w:rPr>
        <w:t>По результатам опроса и обсуждений на совместном совещании сделан вывод о нецелесообразности выделенных полос и их ликвидации.</w:t>
      </w:r>
    </w:p>
    <w:p w14:paraId="6911E164" w14:textId="06397139" w:rsidR="006F1246" w:rsidRPr="00853C36" w:rsidRDefault="006F1246" w:rsidP="00F43AB5">
      <w:pPr>
        <w:ind w:firstLine="708"/>
        <w:jc w:val="both"/>
        <w:rPr>
          <w:sz w:val="24"/>
          <w:szCs w:val="24"/>
        </w:rPr>
      </w:pPr>
      <w:r w:rsidRPr="00853C36">
        <w:rPr>
          <w:sz w:val="24"/>
          <w:szCs w:val="24"/>
        </w:rPr>
        <w:lastRenderedPageBreak/>
        <w:t>5) число погибших в дорожно-транспортных происшествиях. Данный показатель учтен в показателе 3 «Уровень дорожно-транспортного травматизма «Тяжесть последствий» (число погибших на 100 пострадавших)». Учет и фиксацию дорожно-транспортных происшествия с числом погибших/пострадавших, находится в полномочиях ОГИБДД У МВД России по г. Тольятти Самарской области.</w:t>
      </w:r>
    </w:p>
    <w:p w14:paraId="6E00AA2B" w14:textId="77777777" w:rsidR="006F1246" w:rsidRPr="00853C36" w:rsidRDefault="006F1246" w:rsidP="00245C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8D30FA" w14:textId="77777777" w:rsidR="002C0803" w:rsidRPr="00853C36" w:rsidRDefault="002C0803" w:rsidP="007E3383">
      <w:pPr>
        <w:jc w:val="both"/>
        <w:rPr>
          <w:sz w:val="24"/>
          <w:szCs w:val="24"/>
        </w:rPr>
      </w:pPr>
    </w:p>
    <w:p w14:paraId="059CBC51" w14:textId="77777777" w:rsidR="00F43AB5" w:rsidRPr="00853C36" w:rsidRDefault="00F43AB5" w:rsidP="007E3383">
      <w:pPr>
        <w:jc w:val="both"/>
        <w:rPr>
          <w:sz w:val="24"/>
          <w:szCs w:val="24"/>
        </w:rPr>
      </w:pPr>
    </w:p>
    <w:p w14:paraId="68F12C91" w14:textId="77777777" w:rsidR="00F43AB5" w:rsidRPr="00853C36" w:rsidRDefault="00F43AB5" w:rsidP="007E3383">
      <w:pPr>
        <w:jc w:val="both"/>
        <w:rPr>
          <w:sz w:val="24"/>
          <w:szCs w:val="24"/>
        </w:rPr>
      </w:pPr>
    </w:p>
    <w:p w14:paraId="50FE1581" w14:textId="77777777" w:rsidR="00853C36" w:rsidRDefault="00853C36" w:rsidP="007E3383">
      <w:pPr>
        <w:tabs>
          <w:tab w:val="left" w:pos="14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руководителя департамента</w:t>
      </w:r>
    </w:p>
    <w:p w14:paraId="0800CC46" w14:textId="79AE7AB0" w:rsidR="00F43AB5" w:rsidRPr="00853C36" w:rsidRDefault="00853C36" w:rsidP="007E3383">
      <w:pPr>
        <w:tabs>
          <w:tab w:val="left" w:pos="14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начальник финансово-экономического отдела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Каунина</w:t>
      </w:r>
    </w:p>
    <w:p w14:paraId="21A944E4" w14:textId="77777777" w:rsidR="00F43AB5" w:rsidRPr="00853C36" w:rsidRDefault="00F43AB5" w:rsidP="007E3383">
      <w:pPr>
        <w:tabs>
          <w:tab w:val="left" w:pos="1420"/>
        </w:tabs>
        <w:jc w:val="both"/>
        <w:rPr>
          <w:sz w:val="24"/>
          <w:szCs w:val="24"/>
        </w:rPr>
      </w:pPr>
    </w:p>
    <w:p w14:paraId="2D838DAA" w14:textId="77777777" w:rsidR="00A67DBC" w:rsidRDefault="00A67DBC" w:rsidP="007E3383">
      <w:pPr>
        <w:tabs>
          <w:tab w:val="left" w:pos="1420"/>
        </w:tabs>
        <w:jc w:val="both"/>
        <w:rPr>
          <w:sz w:val="24"/>
          <w:szCs w:val="24"/>
        </w:rPr>
      </w:pPr>
    </w:p>
    <w:p w14:paraId="75C49FCA" w14:textId="63B18D38" w:rsidR="001C0C41" w:rsidRPr="00853C36" w:rsidRDefault="002C0803" w:rsidP="007E3383">
      <w:pPr>
        <w:tabs>
          <w:tab w:val="left" w:pos="1420"/>
        </w:tabs>
        <w:jc w:val="both"/>
        <w:rPr>
          <w:sz w:val="24"/>
          <w:szCs w:val="24"/>
        </w:rPr>
      </w:pPr>
      <w:r w:rsidRPr="00853C36">
        <w:rPr>
          <w:sz w:val="24"/>
          <w:szCs w:val="24"/>
        </w:rPr>
        <w:t>Демидов</w:t>
      </w:r>
      <w:r w:rsidR="001C0C41" w:rsidRPr="00853C36">
        <w:rPr>
          <w:sz w:val="24"/>
          <w:szCs w:val="24"/>
        </w:rPr>
        <w:t>а</w:t>
      </w:r>
    </w:p>
    <w:p w14:paraId="1332F4BB" w14:textId="77777777" w:rsidR="001C0C41" w:rsidRPr="00853C36" w:rsidRDefault="001C0C41" w:rsidP="007E3383">
      <w:pPr>
        <w:tabs>
          <w:tab w:val="left" w:pos="1420"/>
        </w:tabs>
        <w:jc w:val="both"/>
        <w:rPr>
          <w:sz w:val="24"/>
          <w:szCs w:val="24"/>
        </w:rPr>
      </w:pPr>
      <w:r w:rsidRPr="00853C36">
        <w:rPr>
          <w:sz w:val="24"/>
          <w:szCs w:val="24"/>
        </w:rPr>
        <w:t>54 3</w:t>
      </w:r>
      <w:r w:rsidR="002C0803" w:rsidRPr="00853C36">
        <w:rPr>
          <w:sz w:val="24"/>
          <w:szCs w:val="24"/>
        </w:rPr>
        <w:t>4</w:t>
      </w:r>
      <w:r w:rsidRPr="00853C36">
        <w:rPr>
          <w:sz w:val="24"/>
          <w:szCs w:val="24"/>
        </w:rPr>
        <w:t xml:space="preserve"> </w:t>
      </w:r>
      <w:r w:rsidR="002C0803" w:rsidRPr="00853C36">
        <w:rPr>
          <w:sz w:val="24"/>
          <w:szCs w:val="24"/>
        </w:rPr>
        <w:t>68</w:t>
      </w:r>
    </w:p>
    <w:sectPr w:rsidR="001C0C41" w:rsidRPr="00853C36" w:rsidSect="004853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E1C7F"/>
    <w:multiLevelType w:val="hybridMultilevel"/>
    <w:tmpl w:val="B0BC9D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EF20F8F"/>
    <w:multiLevelType w:val="hybridMultilevel"/>
    <w:tmpl w:val="02A863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B6"/>
    <w:rsid w:val="000004A3"/>
    <w:rsid w:val="00014BF7"/>
    <w:rsid w:val="000208B0"/>
    <w:rsid w:val="0002587B"/>
    <w:rsid w:val="00035FB8"/>
    <w:rsid w:val="000410D3"/>
    <w:rsid w:val="000B4560"/>
    <w:rsid w:val="000C014E"/>
    <w:rsid w:val="000D3651"/>
    <w:rsid w:val="000F4AFC"/>
    <w:rsid w:val="001101DB"/>
    <w:rsid w:val="001315C6"/>
    <w:rsid w:val="00132896"/>
    <w:rsid w:val="00136779"/>
    <w:rsid w:val="001536C4"/>
    <w:rsid w:val="001652F6"/>
    <w:rsid w:val="001800F4"/>
    <w:rsid w:val="00190D3B"/>
    <w:rsid w:val="001C0C41"/>
    <w:rsid w:val="001D1C23"/>
    <w:rsid w:val="001E292D"/>
    <w:rsid w:val="00206EE8"/>
    <w:rsid w:val="00210782"/>
    <w:rsid w:val="002149B6"/>
    <w:rsid w:val="00243BE2"/>
    <w:rsid w:val="00243CF3"/>
    <w:rsid w:val="00245C09"/>
    <w:rsid w:val="002472A2"/>
    <w:rsid w:val="00271543"/>
    <w:rsid w:val="00273C00"/>
    <w:rsid w:val="0028268E"/>
    <w:rsid w:val="002A4D10"/>
    <w:rsid w:val="002C0803"/>
    <w:rsid w:val="002C10DA"/>
    <w:rsid w:val="002E6B0C"/>
    <w:rsid w:val="0030562B"/>
    <w:rsid w:val="003111E9"/>
    <w:rsid w:val="003233C6"/>
    <w:rsid w:val="00332622"/>
    <w:rsid w:val="0033694B"/>
    <w:rsid w:val="00343103"/>
    <w:rsid w:val="0035112D"/>
    <w:rsid w:val="00351974"/>
    <w:rsid w:val="0036267E"/>
    <w:rsid w:val="003642F9"/>
    <w:rsid w:val="0037029D"/>
    <w:rsid w:val="00396019"/>
    <w:rsid w:val="003A07CE"/>
    <w:rsid w:val="003A2908"/>
    <w:rsid w:val="003E445D"/>
    <w:rsid w:val="00403232"/>
    <w:rsid w:val="00415F83"/>
    <w:rsid w:val="00420BF8"/>
    <w:rsid w:val="00424E39"/>
    <w:rsid w:val="0043108E"/>
    <w:rsid w:val="00453C87"/>
    <w:rsid w:val="004723BE"/>
    <w:rsid w:val="00485344"/>
    <w:rsid w:val="0049457E"/>
    <w:rsid w:val="00494CF4"/>
    <w:rsid w:val="004B0B11"/>
    <w:rsid w:val="004B2A9A"/>
    <w:rsid w:val="004B2F1C"/>
    <w:rsid w:val="004B6D53"/>
    <w:rsid w:val="004C4BF8"/>
    <w:rsid w:val="004C6C85"/>
    <w:rsid w:val="004C7691"/>
    <w:rsid w:val="004E0B93"/>
    <w:rsid w:val="004E7DF6"/>
    <w:rsid w:val="004F0091"/>
    <w:rsid w:val="004F60E9"/>
    <w:rsid w:val="00502F87"/>
    <w:rsid w:val="005032FE"/>
    <w:rsid w:val="00522897"/>
    <w:rsid w:val="005323E1"/>
    <w:rsid w:val="00541325"/>
    <w:rsid w:val="005414B8"/>
    <w:rsid w:val="00545832"/>
    <w:rsid w:val="00581F21"/>
    <w:rsid w:val="00587242"/>
    <w:rsid w:val="005B2348"/>
    <w:rsid w:val="005C6DDA"/>
    <w:rsid w:val="005E0906"/>
    <w:rsid w:val="006238F1"/>
    <w:rsid w:val="00637FA5"/>
    <w:rsid w:val="00694F6C"/>
    <w:rsid w:val="006A42F1"/>
    <w:rsid w:val="006F1246"/>
    <w:rsid w:val="006F7335"/>
    <w:rsid w:val="00712EF5"/>
    <w:rsid w:val="00716849"/>
    <w:rsid w:val="0072106A"/>
    <w:rsid w:val="00722241"/>
    <w:rsid w:val="00726260"/>
    <w:rsid w:val="00763FB5"/>
    <w:rsid w:val="00770BE1"/>
    <w:rsid w:val="007978D8"/>
    <w:rsid w:val="007A4838"/>
    <w:rsid w:val="007C45B9"/>
    <w:rsid w:val="007C58B7"/>
    <w:rsid w:val="007E3383"/>
    <w:rsid w:val="007F4173"/>
    <w:rsid w:val="007F68BA"/>
    <w:rsid w:val="0081059B"/>
    <w:rsid w:val="0082515B"/>
    <w:rsid w:val="0083683E"/>
    <w:rsid w:val="00843F16"/>
    <w:rsid w:val="0084553E"/>
    <w:rsid w:val="00852474"/>
    <w:rsid w:val="00852BD2"/>
    <w:rsid w:val="00853C36"/>
    <w:rsid w:val="00853D69"/>
    <w:rsid w:val="00877D49"/>
    <w:rsid w:val="00885563"/>
    <w:rsid w:val="008A2452"/>
    <w:rsid w:val="008A5D31"/>
    <w:rsid w:val="008A70FC"/>
    <w:rsid w:val="008B48B0"/>
    <w:rsid w:val="008B725B"/>
    <w:rsid w:val="008C43E1"/>
    <w:rsid w:val="008F6249"/>
    <w:rsid w:val="0091333C"/>
    <w:rsid w:val="00913AD4"/>
    <w:rsid w:val="00914BDE"/>
    <w:rsid w:val="00930A95"/>
    <w:rsid w:val="009856EF"/>
    <w:rsid w:val="009B4386"/>
    <w:rsid w:val="009B63FA"/>
    <w:rsid w:val="009E067D"/>
    <w:rsid w:val="00A077E1"/>
    <w:rsid w:val="00A20712"/>
    <w:rsid w:val="00A2774B"/>
    <w:rsid w:val="00A33DD0"/>
    <w:rsid w:val="00A477D8"/>
    <w:rsid w:val="00A53510"/>
    <w:rsid w:val="00A67DBC"/>
    <w:rsid w:val="00A91AEA"/>
    <w:rsid w:val="00A93B52"/>
    <w:rsid w:val="00A94135"/>
    <w:rsid w:val="00AA3452"/>
    <w:rsid w:val="00AA518F"/>
    <w:rsid w:val="00AB228F"/>
    <w:rsid w:val="00AB650A"/>
    <w:rsid w:val="00AC788A"/>
    <w:rsid w:val="00AD1C38"/>
    <w:rsid w:val="00AD2503"/>
    <w:rsid w:val="00AE2DAD"/>
    <w:rsid w:val="00B02BDA"/>
    <w:rsid w:val="00B802C3"/>
    <w:rsid w:val="00C179E8"/>
    <w:rsid w:val="00C2162D"/>
    <w:rsid w:val="00C255CE"/>
    <w:rsid w:val="00C328B8"/>
    <w:rsid w:val="00C353ED"/>
    <w:rsid w:val="00C436A2"/>
    <w:rsid w:val="00C447C9"/>
    <w:rsid w:val="00C56D38"/>
    <w:rsid w:val="00C61BFC"/>
    <w:rsid w:val="00C6277D"/>
    <w:rsid w:val="00C63B3E"/>
    <w:rsid w:val="00C71514"/>
    <w:rsid w:val="00C7376F"/>
    <w:rsid w:val="00C77D26"/>
    <w:rsid w:val="00CA47AC"/>
    <w:rsid w:val="00CB501E"/>
    <w:rsid w:val="00CE6297"/>
    <w:rsid w:val="00D108F7"/>
    <w:rsid w:val="00D304B0"/>
    <w:rsid w:val="00D541BF"/>
    <w:rsid w:val="00D767EC"/>
    <w:rsid w:val="00D96763"/>
    <w:rsid w:val="00DA39A2"/>
    <w:rsid w:val="00DB46FC"/>
    <w:rsid w:val="00DC6E2A"/>
    <w:rsid w:val="00DF2BA6"/>
    <w:rsid w:val="00E060FE"/>
    <w:rsid w:val="00E2479D"/>
    <w:rsid w:val="00E4231D"/>
    <w:rsid w:val="00E56FCA"/>
    <w:rsid w:val="00E97830"/>
    <w:rsid w:val="00EB30A6"/>
    <w:rsid w:val="00EB5825"/>
    <w:rsid w:val="00ED03CA"/>
    <w:rsid w:val="00ED6297"/>
    <w:rsid w:val="00EE409E"/>
    <w:rsid w:val="00EE4E35"/>
    <w:rsid w:val="00F43AB5"/>
    <w:rsid w:val="00F560A6"/>
    <w:rsid w:val="00F852D2"/>
    <w:rsid w:val="00F866D2"/>
    <w:rsid w:val="00FC07F5"/>
    <w:rsid w:val="00FC348B"/>
    <w:rsid w:val="00FC42E2"/>
    <w:rsid w:val="00FF1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2B5D"/>
  <w15:docId w15:val="{885ED8D8-904D-4869-B7AE-9B9F9111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9B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149B6"/>
    <w:pPr>
      <w:keepNext/>
      <w:ind w:firstLine="720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4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149B6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link w:val="2"/>
    <w:rsid w:val="002149B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503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62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260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48534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85344"/>
    <w:rPr>
      <w:rFonts w:ascii="Times New Roman" w:eastAsia="Times New Roman" w:hAnsi="Times New Roman"/>
    </w:rPr>
  </w:style>
  <w:style w:type="paragraph" w:styleId="a8">
    <w:name w:val="Block Text"/>
    <w:basedOn w:val="a"/>
    <w:rsid w:val="00C61BFC"/>
    <w:pPr>
      <w:ind w:left="720" w:right="-1333"/>
      <w:jc w:val="both"/>
    </w:pPr>
    <w:rPr>
      <w:color w:val="000000"/>
      <w:sz w:val="24"/>
    </w:rPr>
  </w:style>
  <w:style w:type="paragraph" w:customStyle="1" w:styleId="ConsPlusTitle">
    <w:name w:val="ConsPlusTitle"/>
    <w:rsid w:val="004E0B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1C0C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1C0C41"/>
    <w:rPr>
      <w:rFonts w:ascii="Arial" w:eastAsia="Times New Roman" w:hAnsi="Arial" w:cs="Arial"/>
    </w:rPr>
  </w:style>
  <w:style w:type="paragraph" w:styleId="21">
    <w:name w:val="Quote"/>
    <w:basedOn w:val="a"/>
    <w:next w:val="a"/>
    <w:link w:val="22"/>
    <w:uiPriority w:val="29"/>
    <w:qFormat/>
    <w:rsid w:val="004F60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F60E9"/>
    <w:rPr>
      <w:rFonts w:ascii="Times New Roman" w:eastAsia="Times New Roman" w:hAnsi="Times New Roman"/>
      <w:i/>
      <w:iCs/>
      <w:color w:val="000000" w:themeColor="text1"/>
    </w:rPr>
  </w:style>
  <w:style w:type="paragraph" w:styleId="a9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a"/>
    <w:uiPriority w:val="34"/>
    <w:qFormat/>
    <w:rsid w:val="005C6DDA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aa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9"/>
    <w:uiPriority w:val="34"/>
    <w:rsid w:val="005C6DDA"/>
    <w:rPr>
      <w:rFonts w:eastAsia="Times New Roman"/>
      <w:sz w:val="22"/>
      <w:szCs w:val="22"/>
      <w:lang w:eastAsia="ar-SA"/>
    </w:rPr>
  </w:style>
  <w:style w:type="paragraph" w:styleId="ab">
    <w:name w:val="Document Map"/>
    <w:basedOn w:val="a"/>
    <w:link w:val="ac"/>
    <w:uiPriority w:val="99"/>
    <w:semiHidden/>
    <w:unhideWhenUsed/>
    <w:rsid w:val="002C0803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C08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17382C10EE53F9D2530265CAA94B4F3900CB917212FF3C5ED1E87EC3E4C19AF2DC0C2351B00585FDBB3A356C9D5657646D29A0A0B808DAC4F45DD4OBJ9L" TargetMode="External"/><Relationship Id="rId5" Type="http://schemas.openxmlformats.org/officeDocument/2006/relationships/hyperlink" Target="consultantplus://offline/ref=C0426C55B7E4972A9171F8BD684C38CD3B9F7402E6E67071AF06625E2105CAE89336CBE7139D6BB72EEFAA43EB0335B8C1206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</dc:creator>
  <cp:lastModifiedBy>Разумова Наталья Сергеевна</cp:lastModifiedBy>
  <cp:revision>2</cp:revision>
  <cp:lastPrinted>2020-09-24T08:55:00Z</cp:lastPrinted>
  <dcterms:created xsi:type="dcterms:W3CDTF">2020-10-13T12:30:00Z</dcterms:created>
  <dcterms:modified xsi:type="dcterms:W3CDTF">2020-10-13T12:30:00Z</dcterms:modified>
</cp:coreProperties>
</file>