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B78" w:rsidRPr="00E75B85" w:rsidRDefault="00F313BD">
      <w:pPr>
        <w:pStyle w:val="ConsPlusTitle"/>
        <w:jc w:val="center"/>
        <w:outlineLvl w:val="0"/>
      </w:pPr>
      <w:r w:rsidRPr="009600D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50302C" wp14:editId="4A54BE9B">
                <wp:simplePos x="0" y="0"/>
                <wp:positionH relativeFrom="column">
                  <wp:posOffset>3587115</wp:posOffset>
                </wp:positionH>
                <wp:positionV relativeFrom="paragraph">
                  <wp:posOffset>-81053</wp:posOffset>
                </wp:positionV>
                <wp:extent cx="2623820" cy="1043940"/>
                <wp:effectExtent l="0" t="0" r="508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382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13BD" w:rsidRPr="005C35A9" w:rsidRDefault="00F313BD" w:rsidP="00F313B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УТВЕРЖДЕНА</w:t>
                            </w:r>
                          </w:p>
                          <w:p w:rsidR="00F313BD" w:rsidRPr="005C35A9" w:rsidRDefault="00F313BD" w:rsidP="00F313B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bCs/>
                                <w:sz w:val="24"/>
                                <w:szCs w:val="24"/>
                              </w:rPr>
                              <w:t>постановлением администрации</w:t>
                            </w:r>
                          </w:p>
                          <w:p w:rsidR="00F313BD" w:rsidRPr="005C35A9" w:rsidRDefault="00F313BD" w:rsidP="00F313BD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городского округа Тольятти</w:t>
                            </w:r>
                          </w:p>
                          <w:p w:rsidR="00F313BD" w:rsidRPr="005C35A9" w:rsidRDefault="00F313BD" w:rsidP="00F313BD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5C35A9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от _________ № 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82.45pt;margin-top:-6.4pt;width:206.6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" stroked="f">
                <v:textbox>
                  <w:txbxContent>
                    <w:p w:rsidR="00F313BD" w:rsidRPr="005C35A9" w:rsidRDefault="00F313BD" w:rsidP="00F313B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УТВЕРЖДЕНА</w:t>
                      </w:r>
                    </w:p>
                    <w:p w:rsidR="00F313BD" w:rsidRPr="005C35A9" w:rsidRDefault="00F313BD" w:rsidP="00F313B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bCs/>
                          <w:sz w:val="24"/>
                          <w:szCs w:val="24"/>
                        </w:rPr>
                        <w:t>постановлением администрации</w:t>
                      </w:r>
                    </w:p>
                    <w:p w:rsidR="00F313BD" w:rsidRPr="005C35A9" w:rsidRDefault="00F313BD" w:rsidP="00F313BD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городского округа Тольятти</w:t>
                      </w:r>
                    </w:p>
                    <w:p w:rsidR="00F313BD" w:rsidRPr="005C35A9" w:rsidRDefault="00F313BD" w:rsidP="00F313BD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5C35A9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от _________ № 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1503F" w:rsidP="00B1503F">
      <w:pPr>
        <w:pStyle w:val="ConsPlusTitle"/>
        <w:tabs>
          <w:tab w:val="left" w:pos="4171"/>
        </w:tabs>
        <w:outlineLvl w:val="0"/>
      </w:pPr>
      <w:r>
        <w:tab/>
      </w:r>
    </w:p>
    <w:p w:rsidR="00B96B78" w:rsidRDefault="00B96B78">
      <w:pPr>
        <w:pStyle w:val="ConsPlusTitle"/>
        <w:jc w:val="center"/>
        <w:outlineLvl w:val="0"/>
      </w:pPr>
    </w:p>
    <w:p w:rsidR="00F313BD" w:rsidRPr="00E75B85" w:rsidRDefault="00F313BD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МУНИЦИПАЛЬНАЯ ПРОГРАММА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 xml:space="preserve">«БЛАГОУСТРОЙСТВО ТЕРРИТОРИИ ГОРОДСКОГО ОКРУГА ТОЛЬЯТТИ 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НА 2025 - 2030 ГОДЫ»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Паспорт муниципальной программы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«Благоустройство территории городского округа Тольятти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75B85">
        <w:rPr>
          <w:rFonts w:ascii="Times New Roman" w:hAnsi="Times New Roman" w:cs="Times New Roman"/>
          <w:bCs/>
          <w:sz w:val="24"/>
          <w:szCs w:val="24"/>
        </w:rPr>
        <w:t>на 2025 - 2030 годы»</w:t>
      </w:r>
    </w:p>
    <w:p w:rsidR="00474878" w:rsidRPr="00E75B85" w:rsidRDefault="00474878" w:rsidP="004748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244"/>
        <w:gridCol w:w="5329"/>
      </w:tblGrid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программа «Благоустройство территории городского округа Тольятти на 2025 - 2030 годы» (далее - Программа)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распоряжения мэрии городского округа Тольятти о разработке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мэрии городского округа Тольятти от 16.02.2017 № 597-п/1 (в ред. от 19.02.202</w:t>
            </w:r>
            <w:r w:rsidR="00210BBD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</w:t>
            </w:r>
            <w:r w:rsidR="00210BBD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307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-п/1)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BBD" w:rsidRPr="00E75B85" w:rsidRDefault="00210BBD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75B8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Постановление Правительства Самарской области от 17.05.2017 № 323 «Об утверждении государственной программы Самарской области «Поддержка инициатив населения муниципальных образований в Самарской области» и установлении отдельных расходных обязательств Самарской области».</w:t>
            </w:r>
          </w:p>
          <w:p w:rsidR="00210BBD" w:rsidRPr="00E75B85" w:rsidRDefault="00210BBD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Самарской области от 31.08.2018 № 522 «Об утверждении государственной программы Самарской области "Совершенствование системы обращения с отходами, в том числе с твердыми коммунальными отходами, на территории Самарской области" и установлении отдельных расходных обязательств Самарской области»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городского хозяйства администрации городского округа Тольятти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Департамент городского хозяйства ад</w:t>
            </w:r>
            <w:r w:rsidR="00210BBD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министрации (далее - ДГХ).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Программы: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соответствия городских общественных пространств высоким стандартам качества городской среды и качества досуга жителей.</w:t>
            </w:r>
          </w:p>
          <w:p w:rsidR="00474878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Программы: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1. </w:t>
            </w:r>
            <w:r w:rsidR="00E94CD5" w:rsidRPr="00E94CD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комплексного благоустройства внутриквартальных территорий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E94CD5" w:rsidRPr="00E94CD5">
              <w:rPr>
                <w:rFonts w:ascii="Times New Roman" w:hAnsi="Times New Roman" w:cs="Times New Roman"/>
                <w:bCs/>
                <w:sz w:val="24"/>
                <w:szCs w:val="24"/>
              </w:rPr>
              <w:t>Сохранение и улучшение эксплуатационных характеристик общественных пространств</w:t>
            </w:r>
            <w:r w:rsidR="006B765F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B765F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E94CD5" w:rsidRPr="00E94CD5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массового отдыха на береговых зонах водных объектов</w:t>
            </w:r>
            <w:r w:rsidR="00E94C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6B765F" w:rsidRPr="00E75B85" w:rsidRDefault="006B765F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47487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94CD5" w:rsidRPr="00E94CD5">
              <w:rPr>
                <w:rFonts w:ascii="Times New Roman" w:hAnsi="Times New Roman" w:cs="Times New Roman"/>
                <w:bCs/>
                <w:sz w:val="24"/>
                <w:szCs w:val="24"/>
              </w:rPr>
              <w:t>Вовлечение населения в благоустройство городской среды</w:t>
            </w:r>
            <w:r w:rsidR="00E94C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74878" w:rsidRDefault="006B765F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47487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94CD5" w:rsidRPr="00E94CD5">
              <w:rPr>
                <w:rFonts w:ascii="Times New Roman" w:hAnsi="Times New Roman" w:cs="Times New Roman"/>
                <w:bCs/>
                <w:sz w:val="24"/>
                <w:szCs w:val="24"/>
              </w:rPr>
              <w:t>Эксплуатация объектов благоустройства городских территорий</w:t>
            </w:r>
            <w:r w:rsidR="00E94CD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94CD5" w:rsidRPr="00E75B85" w:rsidRDefault="00E94CD5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  <w:r w:rsidRPr="00E94CD5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мест погребения (мест захоронения) городского округа Тольятти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74878" w:rsidRPr="00E75B85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B765F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6B765F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годы</w:t>
            </w:r>
          </w:p>
        </w:tc>
      </w:tr>
      <w:tr w:rsidR="00474878" w:rsidRPr="00E75B85" w:rsidTr="00474878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области, и средств из внебюджетных источников.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</w:t>
            </w:r>
            <w:r w:rsidR="00F12BBB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беспечение реализации Программы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составит </w:t>
            </w:r>
            <w:r w:rsidR="001F79D7" w:rsidRPr="001F79D7">
              <w:rPr>
                <w:rFonts w:ascii="Times New Roman" w:hAnsi="Times New Roman" w:cs="Times New Roman"/>
                <w:bCs/>
                <w:sz w:val="24"/>
                <w:szCs w:val="24"/>
              </w:rPr>
              <w:t>8 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489</w:t>
            </w:r>
            <w:r w:rsidR="001F79D7" w:rsidRP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082</w:t>
            </w:r>
            <w:r w:rsidRP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руб., из них: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местный бюджет </w:t>
            </w:r>
            <w:r w:rsidR="00204D0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4703" w:rsidRPr="009F4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F4703" w:rsidRPr="009F470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EC5BB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9F4703" w:rsidRPr="009F4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338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внебюджетные источники </w:t>
            </w:r>
            <w:r w:rsidR="00204D08"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30020" w:rsidRPr="00830020">
              <w:rPr>
                <w:rFonts w:ascii="Times New Roman" w:hAnsi="Times New Roman" w:cs="Times New Roman"/>
                <w:bCs/>
                <w:sz w:val="24"/>
                <w:szCs w:val="24"/>
              </w:rPr>
              <w:t>9 744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</w:t>
            </w:r>
          </w:p>
          <w:p w:rsidR="00474878" w:rsidRPr="00E75B85" w:rsidRDefault="00474878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обеспечение реализации Программы  за счет всех источников по годам составит: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2025 год –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972</w:t>
            </w:r>
            <w:r w:rsidR="009F4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9F470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30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2026 год – </w:t>
            </w:r>
            <w:r w:rsidR="009F470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9F4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EC5BB7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2027 год –</w:t>
            </w:r>
            <w:r w:rsidR="00830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F4703">
              <w:rPr>
                <w:rFonts w:ascii="Times New Roman" w:hAnsi="Times New Roman" w:cs="Times New Roman"/>
                <w:bCs/>
                <w:sz w:val="24"/>
                <w:szCs w:val="24"/>
              </w:rPr>
              <w:t>1 </w:t>
            </w:r>
            <w:r w:rsidR="00067003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  <w:r w:rsidR="009F47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260</w:t>
            </w:r>
            <w:r w:rsidR="000670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2028 год –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1 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613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022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2029 год –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1 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710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664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2030 год –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1 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448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506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:rsidR="00F12BBB" w:rsidRPr="00E75B85" w:rsidRDefault="00F12BBB" w:rsidP="006B765F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обеспечение реализации Программы  за счет бюджетных средств с учетом планируемых к поступлению средств вышестоящих бюджетов: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2025 год –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971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</w:t>
            </w:r>
            <w:r w:rsidR="0083002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2026 год –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955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</w:t>
            </w:r>
            <w:r w:rsidR="0083002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2027 год –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1 785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636</w:t>
            </w:r>
            <w:r w:rsidR="001F79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  <w:r w:rsidR="00830020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2028 год –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1 611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398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2029 год –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1 709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040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2030 год – 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>1 44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3D14E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54C1A">
              <w:rPr>
                <w:rFonts w:ascii="Times New Roman" w:hAnsi="Times New Roman" w:cs="Times New Roman"/>
                <w:bCs/>
                <w:sz w:val="24"/>
                <w:szCs w:val="24"/>
              </w:rPr>
              <w:t>882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Объем бюджетных ассигнований на финансовое обеспечение реализации Программы  за счет внебюджетных средств: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2025 год – </w:t>
            </w:r>
            <w:r w:rsidR="00830020">
              <w:rPr>
                <w:rFonts w:ascii="Times New Roman" w:hAnsi="Times New Roman" w:cs="Times New Roman"/>
                <w:bCs/>
                <w:sz w:val="24"/>
                <w:szCs w:val="24"/>
              </w:rPr>
              <w:t>1 624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2026 год – </w:t>
            </w:r>
            <w:r w:rsidR="00830020" w:rsidRPr="00830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1 624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2027 год – </w:t>
            </w:r>
            <w:r w:rsidR="00830020" w:rsidRPr="00830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1 624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2028 год – </w:t>
            </w:r>
            <w:r w:rsidR="00830020" w:rsidRPr="00830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1 624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F12BBB" w:rsidRPr="00E75B85" w:rsidRDefault="00F12BBB" w:rsidP="00F12BBB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2029 год – </w:t>
            </w:r>
            <w:r w:rsidR="00830020" w:rsidRPr="00830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1 624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руб.;</w:t>
            </w:r>
          </w:p>
          <w:p w:rsidR="00474878" w:rsidRDefault="00F12BBB" w:rsidP="00A50AE6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2030 год – </w:t>
            </w:r>
            <w:r w:rsidR="00830020" w:rsidRPr="0083002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1 624 </w:t>
            </w: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тыс. руб.</w:t>
            </w:r>
          </w:p>
          <w:p w:rsidR="00830020" w:rsidRPr="00E75B85" w:rsidRDefault="00830020" w:rsidP="006977FE">
            <w:pPr>
              <w:autoSpaceDE w:val="0"/>
              <w:autoSpaceDN w:val="0"/>
              <w:adjustRightInd w:val="0"/>
              <w:spacing w:after="0" w:line="240" w:lineRule="auto"/>
              <w:ind w:firstLine="24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- </w:t>
            </w:r>
            <w:r w:rsidRPr="00830020">
              <w:rPr>
                <w:rFonts w:ascii="Times New Roman" w:hAnsi="Times New Roman" w:cs="Times New Roman"/>
                <w:bCs/>
                <w:sz w:val="24"/>
                <w:szCs w:val="24"/>
              </w:rPr>
              <w:t>финансовые средства приведены в объемах доведенных контрольных цифр Проекта бюджета городского округа Тольятти на 2025 год и плановый период 2026 и 2027 годов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474878" w:rsidRPr="00E75B85" w:rsidTr="00474878">
        <w:trPr>
          <w:trHeight w:val="3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повышение комфортности условий проживания граждан на территории городского округа Тольятти;</w:t>
            </w:r>
          </w:p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улучшение условий массового отдыха жителей и гостей городского округа Тольятти;</w:t>
            </w:r>
          </w:p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улучшение эстетического состояния территории городского округа Тольятти;</w:t>
            </w:r>
          </w:p>
          <w:p w:rsidR="00474878" w:rsidRPr="00E75B85" w:rsidRDefault="00474878" w:rsidP="00474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5B85">
              <w:rPr>
                <w:rFonts w:ascii="Times New Roman" w:hAnsi="Times New Roman" w:cs="Times New Roman"/>
                <w:bCs/>
                <w:sz w:val="24"/>
                <w:szCs w:val="24"/>
              </w:rPr>
              <w:t>- повышение уровня благоустройства территорий городского округа Тольятти</w:t>
            </w:r>
          </w:p>
        </w:tc>
      </w:tr>
    </w:tbl>
    <w:p w:rsidR="00B96B78" w:rsidRPr="00E75B85" w:rsidRDefault="00B96B78">
      <w:pPr>
        <w:pStyle w:val="ConsPlusTitle"/>
        <w:jc w:val="center"/>
        <w:outlineLvl w:val="0"/>
      </w:pPr>
    </w:p>
    <w:p w:rsidR="00B96B78" w:rsidRPr="00E75B85" w:rsidRDefault="00B96B78">
      <w:pPr>
        <w:pStyle w:val="ConsPlusTitle"/>
        <w:jc w:val="center"/>
        <w:outlineLvl w:val="0"/>
      </w:pPr>
    </w:p>
    <w:p w:rsidR="0064587A" w:rsidRPr="00E75B85" w:rsidRDefault="0064587A" w:rsidP="00F12BB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70609" w:rsidRPr="00E75B85" w:rsidRDefault="00170609" w:rsidP="00F12BB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I. Анализ проблемы и обоснование ее решения</w:t>
      </w:r>
    </w:p>
    <w:p w:rsidR="00170609" w:rsidRPr="00E75B85" w:rsidRDefault="00170609" w:rsidP="00F12BBB">
      <w:pPr>
        <w:pStyle w:val="ConsPlusTitle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в соответствии с программно-целевым принципом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Тольятти сформировался из трех обособленных планировочных районов, застройка которых происходила в разное время. Как и повсеместно, в нашем городе происходило постоянное отставание развития благоустройства от жилищного строительства. В результате этого благоустройство территорий большого количества жилых кварталов не соответствует современному уровню жизни. </w:t>
      </w:r>
      <w:proofErr w:type="gramStart"/>
      <w:r w:rsidRPr="0090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Кроме того, результаты </w:t>
      </w:r>
      <w:r w:rsidR="0090093D" w:rsidRPr="009009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обследования</w:t>
      </w:r>
      <w:r w:rsidRPr="00900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внутриквартальных территорий показали, что вследствие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целого ряда причин, таких как естественное старение твердых покрытий, малых архитектурных форм (далее - МАФ) и зеленых насаждений, некачественное восстановление элементов благоустройства после проведения ремонтных работ на инженерных сетях, недостаточная социальная ответственность населения и порой неудовлетворительное содержание привели к тому, что существующее состояние благоустройства территории не соответствует </w:t>
      </w:r>
      <w:hyperlink r:id="rId9" w:history="1">
        <w:r w:rsidRPr="00E75B8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Правилам</w:t>
        </w:r>
      </w:hyperlink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благоустройства, утвержденным решением Думы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Тольятти Самарской области от 04.07.2018 № 1789 (далее - Правила благоустройства): твердые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покрытия нуждаются в восстановлении, число существующих МАФ не отвечает потребностям населения ввиду естественного старения, необходимо удалить большое количество сухостойных и аварийно опасных деревьев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омолаживающую обрезку.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Проблемы благоустройства в городском округе Тольятти систематизированы в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данной Программе, которые можно разделить по следующим направлениям: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Обеспечение комплексного благоустройства внутриквартальных территорий.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Комфортность проживания в многоквартирных домах определяется, в том числе уровнем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благоустройства внутриквартальных территорий. Для создания благоприятных и безопасных условий для жителей внутриквартальная территория должна иметь в шаговой доступности детскую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площадку</w:t>
      </w:r>
      <w:r w:rsidR="00B70189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спортивно-игровую площадку, элементы озеленения, дорогу с твердым покрытием,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искусственное освещение в вечернее и ночное время, парковку индивидуального транспорта, обустроенное место для сбора и временного хранения мусора.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Покрытия поверхности обеспечивают на территории городского округа условия безопасного и комфортного передвижения, а также формируют архитектурно-художественный облик городского округа. Для целей благоустройства территории определены следующие виды покрытий: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твердые (капитальные) - монолитные или сборные, выполняемые из асфальтобетона,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цементобетона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природного камня и тому подобных материалов;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2) мягкие (некапитальные), выполняемые из природных или искусственных сыпучих материалов (песок, щебень, гранитные высевки, керам</w:t>
      </w:r>
      <w:r w:rsidR="00B70189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зит, резиновая крошка и другие)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газонные, выполняемые по специальным технологиям подготовки и посадки травяного покрова;</w:t>
      </w:r>
    </w:p>
    <w:p w:rsidR="00B70189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4) комбинированные, представляющие сочетания покрытий, указанных выше</w:t>
      </w:r>
      <w:r w:rsidR="00B70189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5) грунтовые.</w:t>
      </w:r>
    </w:p>
    <w:p w:rsidR="00007724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десяти последних лет в рамках выделяемого бюджетного финансирования велась работа по восстановлению и ремонту твердых покрытий. За период с 2015 по 2023 года выполнены работы по ремонту, восстановлению и устройству твердых покрытий тротуаров и проездов более чем на 350 территориях. Однако, учитывая физическое старение автомобильных дорог и тротуаров, в процессе изнашивающего и разрушающего воздействия транспортных средств, а также неблагоприятных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погодно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-климатических условий, потребность по восстановлению твердых покрытий возрастает с каждым годом.</w:t>
      </w:r>
    </w:p>
    <w:p w:rsidR="00A60D10" w:rsidRPr="00E75B85" w:rsidRDefault="00A60D10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сегодняшний день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около 1 610 тыс. 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покрытий тротуаров и проездов требует ремонта или восстановления.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 внутриквартальных территорий - это не только комфорт и безопасность людей в темное время суток, но и инструмент, позволяющий модернизировать эстетическое восприятие городской среды.</w:t>
      </w:r>
      <w:r w:rsidR="00B70189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темное время суток повышается вероятность противоправных действий, что необходимо учитывать при организации освещения жилых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районов.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градостроительных условий предусматривается функциональное, архитектурное и информационное освещение с целью решения утилитарных, светопланировочных и светокомпозиционных задач, в том числе при необходимости светоцветового зонирования территорий городского округа и формирования системы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светопространственных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ансамблей.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реализации мероприятия по ремонту, восстановлению и устройству внутриквартального освещения назрела давно и диктуется, прежде всего, следующими причинами: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сегодняшний облик ночного города не удовлетворяет общепризнанным стандартам развитых городов, что особенно отмечается гостями Тольятти;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необходимость снижения уровня криминогенной активности, проявления которой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связаны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и с недостаточным освещением дворовых и внутриквартальных территорий;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существующем уровне финансирования текущих темпов работ по устройству сетей наружного освещения внутриквартальных территорий не хватает;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необходимость ухода от освещения придомовых территорий светильниками, расположенными на фасадах жилых домов, затраты по которым ложатся на собственников жилых помещений.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мероприятия обеспечит достижение положительной динамики изменения степени благоустройства города, обеспечит надежную работу наружного освещения внутриквартальных территорий городского округа Тольятти.</w:t>
      </w:r>
    </w:p>
    <w:p w:rsidR="00007724" w:rsidRPr="00E75B85" w:rsidRDefault="00007724" w:rsidP="00E75B85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благоустройства на территории городского округа при создании МАФ необходимо использовать принципы функционального разнообразия, комфортной среды для общения, гармонии с природой в части обеспечения разнообразия визуального облика территории, различных видов социальной активности и коммуникаций между людьми, применения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экологичных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материалов, привлечения людей к активному и здоровому времяпрепровождению.</w:t>
      </w:r>
    </w:p>
    <w:p w:rsidR="00007724" w:rsidRDefault="00007724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Игровое оборудование должно соответствовать требованиям санитарно-гигиенических норм, охраны жизни и здоровья ребенка, быть удобным в технической эксплуатации, эстетически привлекательным. Допускается применять модульное оборудование, обеспечивающее вариантность сочетаний элементов. </w:t>
      </w:r>
    </w:p>
    <w:p w:rsidR="00007724" w:rsidRPr="00E75B85" w:rsidRDefault="00007724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Спортивное оборудование предназначено для всех возрастных групп населения, размещается на спортивных, физкультурных площадках либо на специально оборудованных пешеходных коммуникациях (тропы здоровья) в составе рекреаций. Спортивное оборудование в виде специальных физкультурных снарядов и тренажеров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может быть как заводского изготовления, так и выполненным из бревен и брусьев со специально обработанной поверхностью, исключающей получение травм (отсутствие трещин, сколов и тому подобное). </w:t>
      </w:r>
    </w:p>
    <w:p w:rsidR="00007724" w:rsidRDefault="00007724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период с 2015 по 2023 год на территории городского округа Тольятти  установлено более 300 детского игрового и спортивного оборудования, МАФ, но, несмотря на большой объем устанавливаемого оборудования, потребность в ремонте, восстановлении и устройстве детских площадок и установке МАФ сохраняется. В соответствии с пунктом 44 Технического регламента Евразийского экономического союза «О безопасности оборудования для детских игровых площадок», утвержденного решением Совета Евразийской экономической комиссии от 17.05.2017 № 21, по истечении назначенного срока службы (заявленного в паспорте изделия) эксплуатация оборудования  должна быть прекращена независимо от технического состояния оборудования.</w:t>
      </w:r>
    </w:p>
    <w:p w:rsidR="00A60D10" w:rsidRDefault="00A60D10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0D1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Программы планируется выполнить восстановление и устройство 44 детских и 187 спортивных площадок.</w:t>
      </w:r>
    </w:p>
    <w:p w:rsidR="00175C32" w:rsidRDefault="00175C32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важность поддержки массового спорта в городском округе Тольятти существует необходимость 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восстановлении хоккейных кортов и катков. На сегодняшний день на территории города 32 корта, требующих замену устаревшего оборудования, ограждения, твердых покрытий и ремонт освещения.</w:t>
      </w:r>
    </w:p>
    <w:p w:rsidR="00260D99" w:rsidRDefault="00A60D10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планирования перечня</w:t>
      </w:r>
      <w:r w:rsidR="00F3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объектов, </w:t>
      </w:r>
      <w:r w:rsidR="009931D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требующих</w:t>
      </w:r>
      <w:r w:rsidR="00F3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</w:t>
      </w:r>
      <w:r w:rsidR="009931D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3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управляющими организациями в соответствии с Постановлением Правительства РФ от 13.08.2006 № 491 ежегодно проводятся сезонные осмотры </w:t>
      </w:r>
      <w:r w:rsidR="0026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(обследования) </w:t>
      </w:r>
      <w:r w:rsidR="00F36D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придомовых территорий в целях выявления произошедших в течение зимнего периода повреждений благоустройства и определения объемов работ на текущий год. Аналогичная работа проводится на внутриквартальных территори</w:t>
      </w:r>
      <w:r w:rsidR="006977FE">
        <w:rPr>
          <w:rFonts w:ascii="Times New Roman" w:eastAsia="Times New Roman" w:hAnsi="Times New Roman" w:cs="Times New Roman"/>
          <w:sz w:val="24"/>
          <w:szCs w:val="24"/>
          <w:lang w:eastAsia="ru-RU"/>
        </w:rPr>
        <w:t>ях, в местах общего пользования</w:t>
      </w:r>
      <w:r w:rsidR="00F36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специалистами администраций районов города.</w:t>
      </w:r>
      <w:r w:rsidR="0026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60D10" w:rsidRDefault="00260D99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проведенных обследований территорий, в соответствии с решением Думы городского округа Тольятти от 09.10.24 №   , специалистам администрации районов </w:t>
      </w:r>
      <w:r w:rsidR="00C55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поручено в срок до 01.07.2025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департамент городского хозяйства адресный перечень с указанием планируемых работ в целях включения в мероприятия Программы с 2026 года.</w:t>
      </w:r>
    </w:p>
    <w:p w:rsidR="00175C32" w:rsidRDefault="00175C32" w:rsidP="00AE77E9">
      <w:pPr>
        <w:widowControl w:val="0"/>
        <w:autoSpaceDE w:val="0"/>
        <w:autoSpaceDN w:val="0"/>
        <w:spacing w:before="120" w:after="12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175C3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 улучшение эксплуатационных характеристик общественных пространств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CA6A1A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</w:t>
      </w:r>
      <w:r w:rsid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>, р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асположенны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городского округа Тольятти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понимаются</w:t>
      </w:r>
      <w:r w:rsid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общего пользования,</w:t>
      </w:r>
      <w:r w:rsid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мемориальные комплексы, памятные знаки, установленные на площадях, улицах, в парках, скверах, на других открытых территориях</w:t>
      </w:r>
      <w:r w:rsidR="00A641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6F3C29" w:rsidP="00AE77E9">
      <w:pPr>
        <w:widowControl w:val="0"/>
        <w:autoSpaceDE w:val="0"/>
        <w:autoSpaceDN w:val="0"/>
        <w:spacing w:after="0" w:line="34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</w:t>
      </w:r>
      <w:r w:rsidR="00007724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места находятся в разных районах и существенно влияют на создание имиджа городского округа в целом.</w:t>
      </w:r>
    </w:p>
    <w:p w:rsidR="00007724" w:rsidRPr="00E75B85" w:rsidRDefault="00007724" w:rsidP="00AA2F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реализации муниципальной программы «Благоустройство территории городского округа Тольятти на 2015-2024 годы»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мэрии городского округа Тольятти от 24.03.2015 № 905-п/1</w:t>
      </w:r>
      <w:r w:rsid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65255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выполнено благоустройство выставочного зала в честь 50-летия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АВТОВАЗа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выпуска первого легкового автомобиля со сквером, игровыми площадками и фонтаном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вокруг садово-парковой композиции Пальмиро Тольятти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сквера Центральной площади (скульптурная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композиция Николай Чудотворец);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территории, прилегающ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стеле «Радость труда»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выполнено устройство постамента под Бюст-памятник С.П. Корол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еву, по адресу: б-р Королева, 3;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МБУ школы №49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кольцевой развязке ул. Борковская и Южного шоссе выполнена архитектурная подсветка стелы Ладья и прилегающей территории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площадки боевой техники в парке Победы выполнено устройство твердых покрытий тротуаров, ремонт техники, озеленение, ремонт освещения.</w:t>
      </w:r>
      <w:proofErr w:type="gramEnd"/>
    </w:p>
    <w:p w:rsidR="006F3C29" w:rsidRDefault="00007724" w:rsidP="00AA2F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Несмотря на проделанную работу, в настоящее время большинство </w:t>
      </w:r>
      <w:r w:rsid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общественных пространств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находится в неудовлетворительном состоянии: частично разрушены сами памятники, а также покрытие прилегающей территории; неухоженный вид зеленых насаждений. </w:t>
      </w:r>
    </w:p>
    <w:p w:rsidR="0064587A" w:rsidRPr="00E75B85" w:rsidRDefault="00007724" w:rsidP="00AA2F3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перечень мероприятий по благоустройству входит </w:t>
      </w:r>
      <w:r w:rsidR="00302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твердых и мягких покрытий,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скамеек, урн, освещения и ограждений, а также благоустройство прилегающей территории. При проведении работ по благоустройству предполагается произвести санитарно-оздоровительные мероприятия по уходу за существующими насаждениями. Они направлены на сохранение и восстановление частично утраченных экологических функций и ландшафтной привлекательности зеленых насаждений, обеспечение безопасности пребывания на территории. Красивый и ухоженный газон - один из важнейших компонентов ландшафта, а дополняют его газонные ограждения, выделяя газон визуально и защищая его от </w:t>
      </w:r>
      <w:proofErr w:type="spell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вытаптывания</w:t>
      </w:r>
      <w:proofErr w:type="spell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транспорта, выгула животных в неположенных местах. Разбивка цветников внесет ландшафтное разнообразие, придаст территории живой, красочный вид, а также обогатит и выделит существующий рельеф. Объекты озеленения будут обеспечены поливочной системой. На тротуарной части предполагается произвести установку скамеек. Возле каждой скамейки устанавливаются урны для мусора, что позволит предотвратить захламление газонов. </w:t>
      </w:r>
    </w:p>
    <w:p w:rsidR="00007724" w:rsidRPr="00E75B85" w:rsidRDefault="00007724" w:rsidP="00AE77E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Уличная урна для сбора мусора считается одним из самых важных элементов для благоустройства территории и борьбы с мусором. Установка фонарей обезопасит передвижение пешеходов в темное время суток и придаст бульвару дополнительный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эстетический вид. Фонари планируется выполнять в антивандальном исполнении с использованием энергосберегающих ламп для снижения потребления электроэнергии и увеличения срока их службы.</w:t>
      </w:r>
    </w:p>
    <w:p w:rsidR="00007724" w:rsidRPr="00E75B85" w:rsidRDefault="00007724" w:rsidP="00AE77E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2019 году в рамках реализации конкурса «Наш микрорайон», выполнены работы по организации новых и восстановлению существующих мест отдыха на 42 внутриквартальных территориях. </w:t>
      </w:r>
    </w:p>
    <w:p w:rsidR="00007724" w:rsidRPr="00E75B85" w:rsidRDefault="00007724" w:rsidP="00AE77E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Организацию, подготовку, проведение и подведение итогов Конкурса осуществляли координационные советы микрорайонов. </w:t>
      </w:r>
    </w:p>
    <w:p w:rsidR="00007724" w:rsidRDefault="00007724" w:rsidP="00AE77E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Конкурса являлось вовлечение жителей города в разработку и реализацию проектов по развитию дворовой/общественной территории, улучшение эстетического облика территории городского округа Тольятти.</w:t>
      </w:r>
    </w:p>
    <w:p w:rsidR="006F3C29" w:rsidRPr="006F3C29" w:rsidRDefault="006F3C29" w:rsidP="00AE77E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Праздничное оформление городских общественных пространств осуществляется на период проведения государственных и городских праздников, мероприятий, связанных со знаменательными событиями, в соответствии с Правилами благоустройства территории городского округа Тольятти.</w:t>
      </w:r>
    </w:p>
    <w:p w:rsidR="006F3C29" w:rsidRPr="006F3C29" w:rsidRDefault="006F3C29" w:rsidP="00AE77E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существует проблема по праздничному оформлению городских общественных пространств во время проведения общегородских торжественных и праздничных мероприятий из-за недостаточного бюджетного финансирования и нежелания организаций и предприятий разных форм собственности вкладывать собственные средства в оформление своих территорий. Работы по праздничному </w:t>
      </w:r>
      <w:r w:rsidR="00EB216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оформлению городских территорий</w:t>
      </w:r>
      <w:r w:rsidRP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 установку, ремонт и перевозку МАФ, установку барьерных ограждений, </w:t>
      </w:r>
      <w:r w:rsidR="00AD2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монтаж (</w:t>
      </w:r>
      <w:r w:rsidRP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демонтаж</w:t>
      </w:r>
      <w:r w:rsidR="00AD2AD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F3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новогодних елей и </w:t>
      </w:r>
      <w:r w:rsidR="00EB2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иллюминации, вывешивание и снятие флагов, </w:t>
      </w:r>
      <w:r w:rsidR="00AD2AD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световых консолей.</w:t>
      </w:r>
    </w:p>
    <w:p w:rsidR="00BF6F6F" w:rsidRDefault="00007724" w:rsidP="00BF6F6F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BF6F6F" w:rsidRPr="00BF6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массового отдыха на береговых зонах водных объектов</w:t>
      </w:r>
      <w:r w:rsidR="00BF6F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007724" w:rsidP="00BF6F6F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округ Тольятти расположен на левом берегу реки Волга с протяженностью береговой линии более 20 км. Береговая полоса городского округа сложена из берегоукреплений, портовых и судоходных гидротехнических сооружений, с естественными склонами.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Волжско-Камским каскадом Гидроэлектростанций (далее – ГЭС) образованы Куйбышевское и Саратовское водохранилища, которые прилегают к границам городского округа Тольятти. В районе Комсомольского района водохранилища разделены гидроузлом «Жигулевской ГЭС». Городские районы обеспечены выходами к набережным каждого района.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Автозаводской, Центральный и Комсомольский районы в зоне воздействия Куйбышевского водохранилища. 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гидроузлом «Жигулевской ГЭС» территория Комсомольского района, в границах микрорайонов Федоровка,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Тракторный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Шлюзовой, а также полуострова Копылово в зоне воздействия Саратовского водохранилища.</w:t>
      </w:r>
    </w:p>
    <w:p w:rsidR="00007724" w:rsidRPr="00E75B85" w:rsidRDefault="00007724" w:rsidP="00E75B85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муниципальной собственности находятся следующие гидротехнические сооружения:</w:t>
      </w:r>
    </w:p>
    <w:p w:rsidR="00007724" w:rsidRPr="00E75B8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«Берегоукрепление Куйбышевского водохранилища в районе набережной Ком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сомольского района г. Тольятти».</w:t>
      </w:r>
    </w:p>
    <w:p w:rsidR="00007724" w:rsidRPr="00E75B8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«Берегоукрепление Куйбышевского водохранилища в районе набережной Ц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ентрального района г. Тольятти».</w:t>
      </w:r>
    </w:p>
    <w:p w:rsidR="00007724" w:rsidRPr="00E75B8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«Гидротехнические сооружения дамбы на полуострове Копылово Ком</w:t>
      </w:r>
      <w:r w:rsidR="00C61F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сомольского района г. Тольятти».</w:t>
      </w:r>
    </w:p>
    <w:p w:rsidR="00007724" w:rsidRPr="00965255" w:rsidRDefault="00007724" w:rsidP="00E75B85">
      <w:pPr>
        <w:widowControl w:val="0"/>
        <w:numPr>
          <w:ilvl w:val="0"/>
          <w:numId w:val="1"/>
        </w:numPr>
        <w:autoSpaceDE w:val="0"/>
        <w:autoSpaceDN w:val="0"/>
        <w:spacing w:after="0" w:line="348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«Пирс в Ав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тозаводском районе г. Тольятти».</w:t>
      </w:r>
    </w:p>
    <w:p w:rsidR="006D761F" w:rsidRDefault="006D761F" w:rsidP="0028713D">
      <w:pPr>
        <w:widowControl w:val="0"/>
        <w:autoSpaceDE w:val="0"/>
        <w:autoSpaceDN w:val="0"/>
        <w:spacing w:after="0" w:line="3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61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D761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«Набережная Автозаводского района с объектами инженерно-технического обеспечения и элементами благоустройства» (постановление администрации г.о. Тольятти от 20.08.24 №1555-п/1).</w:t>
      </w:r>
    </w:p>
    <w:p w:rsidR="00007724" w:rsidRPr="00965255" w:rsidRDefault="00007724" w:rsidP="0028713D">
      <w:pPr>
        <w:widowControl w:val="0"/>
        <w:autoSpaceDE w:val="0"/>
        <w:autoSpaceDN w:val="0"/>
        <w:spacing w:after="0" w:line="3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25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безопасной эксплуатации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гидротехнических сооружений и соблюдения требований законодательства: </w:t>
      </w:r>
      <w:proofErr w:type="gramStart"/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Водного кодекса Российской Федерации,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</w:t>
      </w:r>
      <w:r w:rsidR="006C11FE"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1FE"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C11FE">
        <w:rPr>
          <w:rFonts w:ascii="Times New Roman" w:eastAsia="Times New Roman" w:hAnsi="Times New Roman" w:cs="Times New Roman"/>
          <w:sz w:val="24"/>
          <w:szCs w:val="24"/>
          <w:lang w:eastAsia="ru-RU"/>
        </w:rPr>
        <w:t>.1997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117-ФЗ «О безопасности гидротехнических сооружений», Федерального закона от 27.07.2010 № 225-ФЗ «Об обязательном страховании гражданской ответственности владельца опасного объекта за причинение вреда в результ</w:t>
      </w:r>
      <w:r w:rsidR="00C61F81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ате аварии на опасном объекте»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сопутствующих требований законодательства РФ, с целью надлежащей эксплуатации необходимо проведение постоянных плановых мероприятий, на которые необходимо предусматривать финансирование.</w:t>
      </w:r>
      <w:proofErr w:type="gramEnd"/>
    </w:p>
    <w:p w:rsidR="00007724" w:rsidRPr="00965255" w:rsidRDefault="00007724" w:rsidP="0028713D">
      <w:pPr>
        <w:widowControl w:val="0"/>
        <w:autoSpaceDE w:val="0"/>
        <w:autoSpaceDN w:val="0"/>
        <w:spacing w:after="0" w:line="3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соблюдения чистоты и порядка на объектах и прилегающей территории необходимо проведение санитарного содержания береговой зоны, сбор и вывоз мусора, очистки системы поверхностного водоотвода гидротехнических сооружений, обслуживание входных и выходных оголовков водопропускных сооружений. </w:t>
      </w:r>
    </w:p>
    <w:p w:rsidR="00007724" w:rsidRPr="00965255" w:rsidRDefault="00007724" w:rsidP="0028713D">
      <w:pPr>
        <w:widowControl w:val="0"/>
        <w:autoSpaceDE w:val="0"/>
        <w:autoSpaceDN w:val="0"/>
        <w:spacing w:after="0" w:line="3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Определены береговые зоны для обустройства и открытия безопасных мест купания и отдыха населения на водоемах (пляжей):</w:t>
      </w:r>
    </w:p>
    <w:p w:rsidR="00007724" w:rsidRPr="00965255" w:rsidRDefault="00007724" w:rsidP="0028713D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36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«Волжский замок», расположенный южнее здания № 1а по ул. </w:t>
      </w:r>
      <w:proofErr w:type="gramStart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Нагорной</w:t>
      </w:r>
      <w:proofErr w:type="gramEnd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Цен</w:t>
      </w:r>
      <w:r w:rsid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тральном районе города Тольятти;</w:t>
      </w:r>
    </w:p>
    <w:p w:rsidR="00007724" w:rsidRPr="00E75B85" w:rsidRDefault="00007724" w:rsidP="0028713D">
      <w:pPr>
        <w:widowControl w:val="0"/>
        <w:numPr>
          <w:ilvl w:val="0"/>
          <w:numId w:val="2"/>
        </w:numPr>
        <w:tabs>
          <w:tab w:val="left" w:pos="0"/>
        </w:tabs>
        <w:autoSpaceDE w:val="0"/>
        <w:autoSpaceDN w:val="0"/>
        <w:spacing w:after="0" w:line="362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«Итальянский пляж», расположенный по Лесопарковому шоссе, участок 15В, в Центральном районе города Тольятти.</w:t>
      </w:r>
    </w:p>
    <w:p w:rsidR="00007724" w:rsidRPr="00E75B85" w:rsidRDefault="0028713D" w:rsidP="0028713D">
      <w:pPr>
        <w:widowControl w:val="0"/>
        <w:autoSpaceDE w:val="0"/>
        <w:autoSpaceDN w:val="0"/>
        <w:spacing w:after="0" w:line="3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07724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сложности геологического строения прибрежной территории, </w:t>
      </w:r>
      <w:r w:rsidR="00007724" w:rsidRPr="00EC4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развития </w:t>
      </w:r>
      <w:r w:rsidR="00EC4E98" w:rsidRPr="00EC4E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эрозион</w:t>
      </w:r>
      <w:r w:rsidR="00007724" w:rsidRPr="00EC4E98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процессов</w:t>
      </w:r>
      <w:r w:rsidR="00007724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сильного волнового и ветрового воздействия на </w:t>
      </w:r>
      <w:r w:rsidR="00007724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береговую зону от водохранилищ, основной задачей для принятия рациональных решений </w:t>
      </w:r>
      <w:r w:rsidR="00274BAA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="00007724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периодических инженерных, геодезических, геологических, гидрологических</w:t>
      </w:r>
      <w:r w:rsidR="00007724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изысканий, экспертиз и научных исследований в рамках проектно-изыскательских работ и обследований. 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рассмотрения вопросов улучшения экологической и техногенной ситуации программу изысканий необходимо планировать по условиям эксплуатации объектов, выявлении проблемных вопросов и текущей жизнедеятельности на прилегающей территории к водным объектам.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Территории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пользования, муниципальные гидротехнические сооружения и объекты в береговой зоне требует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ряда мероприятий по ремонту, мониторингу состояния, содержанию и эксплуатации объектов капитальных сооружении, инженерных коммуникаций, мест купания и отдыха населения на водоемах. Для реализации поставленных задач необходимо предусматривать соответствующие периодические мероприятия программным методом.</w:t>
      </w:r>
    </w:p>
    <w:p w:rsidR="00CA6A1A" w:rsidRDefault="00007724" w:rsidP="0028713D">
      <w:pPr>
        <w:widowControl w:val="0"/>
        <w:autoSpaceDE w:val="0"/>
        <w:autoSpaceDN w:val="0"/>
        <w:spacing w:before="160" w:after="16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CA6A1A"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населения в благоустройство городской среды</w:t>
      </w:r>
      <w:r w:rsid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городском округе </w:t>
      </w:r>
      <w:r w:rsid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Тольятти 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 реализуются практики инициативного бюджетирования в рамках государственной программы Самарской области «Поддержка инициатив населения муниципальных образований в Самарской области», утвержденной постановлением Правительства Самарской области от 17.05.2017 № 323, и Положения об инициативных проектах на территории городского округа Тольятти, утвержденного Решением Думы городского округа Тольятти от 23.06.2021 № 985.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механизмов инициативного бюджетирования осуществляется реализация гражданских инициатив по решению вопросов местного значения при непосредственном участии граждан в определении и выборе объектов расходования бюджетных средств, а также последующем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объектов общественной инфраструктуры.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инициативного бюджетирования являются важным дополнением всестороннего решения проблем, волнующих граждан.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муниципальной программы «Благоустройство территории городского округа Тольятти на 2015 - 2024 годы», утвержденной постановлением мэрии городского округа Тольятти от 24.03.2015 № 905-п/1 с 2018 года на территории городского округа Тольятти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реализовано 52 общественных проекта и 6 инициативных проектов по направлениям: создание (восстановление) площадок для игр детей, отдыха </w:t>
      </w:r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взрослых, занятий</w:t>
      </w:r>
      <w:r w:rsidR="00274BAA"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физической культурой и спортом;</w:t>
      </w:r>
      <w:proofErr w:type="gramEnd"/>
      <w:r w:rsidRPr="00965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обеспечение условий для развития школьного спорта, ремонт дорог дворовых территорий и устройство парковок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Конкурсный отбор общественных проектов осуществляется конкурсной комиссией, образуемой Правительством Самарской области.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софинансирования из областного бюджета расходного обязательства муниципального образования при предоставлении субсидий, направленных на решение вопросов местного значения и связанных с реализацией мероприятий по поддержке общественных проектов, не может быть более 92%. При этом размер лимитов по городскому округу Тольятти составляет 36 млн. руб.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практик </w:t>
      </w:r>
      <w:proofErr w:type="gramStart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инициативного</w:t>
      </w:r>
      <w:proofErr w:type="gramEnd"/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бюджетирования обеспечит: 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получение относительно быстрых результатов развития территории муниципального образования и удовлетворенность населения деятельностью органов власти;</w:t>
      </w:r>
    </w:p>
    <w:p w:rsidR="00007724" w:rsidRPr="00E75B85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увеличение доходов местного бюджета за счет средств вышестоящего бюджета, поступающих средств добровольных пожертвований, инициативных платежей, направляемых на решение конкретных проблем, которые население считает наиболее актуальными.</w:t>
      </w:r>
    </w:p>
    <w:p w:rsidR="00007724" w:rsidRDefault="00007724" w:rsidP="0028713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CA6A1A"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объектов благоустройства городских территорий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6A1A" w:rsidRDefault="00CA6A1A" w:rsidP="00AA2F3C">
      <w:pPr>
        <w:widowControl w:val="0"/>
        <w:autoSpaceDE w:val="0"/>
        <w:autoSpaceDN w:val="0"/>
        <w:spacing w:before="120"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территорий общего пользования в чистоте, комплексное содержание </w:t>
      </w:r>
      <w:r w:rsidR="009B7A9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внутриквартальных территорий</w:t>
      </w:r>
      <w:r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исключением придомовых территорий, обязанность по содержанию которых возложена на собственников жилых помещений многоквартирных домов, является одним из насущных вопросов, относящихся к городскому пространству. Задачи содержания данных территорий сводятся к созданию здоровых и благоприятных условий жизни городского населения. Понятие «содержание территорий общего пользования» включает в себя большой перечень работ и мероприятий: работы по содержанию тротуаров, газонов, ливневой канализации, катков и кортов, площадок семейного отдыха, автодорог, в том числе проведение ямочного ремонта дорог и тротуаров, работы по озеленению.</w:t>
      </w:r>
    </w:p>
    <w:p w:rsidR="00CA6A1A" w:rsidRPr="00CA6A1A" w:rsidRDefault="00CA6A1A" w:rsidP="000E3F7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 территории представляет собой обязательные мероприятия, которые необходимо проводить независимо от дней недели и времени года. Однако именно от сезона зависит состав мероприятий, необходимых для того, чтобы территория имела ухоженный и безопасный вид. Период летней уборки территории городского округа Тольятти устанавливается с 1 апреля по 31 октября. Период зимней уборки - с 1 ноября по 31 марта. В случае резкого изменения погодных условий (снег, мороз) сроки начала и окончания зимней уборки могут быть изменены.</w:t>
      </w:r>
    </w:p>
    <w:p w:rsidR="00CA6A1A" w:rsidRPr="00CA6A1A" w:rsidRDefault="00CA6A1A" w:rsidP="000E3F7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Летнее комплексное содержание территорий жилых кварталов, за исключением придомовых территорий, включает следующие работы: содержание газонов (подбор мусора с газонов и косьба газонов), подметание тротуаров, очистку урн, содержание катков и кортов, содержание площадок семейного отдыха и стрижку живой изгороди. Стрижку живой изгороди необходимо проводить 4 раза за сезон, а косьбу газонов - 6 раз за сезон со сгребанием травы. Ручную и механизированную влажную уборку тротуаров, влажную уборку автодорог, уборку газонов и площадок семейного отдыха необходимо проводить ежедневно. Работы по очистке колодцев ливневой канализации необходимо проводить 1 раз в месяц. Работы по содержанию объектов озеленения включают в себя стрижку живой изгороди.</w:t>
      </w:r>
    </w:p>
    <w:p w:rsidR="00CA6A1A" w:rsidRDefault="00CA6A1A" w:rsidP="000E3F7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Зимнее санитарное содержание включает в себя: ежедневную очистку тротуаров, не менее 20 раз в месяц очистку автомобильных дорог от снега (механизированную и ручную), 2-кратную заливку катков и кортов, еженедельную очистку тротуаров и очистку урн на площадках семейного отдыха.</w:t>
      </w:r>
    </w:p>
    <w:p w:rsidR="00CA6A1A" w:rsidRDefault="00CA6A1A" w:rsidP="000E3F7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дефицитом бюджета на содержание территорий общего пользования, комплексное содержание жилых кварталов и объектов озеленения городского округа Тольятти выделяется недостаточное количество бюджетных средств. По этой причине работы выполняются с меньшей периодичностью.</w:t>
      </w:r>
    </w:p>
    <w:p w:rsidR="00310A0C" w:rsidRPr="00CA6A1A" w:rsidRDefault="00310A0C" w:rsidP="00310A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Захламленные</w:t>
      </w:r>
      <w:proofErr w:type="gramEnd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не только негативно влияют на внешний облик города и снижают его инвестиционную привлекательность, но и создают потенциальную угрозу экологии города. Своевременное удаление отходов с территории городского округа сохраняет благоприятную окружающую среду и эстетичный облик города, препятствует распространению инфекционных заболеваний, способствует снижению количества жалоб населения, недовольного обликом городских общественных пространств.</w:t>
      </w:r>
    </w:p>
    <w:p w:rsidR="00310A0C" w:rsidRPr="00310A0C" w:rsidRDefault="00310A0C" w:rsidP="00310A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Общегородской субботник традиционно проводится в рамках проведения дней «Тольятти - чистый город». Предприятия промышленности, торговли и общественного питания, транспорта, автозаправочные станции информируются о необходимости проведения санитарной очистки территорий. Население города активно принимает участие в мероприятиях по приведению городских территорий в должное санитарное состояние. В 2023 году в общегородском субботнике приняло участие более 28 000 человек Площадь убранных территорий общего пользования составила 9 011 тыс. м</w:t>
      </w:r>
      <w:proofErr w:type="gramStart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собрано и вывезено 2014 тонн мусора. Данные цифры отображают результаты проведения субботника на всей территории города, включая внутриквартальные территории, территории, прилегающие к организациям и предприятиям всех форм собственности. </w:t>
      </w:r>
    </w:p>
    <w:p w:rsidR="00310A0C" w:rsidRDefault="00310A0C" w:rsidP="00310A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действующего законодательства в части соблюдения чистоты и поддержания порядка на территории городского округа Тольятти обязательны для </w:t>
      </w:r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выполнения юридическими и физическими лицами. Важным моментом является обеспечение транспортных услуг для вывоза мусора, собранного в рамках проведения дней «Тольятти - чистый город», а также утилизация вывезенного мусора на специализированном полигоне. Данная мера позволяет избежать захламления городских территорий, появление несанкционированных свалок мусора и предупредить потенциальный экологический вред, так как очень многие организации и общественные движения после проведения мероприятий по санитарной очистке складируют собранный мусор на городских территориях из-за отсутствия финансовых сре</w:t>
      </w:r>
      <w:proofErr w:type="gramStart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я его вывоза и утилизации.</w:t>
      </w:r>
    </w:p>
    <w:p w:rsidR="00310A0C" w:rsidRPr="00310A0C" w:rsidRDefault="00310A0C" w:rsidP="00310A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Материально-техническая база сферы обращения с отходами в городском округе Тольятти находится в удовлетворительном состоянии. </w:t>
      </w:r>
    </w:p>
    <w:p w:rsidR="00310A0C" w:rsidRPr="00310A0C" w:rsidRDefault="00310A0C" w:rsidP="00310A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Контейнеры и бункеры-накопители для сбора отходов, за исключением случаев временного (сезонного) размещения контейнеров для общего пользования отдыхающими на территориях рекреационного назначения, размещаются на специально оборудованных площадках. </w:t>
      </w:r>
    </w:p>
    <w:p w:rsidR="00310A0C" w:rsidRPr="00310A0C" w:rsidRDefault="00310A0C" w:rsidP="00310A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Площадки для установки контейнеров и бункеров-накопителей для сбора отходов должны быть с асфальтовым или бетонным покрытием, уклоном в сторону проезжей части и удобным подъездом для </w:t>
      </w:r>
      <w:proofErr w:type="spellStart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спецавтотранспорта</w:t>
      </w:r>
      <w:proofErr w:type="spellEnd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0A0C" w:rsidRPr="00310A0C" w:rsidRDefault="00310A0C" w:rsidP="00310A0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реализации государственной программы Самарской области «Совершенствование системы обращения с отходами, в том числе с твердыми коммунальными отходами, на территории Самарской области», утвержденной постановлением Правительства Самарской области от 31.08.2018 № 522, с 2020 года работы по устройству и ремонту контейнерных площадок выполнены на 47 территориях городского округа Тольятти. Однако, учитывая окончание расчетного </w:t>
      </w:r>
      <w:proofErr w:type="gramStart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срока эксплуатации большинства объектов размещения отходов</w:t>
      </w:r>
      <w:proofErr w:type="gramEnd"/>
      <w:r w:rsidRPr="00310A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рост количества благоустраиваемых мест массового отдыха населения, потребность по-прежнему сохраняется.</w:t>
      </w:r>
    </w:p>
    <w:p w:rsidR="00BF6F6F" w:rsidRPr="00A1372F" w:rsidRDefault="00BF6F6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Состояние городских зеленых насаждений неудовлетворительно. Это вызвано целым рядом причин: быстрым темпом застройки, особенностью градостроительства, недостаточной культурой населения, загрязнением воздушной среды, недостаточным количеством финансирования, выделяемого на озеленение города (финансирование работ по озеленению за период с 2015 по 2023 год предусмотрено не было, работы производились только в рамках благотворительных акций). Кроме того, в Центральном районе и в старых кварталах Автозаводского и Комсомольского районов при благоустройстве и озеленении внутриквартальных территорий допущены нарушения строительных норм и правил при посадке деревьев: расстояние от стен домов до стволов деревьев менее 5 м и часто составляет 1 - 3 м; </w:t>
      </w:r>
      <w:proofErr w:type="gram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расстояния между деревьями также менее 5 </w:t>
      </w: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м, в результате чего деревья растут с деформированными (отклоненными) стволами и ветвями и в настоящее время представляют собой фактор не комфортности среды, а фактор аварийной опасности для ЛЭП, газопроводов, трубопроводов, подземных коммуникаций, а также вызывают разрушения отмосток зданий, твердых покрытий, затеняют окна, засоряют ливневые канализации, сточные трубы, угрожают целостности кровель домов, а также жизни</w:t>
      </w:r>
      <w:proofErr w:type="gram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людей. Следует также учесть, что видовой ассортимент деревьев, посаженных в основной массе в 60 - 70-х годах, также не соответствует стандартам отрасли: в Центральном и Комсомольском районах основную массу средн</w:t>
      </w:r>
      <w:proofErr w:type="gram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старовозрастных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деревьев составляют такие породы, как вяз мелколистный (карагач), тополь бальзамический (пылящий). Карагач и клен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ясенелистный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условиях городского округа Тольятти являются сорными породами; деревья карагача в основной массе поражены гнилью ствола, что делает их еще более аварийно опасными. 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начимым направлением Программы является акарицидная (противоклещевая) обработка и дератизация территорий общего пользования, которая представляет собой комплекс мероприятий по истреблению клещей и грызунов на природных ландшафтах. Также она включает профилактические действия, направленные на устранение причин появления клещей, вызывающих заболевания энцефалитом, болезнь Лайма и другие инфекции. Основные работы по противоклещевой обработке территории проводятся в весенне-осенний период, сразу после таяния снега. Активность клещей наблюдается в апреле - начале мая, в июне и июле, а также с сентября по октябрь.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Клещевой вирусный энцефалит (далее - КВЭ) является природно-очаговой острой вирусной инфекционной болезнью с трансмиссивным механизмом передачи возбудителя. Характеризуется преимущественным поражением центральной нервной системы, отличается полиморфизмом клинических проявлений и тяжестью течения. Последствия заболевания разнообразны - от полного выздоровления до нарушений здоровья, приводящих к инвалидности и смерти.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Заражение КВЭ происходит с апреля по сентябрь, с весенне-летним пиком во время наибольшей активности перезимовавших клещей. Для предупреждения и борьбы с распространением КВЭ необходимо проводить противоклещевые,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акарицидные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обработки и качественную расчистку, и благоустройство территорий парков, скверов, кладбищ, оздоровительных организаций, мест массового отдыха и пребывания населения, как самой территории, так и территории, прилегающей к ней на расстоянии не менее 50 метров.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требования в области профилактики и борьбы с клещевым вирусным энцефалитом является обязательным для граждан, индивидуальных предпринимателей и юридических лиц.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Дератизация - это комплекс мероприятий по истреблению или снижению численности грызунов - серых и черных крыс, мышей, полевок и др.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Грызуны своей жизнедеятельностью не только наносят экономический ущерб, уничтожая пищевые запасы и т.п., но и являются для человека источником многих инфекционных болезней.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Пунктами 109-113 и 118-124 СанПиН 3.3686-21 предусмотрены мероприятия по предупреждению их проникновения в здания, строения, сооружения и снижению численности популяции на открытых территориях.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зону ответственности органов местного самоуправления входит организация и проведение истребительных мероприятий на территории лесопарковых зон и зон жилой застройки населенных пунктов, а также в жилых зданиях и иных сооружениях, состоящих у них на балансе. Поэтому дератизация должна входить в комплекс мер по санитарному содержанию мест общего пользования.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Юридические лица и индивидуальные предприниматели осуществляют дератизацию на используемых ими объектах и прилегающих к ним территориях. Граждане имеют право самостоятельно осуществлять дератизацию собственных жилых помещений, в том числе садовых домиков, надворных построек, дворовых территорий.</w:t>
      </w:r>
    </w:p>
    <w:p w:rsidR="00310A0C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решении задачи по проведению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акарицидной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обработки и дератизации территорий общего пользования городского округа Тольятти будет обеспечено надлежащее санитарное состояние территории городского округа Тольятти и созданы комфортные и безопасные условия проживания населения городского округа Тольятти.</w:t>
      </w:r>
    </w:p>
    <w:p w:rsidR="00CA6A1A" w:rsidRDefault="00CA6A1A" w:rsidP="00CA6A1A">
      <w:pPr>
        <w:widowControl w:val="0"/>
        <w:autoSpaceDE w:val="0"/>
        <w:autoSpaceDN w:val="0"/>
        <w:spacing w:before="120" w:after="12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CA6A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мест погребения (мест захоронения) городского округа Тольятти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Кладбище является особым градостроительным, исключительно социально значимым объектом, который не похож ни на один объект жилищно-коммунального хозяйства или бытового обслуживания.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нормами действующего законодательства РФ организацию работ по содержанию общественных кладбищ осуществляют органы местного самоуправления (Федеральный закон от 12.01.1996 № 8-ФЗ «О погребении и похоронном деле», Федеральный закон от 06.10.2003 № 131-ФЗ «Об общих принципах организации местного самоуправления в Российской Федерации»).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принципов организации похоронного обслуживания является выполнение своевременного и качественного содержания мест погребения и создание условий для проведения новых захоронений, обеспечивая тем самым сохранение здоровья людей, участвующих в похоронах, навещающих места захоронения, работающих на объектах похоронного назначения, проживающих и работающих за территорией зоны </w:t>
      </w: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санитарной защиты между кладбищем и объектами городской застройки.</w:t>
      </w:r>
      <w:proofErr w:type="gramEnd"/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реализации, предусмотренных законодательством Российской Федерации, полномочий органов местного самоуправления в сфере похоронного дела постановлением администрации городского округа Тольятти от 13.04.2023 № 1228-п/1 создано муниципальное казенное учреждение городского округа Тольятти «Ритуал» (далее – МКУ «Ритуал»), подведомственное департаменту городского хозяйства администрации городского округа Тольятти.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обеспечения устойчивого управления в сфере похоронного дела ежегодно финансируется деятельность МКУ «Ритуал», которое выполняет функции муниципального заказчика в сфере погребения и похоронного дела с соблюдением требований законодательства Российской Федерации и осуществляет </w:t>
      </w:r>
      <w:proofErr w:type="gram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муниципального заказа.</w:t>
      </w:r>
    </w:p>
    <w:p w:rsidR="00A1372F" w:rsidRPr="00A1372F" w:rsidRDefault="00A1372F" w:rsidP="00A1372F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настоящее время на территории городского округа Тольятти расположены  6 действующих муниципальных кладбищ: </w:t>
      </w:r>
      <w:proofErr w:type="spellStart"/>
      <w:proofErr w:type="gram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Баныкинское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(ул. Баныкина, 41);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Тоазовское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(Поволжское шоссе, 5); Федоровское (Комсомольский район, пос. Федоровка); Старое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Новоматюшинское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(Комсомольский район,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Новоматюшкино), Новое </w:t>
      </w:r>
      <w:proofErr w:type="spell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Новоматюшинское</w:t>
      </w:r>
      <w:proofErr w:type="spell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(муниципальный район Ставропольский), Тольяттинское городское кладбище (Обводное шоссе). Общая площадь мест погребения составляет более 207 га (2 067 838 м</w:t>
      </w:r>
      <w:proofErr w:type="gramStart"/>
      <w:r w:rsidRPr="006D761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). Кроме того, под захоронения зарезервирован неосвоенный земельный участок площадью 40 га, расположенный по Обводному шоссе в городе Тольятти.</w:t>
      </w:r>
    </w:p>
    <w:p w:rsidR="00CA6A1A" w:rsidRPr="00E75B85" w:rsidRDefault="00A1372F" w:rsidP="00AA2F3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Ответственным исполнителем за содержание муниципальных кладбищ городского округа Тольятти является МКУ «Ритуал». </w:t>
      </w:r>
      <w:proofErr w:type="gramStart"/>
      <w:r w:rsidRPr="00A1372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обязательных мероприятий по содержанию мест погребения (мест захоронения) городского округа Тольятти, определенных в соответствии с действующими санитарно-гигиеническими требованиями к содержанию кладбищ, ежегодно осуществляются мероприятия по зимнему и летнему содержанию дорог и дорожек, транспортированию отходов, ликвидации несанкционированных свалок, удалению аварийно опасных, сухостойных и упавших деревьев, уходу за зелеными насаждениями и выкашиванию травы, обеспечению водоснабжения, санитарной обработке территорий от клещей.</w:t>
      </w:r>
      <w:proofErr w:type="gramEnd"/>
    </w:p>
    <w:p w:rsidR="00007724" w:rsidRDefault="00007724" w:rsidP="00AA2F3C">
      <w:pPr>
        <w:widowControl w:val="0"/>
        <w:autoSpaceDE w:val="0"/>
        <w:autoSpaceDN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С целью повышения роли общественности в создании и управлении городской средой необходимо вовлечение собственников помещений в многоквартирных домах, собственников иных зданий и сооружений, расположенных в границах придомовой</w:t>
      </w:r>
      <w:r w:rsidR="0037400C"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Pr="00E75B85"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ерритории многоквартирного дома, подлежащей благоустройству, в решение вопросов благоустройства и дальнейшего содержания (ответственного отношения) к благоустроенным территориям.</w:t>
      </w:r>
    </w:p>
    <w:p w:rsidR="000E3F7F" w:rsidRPr="000E3F7F" w:rsidRDefault="000E3F7F" w:rsidP="000E3F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программно-целевого принципа позволит обеспечить комплексное и </w:t>
      </w: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системное решение вопросов, оптимизацию использования финансовых ресурсов бюджетов различных уровней, в том числе средств бюджета городского округа Тольятти и внебюджетных источников - средств собственников помещений в многоквартирных домах, на основе</w:t>
      </w:r>
      <w:r w:rsidR="00AA2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поставленной цели, задач, мероприятий и запланированных результатов</w:t>
      </w:r>
      <w:r w:rsidR="00AA2F3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концентрации ресурсов для реализации мероприятий, соответствующих цели и задач.</w:t>
      </w:r>
      <w:proofErr w:type="gramEnd"/>
    </w:p>
    <w:p w:rsidR="000E3F7F" w:rsidRPr="000E3F7F" w:rsidRDefault="000E3F7F" w:rsidP="000E3F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рискам снижения эффективности реализации Программы</w:t>
      </w:r>
      <w:r w:rsidR="00AA2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</w:t>
      </w: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E3F7F" w:rsidRPr="000E3F7F" w:rsidRDefault="000E3F7F" w:rsidP="000E3F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риск ухудшения социально-экономической ситуации в городском округе Тольятти, что может выразиться в возникновении бюджетного дефицита, сокращении объемов финансирования по отрасли жилищно-коммунального хозяйства;</w:t>
      </w:r>
    </w:p>
    <w:p w:rsidR="000E3F7F" w:rsidRPr="000E3F7F" w:rsidRDefault="000E3F7F" w:rsidP="000E3F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риски, связанные с ростом инфляции, ускоренный рост цен на строительные материалы и оборудование, что может привести к увеличению стоимости работ.</w:t>
      </w:r>
    </w:p>
    <w:p w:rsidR="000E3F7F" w:rsidRDefault="000E3F7F" w:rsidP="000E3F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F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Регулирование рисков будет осуществляться посредством совершенствования планирования работ по капитальному ремонту многоквартирных домов городского округа Тольятти.</w:t>
      </w:r>
    </w:p>
    <w:p w:rsidR="006D761F" w:rsidRDefault="006D761F" w:rsidP="00F011B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6D761F" w:rsidRDefault="006D761F" w:rsidP="00F011B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p w:rsidR="00F011BD" w:rsidRPr="00E75B85" w:rsidRDefault="00F011BD" w:rsidP="00F011B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  <w:r w:rsidRPr="00E75B85">
        <w:rPr>
          <w:rFonts w:ascii="Times New Roman" w:hAnsi="Times New Roman" w:cs="Times New Roman"/>
          <w:b/>
          <w:sz w:val="24"/>
        </w:rPr>
        <w:t>II. Цели и задачи муниципальной программы</w:t>
      </w:r>
    </w:p>
    <w:p w:rsidR="00F011BD" w:rsidRPr="00E75B85" w:rsidRDefault="00F011BD" w:rsidP="00F011BD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011BD" w:rsidRPr="00E75B85" w:rsidRDefault="00F011BD" w:rsidP="00996F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Цель Программы: Обеспечение соответствия городских общественных пространств высоким стандартам качества городской среды и качества досуга жителей.</w:t>
      </w:r>
    </w:p>
    <w:p w:rsidR="00F011BD" w:rsidRPr="00E75B85" w:rsidRDefault="00F011BD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Для достижения поставленной в Программе цели необходимо решение следующих задач:</w:t>
      </w:r>
    </w:p>
    <w:p w:rsidR="00F011BD" w:rsidRPr="00E75B85" w:rsidRDefault="00F011BD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1. </w:t>
      </w:r>
      <w:r w:rsidR="0085476D" w:rsidRPr="0085476D">
        <w:rPr>
          <w:rFonts w:ascii="Times New Roman" w:hAnsi="Times New Roman" w:cs="Times New Roman"/>
          <w:sz w:val="24"/>
        </w:rPr>
        <w:t>Обеспечение комплексного благоустройства внутриквартальных территорий</w:t>
      </w:r>
      <w:r w:rsidRPr="00E75B85">
        <w:rPr>
          <w:rFonts w:ascii="Times New Roman" w:hAnsi="Times New Roman" w:cs="Times New Roman"/>
          <w:sz w:val="24"/>
        </w:rPr>
        <w:t>.</w:t>
      </w:r>
    </w:p>
    <w:p w:rsidR="004E5BE1" w:rsidRPr="00E75B85" w:rsidRDefault="00996F84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2. </w:t>
      </w:r>
      <w:r w:rsidR="0085476D" w:rsidRPr="0085476D">
        <w:rPr>
          <w:rFonts w:ascii="Times New Roman" w:hAnsi="Times New Roman" w:cs="Times New Roman"/>
          <w:sz w:val="24"/>
        </w:rPr>
        <w:t>Сохранение и улучшение эксплуатационных характеристик общественных пространств</w:t>
      </w:r>
      <w:r w:rsidR="004E5BE1" w:rsidRPr="00E75B85">
        <w:rPr>
          <w:rFonts w:ascii="Times New Roman" w:hAnsi="Times New Roman" w:cs="Times New Roman"/>
          <w:sz w:val="24"/>
        </w:rPr>
        <w:t>.</w:t>
      </w:r>
    </w:p>
    <w:p w:rsidR="00F011BD" w:rsidRPr="00E75B85" w:rsidRDefault="00F011BD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3. </w:t>
      </w:r>
      <w:r w:rsidR="0085476D" w:rsidRPr="0085476D">
        <w:rPr>
          <w:rFonts w:ascii="Times New Roman" w:hAnsi="Times New Roman" w:cs="Times New Roman"/>
          <w:sz w:val="24"/>
        </w:rPr>
        <w:t>Создание условий для массового отдыха на береговых зонах водных объектов</w:t>
      </w:r>
      <w:r w:rsidRPr="00E75B85">
        <w:rPr>
          <w:rFonts w:ascii="Times New Roman" w:hAnsi="Times New Roman" w:cs="Times New Roman"/>
          <w:sz w:val="24"/>
        </w:rPr>
        <w:t>.</w:t>
      </w:r>
    </w:p>
    <w:p w:rsidR="004E5BE1" w:rsidRPr="00E75B85" w:rsidRDefault="004E5BE1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4. </w:t>
      </w:r>
      <w:r w:rsidR="0085476D" w:rsidRPr="0085476D">
        <w:rPr>
          <w:rFonts w:ascii="Times New Roman" w:hAnsi="Times New Roman" w:cs="Times New Roman"/>
          <w:sz w:val="24"/>
        </w:rPr>
        <w:t>Вовлечение населения в благоустройство городской среды</w:t>
      </w:r>
      <w:r w:rsidRPr="00E75B85">
        <w:rPr>
          <w:rFonts w:ascii="Times New Roman" w:hAnsi="Times New Roman" w:cs="Times New Roman"/>
          <w:sz w:val="24"/>
        </w:rPr>
        <w:t>.</w:t>
      </w:r>
    </w:p>
    <w:p w:rsidR="00F011BD" w:rsidRDefault="00A7265F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5. </w:t>
      </w:r>
      <w:r w:rsidR="0085476D" w:rsidRPr="0085476D">
        <w:rPr>
          <w:rFonts w:ascii="Times New Roman" w:hAnsi="Times New Roman" w:cs="Times New Roman"/>
          <w:sz w:val="24"/>
        </w:rPr>
        <w:t>Эксплуатация объектов благоустройства городских территорий</w:t>
      </w:r>
      <w:r w:rsidR="00F011BD" w:rsidRPr="00E75B85">
        <w:rPr>
          <w:rFonts w:ascii="Times New Roman" w:hAnsi="Times New Roman" w:cs="Times New Roman"/>
          <w:sz w:val="24"/>
        </w:rPr>
        <w:t>.</w:t>
      </w:r>
    </w:p>
    <w:p w:rsidR="000E7234" w:rsidRPr="00E75B85" w:rsidRDefault="000E7234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Pr="000E7234">
        <w:rPr>
          <w:rFonts w:ascii="Times New Roman" w:hAnsi="Times New Roman" w:cs="Times New Roman"/>
          <w:sz w:val="24"/>
        </w:rPr>
        <w:t>Содержание мест погребения (мест захоронения) городского округа Тольятти</w:t>
      </w:r>
      <w:r>
        <w:rPr>
          <w:rFonts w:ascii="Times New Roman" w:hAnsi="Times New Roman" w:cs="Times New Roman"/>
          <w:sz w:val="24"/>
        </w:rPr>
        <w:t>.</w:t>
      </w:r>
    </w:p>
    <w:p w:rsidR="00F011BD" w:rsidRPr="00E75B85" w:rsidRDefault="00F011BD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Срок реализации настоящей Программы</w:t>
      </w:r>
      <w:r w:rsidR="00866685" w:rsidRPr="00E75B85">
        <w:rPr>
          <w:rFonts w:ascii="Times New Roman" w:hAnsi="Times New Roman" w:cs="Times New Roman"/>
          <w:sz w:val="24"/>
        </w:rPr>
        <w:t>:</w:t>
      </w:r>
      <w:r w:rsidRPr="00E75B85">
        <w:rPr>
          <w:rFonts w:ascii="Times New Roman" w:hAnsi="Times New Roman" w:cs="Times New Roman"/>
          <w:sz w:val="24"/>
        </w:rPr>
        <w:t xml:space="preserve"> </w:t>
      </w:r>
      <w:r w:rsidR="00866685" w:rsidRPr="00E75B85">
        <w:rPr>
          <w:rFonts w:ascii="Times New Roman" w:hAnsi="Times New Roman" w:cs="Times New Roman"/>
          <w:sz w:val="24"/>
        </w:rPr>
        <w:t>202</w:t>
      </w:r>
      <w:r w:rsidRPr="00E75B85">
        <w:rPr>
          <w:rFonts w:ascii="Times New Roman" w:hAnsi="Times New Roman" w:cs="Times New Roman"/>
          <w:sz w:val="24"/>
        </w:rPr>
        <w:t>5 - 20</w:t>
      </w:r>
      <w:r w:rsidR="00866685" w:rsidRPr="00E75B85">
        <w:rPr>
          <w:rFonts w:ascii="Times New Roman" w:hAnsi="Times New Roman" w:cs="Times New Roman"/>
          <w:sz w:val="24"/>
        </w:rPr>
        <w:t>30</w:t>
      </w:r>
      <w:r w:rsidRPr="00E75B85">
        <w:rPr>
          <w:rFonts w:ascii="Times New Roman" w:hAnsi="Times New Roman" w:cs="Times New Roman"/>
          <w:sz w:val="24"/>
        </w:rPr>
        <w:t xml:space="preserve"> годы.</w:t>
      </w:r>
    </w:p>
    <w:p w:rsidR="00B97415" w:rsidRPr="00E75B85" w:rsidRDefault="00B97415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Цели, задачи муниципальной программы соответствуют целям и задачам, содержащимся в Стратегии социально-экономического развития городского округа Тольятти на период до 2030 года, утвержденной решением Думы городского округ</w:t>
      </w:r>
      <w:r w:rsidR="0028445F" w:rsidRPr="00E75B85">
        <w:rPr>
          <w:rFonts w:ascii="Times New Roman" w:hAnsi="Times New Roman" w:cs="Times New Roman"/>
          <w:sz w:val="24"/>
        </w:rPr>
        <w:t>а Тольятти от 25.01.2019 № 131.</w:t>
      </w:r>
    </w:p>
    <w:p w:rsidR="0028445F" w:rsidRPr="00E75B85" w:rsidRDefault="0028445F" w:rsidP="00AA2F3C">
      <w:pPr>
        <w:spacing w:before="120" w:after="120" w:line="336" w:lineRule="auto"/>
        <w:jc w:val="center"/>
        <w:rPr>
          <w:rFonts w:ascii="Times New Roman" w:eastAsiaTheme="minorEastAsia" w:hAnsi="Times New Roman" w:cs="Times New Roman"/>
          <w:b/>
          <w:sz w:val="24"/>
          <w:lang w:eastAsia="ru-RU"/>
        </w:rPr>
      </w:pPr>
      <w:r w:rsidRPr="00E75B85">
        <w:rPr>
          <w:rFonts w:ascii="Times New Roman" w:eastAsiaTheme="minorEastAsia" w:hAnsi="Times New Roman" w:cs="Times New Roman"/>
          <w:b/>
          <w:sz w:val="24"/>
          <w:lang w:eastAsia="ru-RU"/>
        </w:rPr>
        <w:t>III. Перечень мероприятий муниципальной программы</w:t>
      </w:r>
    </w:p>
    <w:p w:rsidR="00751A49" w:rsidRPr="00E75B85" w:rsidRDefault="00751A49" w:rsidP="00AA2F3C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В рамках Программы, исходя из цели и поставленных задач, предусмотрена реализация комплекса программных мероприятий.</w:t>
      </w:r>
    </w:p>
    <w:p w:rsidR="0028445F" w:rsidRPr="00E75B85" w:rsidRDefault="00751A49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lastRenderedPageBreak/>
        <w:t>Программные мероприятия указаны в приложении № 1 «Перечень мероприятий муниципальной программы «Благоустройство территории городского округа Тольятти на 2025 - 2030 годы» и финансовые ресурсы на ее реализацию» к настоящей Программе.</w:t>
      </w:r>
    </w:p>
    <w:p w:rsidR="0028445F" w:rsidRPr="00E75B85" w:rsidRDefault="0028445F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В программу включены мероприятия, в том числе отраженные в Плане мероприятий по реализации Стратегии.</w:t>
      </w:r>
    </w:p>
    <w:p w:rsidR="006D761F" w:rsidRDefault="00816B11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16B11">
        <w:rPr>
          <w:rFonts w:ascii="Times New Roman" w:hAnsi="Times New Roman" w:cs="Times New Roman"/>
          <w:sz w:val="24"/>
        </w:rPr>
        <w:t xml:space="preserve">Адресные перечни территорий, на которых запланированы работы по благоустройству, представлены в приложениях </w:t>
      </w:r>
      <w:r>
        <w:rPr>
          <w:rFonts w:ascii="Times New Roman" w:hAnsi="Times New Roman" w:cs="Times New Roman"/>
          <w:sz w:val="24"/>
        </w:rPr>
        <w:t>№</w:t>
      </w:r>
      <w:r w:rsidRPr="00816B11">
        <w:rPr>
          <w:rFonts w:ascii="Times New Roman" w:hAnsi="Times New Roman" w:cs="Times New Roman"/>
          <w:sz w:val="24"/>
        </w:rPr>
        <w:t xml:space="preserve"> 3 - </w:t>
      </w:r>
      <w:r w:rsidR="000E7234">
        <w:rPr>
          <w:rFonts w:ascii="Times New Roman" w:hAnsi="Times New Roman" w:cs="Times New Roman"/>
          <w:sz w:val="24"/>
        </w:rPr>
        <w:t>7</w:t>
      </w:r>
      <w:r w:rsidRPr="00816B11">
        <w:rPr>
          <w:rFonts w:ascii="Times New Roman" w:hAnsi="Times New Roman" w:cs="Times New Roman"/>
          <w:sz w:val="24"/>
        </w:rPr>
        <w:t xml:space="preserve"> к настоящей Программе.</w:t>
      </w:r>
      <w:r w:rsidR="006D761F">
        <w:rPr>
          <w:rFonts w:ascii="Times New Roman" w:hAnsi="Times New Roman" w:cs="Times New Roman"/>
          <w:sz w:val="24"/>
        </w:rPr>
        <w:t xml:space="preserve"> </w:t>
      </w:r>
    </w:p>
    <w:p w:rsidR="007B46D6" w:rsidRPr="00E75B85" w:rsidRDefault="006D761F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6D761F">
        <w:rPr>
          <w:rFonts w:ascii="Times New Roman" w:hAnsi="Times New Roman" w:cs="Times New Roman"/>
          <w:sz w:val="24"/>
        </w:rPr>
        <w:t>ринцип формирования адресных перечней по мероприятиям 1.6.</w:t>
      </w:r>
      <w:r>
        <w:rPr>
          <w:rFonts w:ascii="Times New Roman" w:hAnsi="Times New Roman" w:cs="Times New Roman"/>
          <w:sz w:val="24"/>
        </w:rPr>
        <w:t xml:space="preserve"> «</w:t>
      </w:r>
      <w:r w:rsidRPr="006D761F">
        <w:rPr>
          <w:rFonts w:ascii="Times New Roman" w:hAnsi="Times New Roman" w:cs="Times New Roman"/>
          <w:sz w:val="24"/>
        </w:rPr>
        <w:t>Восстановление и устройство хоккейных кортов и катков</w:t>
      </w:r>
      <w:r>
        <w:rPr>
          <w:rFonts w:ascii="Times New Roman" w:hAnsi="Times New Roman" w:cs="Times New Roman"/>
          <w:sz w:val="24"/>
        </w:rPr>
        <w:t>»</w:t>
      </w:r>
      <w:r w:rsidRPr="006D761F">
        <w:rPr>
          <w:rFonts w:ascii="Times New Roman" w:hAnsi="Times New Roman" w:cs="Times New Roman"/>
          <w:sz w:val="24"/>
        </w:rPr>
        <w:t xml:space="preserve"> и 2.1. </w:t>
      </w:r>
      <w:r>
        <w:rPr>
          <w:rFonts w:ascii="Times New Roman" w:hAnsi="Times New Roman" w:cs="Times New Roman"/>
          <w:sz w:val="24"/>
        </w:rPr>
        <w:t>«</w:t>
      </w:r>
      <w:r w:rsidRPr="006D761F">
        <w:rPr>
          <w:rFonts w:ascii="Times New Roman" w:hAnsi="Times New Roman" w:cs="Times New Roman"/>
          <w:sz w:val="24"/>
        </w:rPr>
        <w:t>Благоустройство территорий общего пользования</w:t>
      </w:r>
      <w:r>
        <w:rPr>
          <w:rFonts w:ascii="Times New Roman" w:hAnsi="Times New Roman" w:cs="Times New Roman"/>
          <w:sz w:val="24"/>
        </w:rPr>
        <w:t xml:space="preserve">» </w:t>
      </w:r>
      <w:r w:rsidRPr="006D761F">
        <w:rPr>
          <w:rFonts w:ascii="Times New Roman" w:hAnsi="Times New Roman" w:cs="Times New Roman"/>
          <w:sz w:val="24"/>
        </w:rPr>
        <w:t xml:space="preserve">для включения в Программу – рейтинговое голосование. </w:t>
      </w:r>
      <w:r w:rsidR="007B46D6">
        <w:rPr>
          <w:rFonts w:ascii="Times New Roman" w:hAnsi="Times New Roman" w:cs="Times New Roman"/>
          <w:sz w:val="24"/>
        </w:rPr>
        <w:t>По мероприятиям 1.2. «</w:t>
      </w:r>
      <w:r w:rsidR="007B46D6" w:rsidRPr="007B46D6">
        <w:rPr>
          <w:rFonts w:ascii="Times New Roman" w:hAnsi="Times New Roman" w:cs="Times New Roman"/>
          <w:sz w:val="24"/>
        </w:rPr>
        <w:t>Ремонт, восстановление и устройство покрытий тротуаров, проездов, площадок для временной парковки автомашин</w:t>
      </w:r>
      <w:r w:rsidR="007B46D6">
        <w:rPr>
          <w:rFonts w:ascii="Times New Roman" w:hAnsi="Times New Roman" w:cs="Times New Roman"/>
          <w:sz w:val="24"/>
        </w:rPr>
        <w:t>», 1.4. «</w:t>
      </w:r>
      <w:r w:rsidR="007B46D6" w:rsidRPr="007B46D6">
        <w:rPr>
          <w:rFonts w:ascii="Times New Roman" w:hAnsi="Times New Roman" w:cs="Times New Roman"/>
          <w:sz w:val="24"/>
        </w:rPr>
        <w:t>Восстановление и устройство детских и спортивных площадок</w:t>
      </w:r>
      <w:r w:rsidR="007B46D6">
        <w:rPr>
          <w:rFonts w:ascii="Times New Roman" w:hAnsi="Times New Roman" w:cs="Times New Roman"/>
          <w:sz w:val="24"/>
        </w:rPr>
        <w:t>» и 1.7. «</w:t>
      </w:r>
      <w:r w:rsidR="007B46D6" w:rsidRPr="007B46D6">
        <w:rPr>
          <w:rFonts w:ascii="Times New Roman" w:hAnsi="Times New Roman" w:cs="Times New Roman"/>
          <w:sz w:val="24"/>
        </w:rPr>
        <w:t>Благоустройство придомовых территорий многоквартирных домов</w:t>
      </w:r>
      <w:r w:rsidR="007B46D6">
        <w:rPr>
          <w:rFonts w:ascii="Times New Roman" w:hAnsi="Times New Roman" w:cs="Times New Roman"/>
          <w:sz w:val="24"/>
        </w:rPr>
        <w:t xml:space="preserve">» адресные перечни будут сформированы </w:t>
      </w:r>
      <w:r w:rsidR="007B46D6" w:rsidRPr="007B46D6">
        <w:rPr>
          <w:rFonts w:ascii="Times New Roman" w:hAnsi="Times New Roman" w:cs="Times New Roman"/>
          <w:sz w:val="24"/>
        </w:rPr>
        <w:t xml:space="preserve">в разбивке по районам городского округа Тольятти пропорционально количеству </w:t>
      </w:r>
      <w:proofErr w:type="spellStart"/>
      <w:r w:rsidR="007B46D6" w:rsidRPr="007B46D6">
        <w:rPr>
          <w:rFonts w:ascii="Times New Roman" w:hAnsi="Times New Roman" w:cs="Times New Roman"/>
          <w:sz w:val="24"/>
        </w:rPr>
        <w:t>благополучателей</w:t>
      </w:r>
      <w:proofErr w:type="spellEnd"/>
      <w:r w:rsidR="005B79E7">
        <w:rPr>
          <w:rFonts w:ascii="Times New Roman" w:hAnsi="Times New Roman" w:cs="Times New Roman"/>
          <w:sz w:val="24"/>
        </w:rPr>
        <w:t xml:space="preserve"> в каждом районе (по предложениям депутатов в разбивке округов).</w:t>
      </w:r>
    </w:p>
    <w:p w:rsidR="009A4308" w:rsidRDefault="009A4308" w:rsidP="009A4308">
      <w:pPr>
        <w:autoSpaceDE w:val="0"/>
        <w:autoSpaceDN w:val="0"/>
        <w:adjustRightInd w:val="0"/>
        <w:spacing w:before="120" w:after="120" w:line="324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15C7A" w:rsidRPr="00E75B85" w:rsidRDefault="00015C7A" w:rsidP="009A4308">
      <w:pPr>
        <w:autoSpaceDE w:val="0"/>
        <w:autoSpaceDN w:val="0"/>
        <w:adjustRightInd w:val="0"/>
        <w:spacing w:before="120" w:after="120" w:line="324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IV. Показатели (индикаторы) муниципальной программы</w:t>
      </w:r>
    </w:p>
    <w:p w:rsidR="00015C7A" w:rsidRPr="00E75B85" w:rsidRDefault="009524F0" w:rsidP="009A4308">
      <w:pPr>
        <w:autoSpaceDE w:val="0"/>
        <w:autoSpaceDN w:val="0"/>
        <w:adjustRightInd w:val="0"/>
        <w:spacing w:after="0" w:line="32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015C7A" w:rsidRPr="00E75B85">
          <w:rPr>
            <w:rFonts w:ascii="Times New Roman" w:hAnsi="Times New Roman" w:cs="Times New Roman"/>
            <w:sz w:val="24"/>
            <w:szCs w:val="24"/>
          </w:rPr>
          <w:t>Показатели</w:t>
        </w:r>
      </w:hyperlink>
      <w:r w:rsidR="00015C7A" w:rsidRPr="00E75B85">
        <w:rPr>
          <w:rFonts w:ascii="Times New Roman" w:hAnsi="Times New Roman" w:cs="Times New Roman"/>
          <w:sz w:val="24"/>
          <w:szCs w:val="24"/>
        </w:rPr>
        <w:t xml:space="preserve"> (индикаторы) реализации Программы указаны в приложении </w:t>
      </w:r>
      <w:r w:rsidR="00896C25" w:rsidRPr="00E75B85">
        <w:rPr>
          <w:rFonts w:ascii="Times New Roman" w:hAnsi="Times New Roman" w:cs="Times New Roman"/>
          <w:sz w:val="24"/>
          <w:szCs w:val="24"/>
        </w:rPr>
        <w:t>№</w:t>
      </w:r>
      <w:r w:rsidR="00015C7A" w:rsidRPr="00E75B85">
        <w:rPr>
          <w:rFonts w:ascii="Times New Roman" w:hAnsi="Times New Roman" w:cs="Times New Roman"/>
          <w:sz w:val="24"/>
          <w:szCs w:val="24"/>
        </w:rPr>
        <w:t xml:space="preserve"> 2 "Показатели (индикаторы) реализации муниципальной программы </w:t>
      </w:r>
      <w:r w:rsidR="00896C25" w:rsidRPr="00E75B85">
        <w:rPr>
          <w:rFonts w:ascii="Times New Roman" w:hAnsi="Times New Roman" w:cs="Times New Roman"/>
          <w:sz w:val="24"/>
          <w:szCs w:val="24"/>
        </w:rPr>
        <w:t>«</w:t>
      </w:r>
      <w:r w:rsidR="00015C7A" w:rsidRPr="00E75B85">
        <w:rPr>
          <w:rFonts w:ascii="Times New Roman" w:hAnsi="Times New Roman" w:cs="Times New Roman"/>
          <w:sz w:val="24"/>
          <w:szCs w:val="24"/>
        </w:rPr>
        <w:t>Благоустройство территории г</w:t>
      </w:r>
      <w:r w:rsidR="00896C25" w:rsidRPr="00E75B85">
        <w:rPr>
          <w:rFonts w:ascii="Times New Roman" w:hAnsi="Times New Roman" w:cs="Times New Roman"/>
          <w:sz w:val="24"/>
          <w:szCs w:val="24"/>
        </w:rPr>
        <w:t>ородского округа Тольятти на 202</w:t>
      </w:r>
      <w:r w:rsidR="00015C7A" w:rsidRPr="00E75B85">
        <w:rPr>
          <w:rFonts w:ascii="Times New Roman" w:hAnsi="Times New Roman" w:cs="Times New Roman"/>
          <w:sz w:val="24"/>
          <w:szCs w:val="24"/>
        </w:rPr>
        <w:t>5 - 20</w:t>
      </w:r>
      <w:r w:rsidR="00896C25" w:rsidRPr="00E75B85">
        <w:rPr>
          <w:rFonts w:ascii="Times New Roman" w:hAnsi="Times New Roman" w:cs="Times New Roman"/>
          <w:sz w:val="24"/>
          <w:szCs w:val="24"/>
        </w:rPr>
        <w:t>30</w:t>
      </w:r>
      <w:r w:rsidR="00015C7A" w:rsidRPr="00E75B85">
        <w:rPr>
          <w:rFonts w:ascii="Times New Roman" w:hAnsi="Times New Roman" w:cs="Times New Roman"/>
          <w:sz w:val="24"/>
          <w:szCs w:val="24"/>
        </w:rPr>
        <w:t xml:space="preserve"> годы</w:t>
      </w:r>
      <w:r w:rsidR="00896C25" w:rsidRPr="00E75B85">
        <w:rPr>
          <w:rFonts w:ascii="Times New Roman" w:hAnsi="Times New Roman" w:cs="Times New Roman"/>
          <w:sz w:val="24"/>
          <w:szCs w:val="24"/>
        </w:rPr>
        <w:t>»</w:t>
      </w:r>
      <w:r w:rsidR="00015C7A" w:rsidRPr="00E75B85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015C7A" w:rsidRPr="00E75B85" w:rsidRDefault="00015C7A" w:rsidP="009A4308">
      <w:pPr>
        <w:spacing w:after="0" w:line="324" w:lineRule="auto"/>
        <w:ind w:firstLine="709"/>
        <w:jc w:val="both"/>
        <w:rPr>
          <w:rFonts w:ascii="Times New Roman" w:eastAsiaTheme="minorEastAsia" w:hAnsi="Times New Roman" w:cs="Times New Roman"/>
          <w:sz w:val="24"/>
          <w:lang w:eastAsia="ru-RU"/>
        </w:rPr>
      </w:pPr>
      <w:proofErr w:type="gramStart"/>
      <w:r w:rsidRPr="00E75B85">
        <w:rPr>
          <w:rFonts w:ascii="Times New Roman" w:eastAsiaTheme="minorEastAsia" w:hAnsi="Times New Roman" w:cs="Times New Roman"/>
          <w:sz w:val="24"/>
          <w:lang w:eastAsia="ru-RU"/>
        </w:rPr>
        <w:t xml:space="preserve">Показатели (плановые значения) мероприятий Программы </w:t>
      </w:r>
      <w:r w:rsidR="00D40755" w:rsidRPr="00E75B85">
        <w:rPr>
          <w:rFonts w:ascii="Times New Roman" w:eastAsiaTheme="minorEastAsia" w:hAnsi="Times New Roman" w:cs="Times New Roman"/>
          <w:sz w:val="24"/>
          <w:lang w:eastAsia="ru-RU"/>
        </w:rPr>
        <w:t>установлены,</w:t>
      </w:r>
      <w:r w:rsidRPr="00E75B85">
        <w:rPr>
          <w:rFonts w:ascii="Times New Roman" w:eastAsiaTheme="minorEastAsia" w:hAnsi="Times New Roman" w:cs="Times New Roman"/>
          <w:sz w:val="24"/>
          <w:lang w:eastAsia="ru-RU"/>
        </w:rPr>
        <w:t xml:space="preserve"> в том числе</w:t>
      </w:r>
      <w:r w:rsidR="00D40755" w:rsidRPr="00E75B85">
        <w:rPr>
          <w:rFonts w:ascii="Times New Roman" w:eastAsiaTheme="minorEastAsia" w:hAnsi="Times New Roman" w:cs="Times New Roman"/>
          <w:sz w:val="24"/>
          <w:lang w:eastAsia="ru-RU"/>
        </w:rPr>
        <w:t>,</w:t>
      </w:r>
      <w:r w:rsidRPr="00E75B85">
        <w:rPr>
          <w:rFonts w:ascii="Times New Roman" w:eastAsiaTheme="minorEastAsia" w:hAnsi="Times New Roman" w:cs="Times New Roman"/>
          <w:sz w:val="24"/>
          <w:lang w:eastAsia="ru-RU"/>
        </w:rPr>
        <w:t xml:space="preserve"> в соответствии с указанными в Плане мероприятий по реализации Стратегии.</w:t>
      </w:r>
      <w:proofErr w:type="gramEnd"/>
    </w:p>
    <w:p w:rsidR="00896C25" w:rsidRPr="00E75B85" w:rsidRDefault="00896C25" w:rsidP="009A4308">
      <w:pPr>
        <w:pStyle w:val="ConsPlusNormal"/>
        <w:spacing w:before="120" w:after="120" w:line="324" w:lineRule="auto"/>
        <w:jc w:val="center"/>
        <w:rPr>
          <w:rFonts w:ascii="Times New Roman" w:hAnsi="Times New Roman" w:cs="Times New Roman"/>
          <w:b/>
          <w:sz w:val="24"/>
        </w:rPr>
      </w:pPr>
      <w:r w:rsidRPr="00E75B85">
        <w:rPr>
          <w:rFonts w:ascii="Times New Roman" w:hAnsi="Times New Roman" w:cs="Times New Roman"/>
          <w:b/>
          <w:sz w:val="24"/>
        </w:rPr>
        <w:t>V. Обоснование ресурсного обеспечения</w:t>
      </w:r>
    </w:p>
    <w:p w:rsidR="00896C25" w:rsidRPr="00E75B85" w:rsidRDefault="00896C25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Реализация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из бюджета Самарской области и средств из внебюджетных источников.</w:t>
      </w:r>
    </w:p>
    <w:p w:rsidR="00896C25" w:rsidRPr="00E75B85" w:rsidRDefault="00896C25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Финансирование из внебюджетных источников пр</w:t>
      </w:r>
      <w:r w:rsidR="00E7351D" w:rsidRPr="00E75B85">
        <w:rPr>
          <w:rFonts w:ascii="Times New Roman" w:hAnsi="Times New Roman" w:cs="Times New Roman"/>
          <w:sz w:val="24"/>
        </w:rPr>
        <w:t xml:space="preserve">едусмотрено по </w:t>
      </w:r>
      <w:r w:rsidR="00E7351D" w:rsidRPr="003B0233">
        <w:rPr>
          <w:rFonts w:ascii="Times New Roman" w:hAnsi="Times New Roman" w:cs="Times New Roman"/>
          <w:sz w:val="24"/>
        </w:rPr>
        <w:t>мероприятию 1.</w:t>
      </w:r>
      <w:r w:rsidR="00B0234B">
        <w:rPr>
          <w:rFonts w:ascii="Times New Roman" w:hAnsi="Times New Roman" w:cs="Times New Roman"/>
          <w:sz w:val="24"/>
        </w:rPr>
        <w:t>7</w:t>
      </w:r>
      <w:r w:rsidR="00E7351D" w:rsidRPr="003B0233">
        <w:rPr>
          <w:rFonts w:ascii="Times New Roman" w:hAnsi="Times New Roman" w:cs="Times New Roman"/>
          <w:sz w:val="24"/>
        </w:rPr>
        <w:t xml:space="preserve"> «</w:t>
      </w:r>
      <w:r w:rsidR="00B0234B" w:rsidRPr="00B0234B">
        <w:rPr>
          <w:rFonts w:ascii="Times New Roman" w:hAnsi="Times New Roman" w:cs="Times New Roman"/>
          <w:sz w:val="24"/>
        </w:rPr>
        <w:t>Благоустройства придомовых территорий многоквартирных домов</w:t>
      </w:r>
      <w:r w:rsidR="00E7351D" w:rsidRPr="003B0233">
        <w:rPr>
          <w:rFonts w:ascii="Times New Roman" w:hAnsi="Times New Roman" w:cs="Times New Roman"/>
          <w:sz w:val="24"/>
        </w:rPr>
        <w:t>»</w:t>
      </w:r>
      <w:r w:rsidRPr="003B0233">
        <w:rPr>
          <w:rFonts w:ascii="Times New Roman" w:hAnsi="Times New Roman" w:cs="Times New Roman"/>
          <w:sz w:val="24"/>
        </w:rPr>
        <w:t xml:space="preserve"> Программы, его размер определяется в процентном</w:t>
      </w:r>
      <w:r w:rsidRPr="00E75B85">
        <w:rPr>
          <w:rFonts w:ascii="Times New Roman" w:hAnsi="Times New Roman" w:cs="Times New Roman"/>
          <w:sz w:val="24"/>
        </w:rPr>
        <w:t xml:space="preserve"> отношении к стоимости услуг и (или) работ и устанавливается</w:t>
      </w:r>
      <w:r w:rsidR="00E7351D" w:rsidRPr="00E75B85">
        <w:rPr>
          <w:rFonts w:ascii="Times New Roman" w:hAnsi="Times New Roman" w:cs="Times New Roman"/>
          <w:sz w:val="24"/>
        </w:rPr>
        <w:t xml:space="preserve"> </w:t>
      </w:r>
      <w:r w:rsidRPr="00E75B85">
        <w:rPr>
          <w:rFonts w:ascii="Times New Roman" w:hAnsi="Times New Roman" w:cs="Times New Roman"/>
          <w:sz w:val="24"/>
        </w:rPr>
        <w:t xml:space="preserve"> не менее </w:t>
      </w:r>
      <w:r w:rsidR="006D761F">
        <w:rPr>
          <w:rFonts w:ascii="Times New Roman" w:hAnsi="Times New Roman" w:cs="Times New Roman"/>
          <w:sz w:val="24"/>
        </w:rPr>
        <w:t>3</w:t>
      </w:r>
      <w:r w:rsidR="00CA4E6D" w:rsidRPr="00E75B85">
        <w:rPr>
          <w:rFonts w:ascii="Times New Roman" w:hAnsi="Times New Roman" w:cs="Times New Roman"/>
          <w:sz w:val="24"/>
        </w:rPr>
        <w:t>%.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Объем бюджетных ассигнований на финансовое обеспечение реализации Программы  составит 8 489 082 тыс. руб., из них:</w:t>
      </w:r>
      <w:r>
        <w:rPr>
          <w:rFonts w:ascii="Times New Roman" w:hAnsi="Times New Roman" w:cs="Times New Roman"/>
          <w:sz w:val="24"/>
        </w:rPr>
        <w:t xml:space="preserve"> </w:t>
      </w:r>
      <w:r w:rsidRPr="00A95791">
        <w:rPr>
          <w:rFonts w:ascii="Times New Roman" w:hAnsi="Times New Roman" w:cs="Times New Roman"/>
          <w:sz w:val="24"/>
        </w:rPr>
        <w:t>местн</w:t>
      </w:r>
      <w:r>
        <w:rPr>
          <w:rFonts w:ascii="Times New Roman" w:hAnsi="Times New Roman" w:cs="Times New Roman"/>
          <w:sz w:val="24"/>
        </w:rPr>
        <w:t>ый бюджет – 8 479 338 тыс. руб.,</w:t>
      </w:r>
      <w:r w:rsidRPr="00A95791">
        <w:rPr>
          <w:rFonts w:ascii="Times New Roman" w:hAnsi="Times New Roman" w:cs="Times New Roman"/>
          <w:sz w:val="24"/>
        </w:rPr>
        <w:t xml:space="preserve"> внебюджетные источники – 9 744 тыс. руб.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Объем бюджетных ассигнований на финансовое обеспечение реализации Программы  за счет всех источников по годам составит:</w:t>
      </w:r>
      <w:bookmarkStart w:id="0" w:name="_GoBack"/>
      <w:bookmarkEnd w:id="0"/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lastRenderedPageBreak/>
        <w:t>2025 год – 972 671 тыс. руб.;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2026 год – 956 959 тыс. руб.;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2027 год – 1 787 260 тыс. руб.;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2028 год – 1 613 022 тыс. руб.;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2029 год – 1 710 664 тыс. руб.;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2030 год – 1 448 506 тыс. руб.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Объем бюджетных ассигнований на финансовое обеспечение реализации Программы  за счет бюджетных средств с учетом планируемых к поступлению средств вышестоящих бюджетов: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2025 год – 971 047 тыс. руб.*;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2026 год – 955 335 тыс. руб.*;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2027 год – 1 785 636 тыс. руб.*;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2028 год – 1 611 398 тыс. руб.;</w:t>
      </w:r>
    </w:p>
    <w:p w:rsidR="00A95791" w:rsidRP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2029 год – 1 709 040 тыс. руб.;</w:t>
      </w:r>
    </w:p>
    <w:p w:rsidR="00A95791" w:rsidRDefault="00A95791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791">
        <w:rPr>
          <w:rFonts w:ascii="Times New Roman" w:hAnsi="Times New Roman" w:cs="Times New Roman"/>
          <w:sz w:val="24"/>
        </w:rPr>
        <w:t>2030 год – 1 446 882 тыс. руб.</w:t>
      </w:r>
    </w:p>
    <w:p w:rsidR="00EC5BB7" w:rsidRPr="00EC5BB7" w:rsidRDefault="00EC5BB7" w:rsidP="00A95791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BB7">
        <w:rPr>
          <w:rFonts w:ascii="Times New Roman" w:hAnsi="Times New Roman" w:cs="Times New Roman"/>
          <w:sz w:val="24"/>
        </w:rPr>
        <w:t>Объем бюджетных ассигнований на финансовое обеспечение реализации Программы  за счет внебюджетных средств:</w:t>
      </w:r>
    </w:p>
    <w:p w:rsidR="00EC5BB7" w:rsidRPr="00EC5BB7" w:rsidRDefault="00EC5BB7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BB7">
        <w:rPr>
          <w:rFonts w:ascii="Times New Roman" w:hAnsi="Times New Roman" w:cs="Times New Roman"/>
          <w:sz w:val="24"/>
        </w:rPr>
        <w:t>2025 год – 1 624 тыс. руб.;</w:t>
      </w:r>
    </w:p>
    <w:p w:rsidR="00EC5BB7" w:rsidRPr="00EC5BB7" w:rsidRDefault="00EC5BB7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BB7">
        <w:rPr>
          <w:rFonts w:ascii="Times New Roman" w:hAnsi="Times New Roman" w:cs="Times New Roman"/>
          <w:sz w:val="24"/>
        </w:rPr>
        <w:t>2026 год – 1 624 тыс. руб.;</w:t>
      </w:r>
    </w:p>
    <w:p w:rsidR="00EC5BB7" w:rsidRPr="00EC5BB7" w:rsidRDefault="00EC5BB7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BB7">
        <w:rPr>
          <w:rFonts w:ascii="Times New Roman" w:hAnsi="Times New Roman" w:cs="Times New Roman"/>
          <w:sz w:val="24"/>
        </w:rPr>
        <w:t>2027 год – 1 624 тыс. руб.;</w:t>
      </w:r>
    </w:p>
    <w:p w:rsidR="00EC5BB7" w:rsidRPr="00EC5BB7" w:rsidRDefault="00EC5BB7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BB7">
        <w:rPr>
          <w:rFonts w:ascii="Times New Roman" w:hAnsi="Times New Roman" w:cs="Times New Roman"/>
          <w:sz w:val="24"/>
        </w:rPr>
        <w:t>2028 год – 1 624 тыс. руб.;</w:t>
      </w:r>
    </w:p>
    <w:p w:rsidR="00EC5BB7" w:rsidRPr="00EC5BB7" w:rsidRDefault="00EC5BB7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BB7">
        <w:rPr>
          <w:rFonts w:ascii="Times New Roman" w:hAnsi="Times New Roman" w:cs="Times New Roman"/>
          <w:sz w:val="24"/>
        </w:rPr>
        <w:t>2029 год – 1 624 тыс. руб.;</w:t>
      </w:r>
    </w:p>
    <w:p w:rsidR="00EC5BB7" w:rsidRDefault="00EC5BB7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C5BB7">
        <w:rPr>
          <w:rFonts w:ascii="Times New Roman" w:hAnsi="Times New Roman" w:cs="Times New Roman"/>
          <w:sz w:val="24"/>
        </w:rPr>
        <w:t>2030 год – 1 624 тыс. руб.</w:t>
      </w:r>
    </w:p>
    <w:p w:rsidR="006D761F" w:rsidRDefault="006D761F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D761F">
        <w:rPr>
          <w:rFonts w:ascii="Times New Roman" w:hAnsi="Times New Roman" w:cs="Times New Roman"/>
          <w:sz w:val="24"/>
        </w:rPr>
        <w:t>* - финансовые средства приведены в объемах, доведенных контрольных цифр Проекта бюджета городского округа Тольятти на 2025 год и плановый период 2026 и 2027 годов.</w:t>
      </w:r>
    </w:p>
    <w:p w:rsidR="00896C25" w:rsidRPr="00E75B85" w:rsidRDefault="00896C25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Объемы финансирования носят прогнозный характер и</w:t>
      </w:r>
      <w:r w:rsidR="00CA4E6D" w:rsidRPr="00E75B85">
        <w:rPr>
          <w:rFonts w:ascii="Times New Roman" w:hAnsi="Times New Roman" w:cs="Times New Roman"/>
          <w:sz w:val="24"/>
        </w:rPr>
        <w:t xml:space="preserve"> подлежат ежегодному уточнению </w:t>
      </w:r>
      <w:r w:rsidRPr="00E75B85">
        <w:rPr>
          <w:rFonts w:ascii="Times New Roman" w:hAnsi="Times New Roman" w:cs="Times New Roman"/>
          <w:sz w:val="24"/>
        </w:rPr>
        <w:t>в связи с инфляцией и по результатам проведенных конкурсных торгов (аукционов), следовательно, в Программу будут вноситься соответствующие изменения.</w:t>
      </w:r>
    </w:p>
    <w:p w:rsidR="00896C25" w:rsidRPr="00E75B85" w:rsidRDefault="00896C25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Финансирование Программы осуществляется в пределах ассигнований, предусмотренных в бюджете городского округа Тольятти главным распорядителям бюджетных средств, утвержденных решением Думы городского округа Тольятти о бюджете на соответствующий финансовый год и плановый период.</w:t>
      </w:r>
    </w:p>
    <w:p w:rsidR="00896C25" w:rsidRPr="00E75B85" w:rsidRDefault="00896C25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Объемы финансирования Программы могут быть изменены в результате полученных субсидий из областного бюджета, предоставляемых в целях осуществления мероприятий, направленных:</w:t>
      </w:r>
    </w:p>
    <w:p w:rsidR="00896C25" w:rsidRPr="00E75B85" w:rsidRDefault="00896C25" w:rsidP="009A4308">
      <w:pPr>
        <w:pStyle w:val="ConsPlusNormal"/>
        <w:spacing w:line="324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 xml:space="preserve">- на выполнение работ по общественным проектам развития территорий, предусмотренных государственной программой Самарской области </w:t>
      </w:r>
      <w:r w:rsidR="00CA4E6D" w:rsidRPr="00E75B85">
        <w:rPr>
          <w:rFonts w:ascii="Times New Roman" w:hAnsi="Times New Roman" w:cs="Times New Roman"/>
          <w:sz w:val="24"/>
        </w:rPr>
        <w:t>«</w:t>
      </w:r>
      <w:r w:rsidRPr="00E75B85">
        <w:rPr>
          <w:rFonts w:ascii="Times New Roman" w:hAnsi="Times New Roman" w:cs="Times New Roman"/>
          <w:sz w:val="24"/>
        </w:rPr>
        <w:t>Поддержка инициатив населения муниципальных образований в Самарской области</w:t>
      </w:r>
      <w:r w:rsidR="00CA4E6D" w:rsidRPr="00E75B85">
        <w:rPr>
          <w:rFonts w:ascii="Times New Roman" w:hAnsi="Times New Roman" w:cs="Times New Roman"/>
          <w:sz w:val="24"/>
        </w:rPr>
        <w:t>»</w:t>
      </w:r>
      <w:r w:rsidRPr="00E75B85">
        <w:rPr>
          <w:rFonts w:ascii="Times New Roman" w:hAnsi="Times New Roman" w:cs="Times New Roman"/>
          <w:sz w:val="24"/>
        </w:rPr>
        <w:t xml:space="preserve">, утвержденной </w:t>
      </w:r>
      <w:r w:rsidRPr="00E75B85">
        <w:rPr>
          <w:rFonts w:ascii="Times New Roman" w:hAnsi="Times New Roman" w:cs="Times New Roman"/>
          <w:sz w:val="24"/>
        </w:rPr>
        <w:lastRenderedPageBreak/>
        <w:t xml:space="preserve">постановлением Правительства Самарской области от 17.05.2017 </w:t>
      </w:r>
      <w:r w:rsidR="00CA4E6D" w:rsidRPr="00E75B85">
        <w:rPr>
          <w:rFonts w:ascii="Times New Roman" w:hAnsi="Times New Roman" w:cs="Times New Roman"/>
          <w:sz w:val="24"/>
        </w:rPr>
        <w:t>№</w:t>
      </w:r>
      <w:r w:rsidRPr="00E75B85">
        <w:rPr>
          <w:rFonts w:ascii="Times New Roman" w:hAnsi="Times New Roman" w:cs="Times New Roman"/>
          <w:sz w:val="24"/>
        </w:rPr>
        <w:t xml:space="preserve"> 323;</w:t>
      </w:r>
    </w:p>
    <w:p w:rsidR="00896C25" w:rsidRPr="00E75B8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- на выполнение работ по устройству и ремонту контейнерных площадок, предусмотренных государственно</w:t>
      </w:r>
      <w:r w:rsidR="00CA4E6D" w:rsidRPr="00E75B85">
        <w:rPr>
          <w:rFonts w:ascii="Times New Roman" w:hAnsi="Times New Roman" w:cs="Times New Roman"/>
          <w:sz w:val="24"/>
        </w:rPr>
        <w:t>й программой Самарской области «</w:t>
      </w:r>
      <w:r w:rsidRPr="00E75B85">
        <w:rPr>
          <w:rFonts w:ascii="Times New Roman" w:hAnsi="Times New Roman" w:cs="Times New Roman"/>
          <w:sz w:val="24"/>
        </w:rPr>
        <w:t>Совершенствование системы обращения с отходами, в том числе с твердыми коммунальными отходами, на территории Самарской обл</w:t>
      </w:r>
      <w:r w:rsidR="00CA4E6D" w:rsidRPr="00E75B85">
        <w:rPr>
          <w:rFonts w:ascii="Times New Roman" w:hAnsi="Times New Roman" w:cs="Times New Roman"/>
          <w:sz w:val="24"/>
        </w:rPr>
        <w:t>асти»</w:t>
      </w:r>
      <w:r w:rsidRPr="00E75B85">
        <w:rPr>
          <w:rFonts w:ascii="Times New Roman" w:hAnsi="Times New Roman" w:cs="Times New Roman"/>
          <w:sz w:val="24"/>
        </w:rPr>
        <w:t xml:space="preserve">, утвержденной постановлением Правительства Самарской области от 31.08.2018 </w:t>
      </w:r>
      <w:r w:rsidR="00CA4E6D" w:rsidRPr="00E75B85">
        <w:rPr>
          <w:rFonts w:ascii="Times New Roman" w:hAnsi="Times New Roman" w:cs="Times New Roman"/>
          <w:sz w:val="24"/>
        </w:rPr>
        <w:t>№</w:t>
      </w:r>
      <w:r w:rsidRPr="00E75B85">
        <w:rPr>
          <w:rFonts w:ascii="Times New Roman" w:hAnsi="Times New Roman" w:cs="Times New Roman"/>
          <w:sz w:val="24"/>
        </w:rPr>
        <w:t xml:space="preserve"> 522.</w:t>
      </w:r>
    </w:p>
    <w:p w:rsidR="00896C25" w:rsidRDefault="00896C25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E75B85">
        <w:rPr>
          <w:rFonts w:ascii="Times New Roman" w:hAnsi="Times New Roman" w:cs="Times New Roman"/>
          <w:sz w:val="24"/>
        </w:rPr>
        <w:t>Сроки, объемы и источники финансового обеспечения мероприятий Пр</w:t>
      </w:r>
      <w:r w:rsidR="00CA4E6D" w:rsidRPr="00E75B85">
        <w:rPr>
          <w:rFonts w:ascii="Times New Roman" w:hAnsi="Times New Roman" w:cs="Times New Roman"/>
          <w:sz w:val="24"/>
        </w:rPr>
        <w:t>ограммы приведены в Приложении №</w:t>
      </w:r>
      <w:r w:rsidRPr="00E75B85">
        <w:rPr>
          <w:rFonts w:ascii="Times New Roman" w:hAnsi="Times New Roman" w:cs="Times New Roman"/>
          <w:sz w:val="24"/>
        </w:rPr>
        <w:t xml:space="preserve"> 1 к настоящей Программе.</w:t>
      </w:r>
    </w:p>
    <w:p w:rsidR="006D761F" w:rsidRPr="00E75B85" w:rsidRDefault="006D761F" w:rsidP="00D23225">
      <w:pPr>
        <w:pStyle w:val="ConsPlusNormal"/>
        <w:spacing w:line="336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D40755" w:rsidRPr="00E75B85" w:rsidRDefault="00D40755" w:rsidP="000E3F7F">
      <w:pPr>
        <w:autoSpaceDE w:val="0"/>
        <w:autoSpaceDN w:val="0"/>
        <w:adjustRightInd w:val="0"/>
        <w:spacing w:before="120" w:after="120" w:line="36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VI. Механизм реализации муниципальной программы</w:t>
      </w:r>
    </w:p>
    <w:p w:rsidR="00D40755" w:rsidRPr="00E75B85" w:rsidRDefault="00D40755" w:rsidP="00AA2F3C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 xml:space="preserve">Организация управления и </w:t>
      </w:r>
      <w:proofErr w:type="gramStart"/>
      <w:r w:rsidRPr="00E75B85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75B85">
        <w:rPr>
          <w:rFonts w:ascii="Times New Roman" w:hAnsi="Times New Roman" w:cs="Times New Roman"/>
          <w:sz w:val="24"/>
          <w:szCs w:val="24"/>
        </w:rPr>
        <w:t xml:space="preserve"> ходом реализации Программы осуществляются координатором Программы - департаментом городского хозяйства администрации городского округа Тольятти в соответствии с «</w:t>
      </w:r>
      <w:hyperlink r:id="rId11" w:history="1">
        <w:r w:rsidRPr="00E75B85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E75B85">
        <w:rPr>
          <w:rFonts w:ascii="Times New Roman" w:hAnsi="Times New Roman" w:cs="Times New Roman"/>
          <w:sz w:val="24"/>
          <w:szCs w:val="24"/>
        </w:rPr>
        <w:t xml:space="preserve"> принятия решений о разработке, формирования и реализации, оценки эффективности муниципальных программ городского округа Тольятти», утвержденным постановлением мэрии городского округа Тольятти от 12.08.2013 № 2546-п/1 (далее - Порядок).</w:t>
      </w:r>
    </w:p>
    <w:p w:rsidR="00D40755" w:rsidRPr="00E75B85" w:rsidRDefault="00D40755" w:rsidP="00AA2F3C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Важными элементами механизма реализации Программы являются планирование, мониторинг, уточнение и корректировка показателей (индикаторов) Программы. В связи с этим ход реализации Программы, достижение цели и решение задач ежегодно оцениваются через систему показателей на основе результативности мероприятий Программы и достижения целевых индикаторов.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Исполнителями мероприятий Программы могут являться юридические или физические лица, определенные в соответствии с законодательством Российской Федерации о закупках для государственных и муниципальных нужд, а также в соответствии с Порядком предоставления субсидий на выполнение муниципального задания.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Исполнители мероприятий Программы предоставляют заказчикам Программы - органам администрации акты приемки выполненных работ (оказанных услуг), отчеты о выполнении муниципального задания (целевом использовании субсидий).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Заказчики Программы представляют Координатору годовые (итоговые) отчеты о реализации мероприятий Программы до 20 января года, следующего за отчетным периодом.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Координатор Программы представляет отчеты о ходе реализации Программы на Коллегию администрации в сроки и по форме согласно Порядку.</w:t>
      </w:r>
    </w:p>
    <w:p w:rsidR="00D40755" w:rsidRPr="00E75B85" w:rsidRDefault="00D40755" w:rsidP="00D2322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E75B85">
        <w:rPr>
          <w:rFonts w:ascii="Times New Roman" w:hAnsi="Times New Roman" w:cs="Times New Roman"/>
          <w:sz w:val="24"/>
          <w:szCs w:val="24"/>
        </w:rPr>
        <w:t>проведения ежегодного мониторинга хода реализации Программы</w:t>
      </w:r>
      <w:proofErr w:type="gramEnd"/>
      <w:r w:rsidRPr="00E75B85">
        <w:rPr>
          <w:rFonts w:ascii="Times New Roman" w:hAnsi="Times New Roman" w:cs="Times New Roman"/>
          <w:sz w:val="24"/>
          <w:szCs w:val="24"/>
        </w:rPr>
        <w:t xml:space="preserve"> при необходимости Координатор подготавливает проект постановления администрации </w:t>
      </w:r>
      <w:r w:rsidRPr="00E75B85">
        <w:rPr>
          <w:rFonts w:ascii="Times New Roman" w:hAnsi="Times New Roman" w:cs="Times New Roman"/>
          <w:sz w:val="24"/>
          <w:szCs w:val="24"/>
        </w:rPr>
        <w:lastRenderedPageBreak/>
        <w:t>городского округа Тольятти о внесении изменений в Программу, организует согласование и утверждение в установленном порядке.</w:t>
      </w:r>
    </w:p>
    <w:p w:rsidR="00965255" w:rsidRDefault="00965255" w:rsidP="00D407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40755" w:rsidRPr="00E75B85" w:rsidRDefault="00D40755" w:rsidP="00D4075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VII. Планируемые результаты реализации</w:t>
      </w:r>
    </w:p>
    <w:p w:rsidR="00D40755" w:rsidRPr="00E75B85" w:rsidRDefault="00D40755" w:rsidP="00D407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Программа носит ярко выраженный социально-экономический характер.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Осуществление своевременного финансирования и успешное выполнение мероприятий настоящей Программы позволит: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повысить комфортность условий проживания граждан на территории городского округа Тольятти;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улучшить условия массового отдыха жителей и гостей городского округа Тольятти;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 xml:space="preserve">- обеспечить благоустройство </w:t>
      </w:r>
      <w:r w:rsidR="008E1526">
        <w:rPr>
          <w:rFonts w:ascii="Times New Roman" w:hAnsi="Times New Roman" w:cs="Times New Roman"/>
          <w:sz w:val="24"/>
          <w:szCs w:val="24"/>
        </w:rPr>
        <w:t>общественных пространств</w:t>
      </w:r>
      <w:r w:rsidRPr="00E75B85">
        <w:rPr>
          <w:rFonts w:ascii="Times New Roman" w:hAnsi="Times New Roman" w:cs="Times New Roman"/>
          <w:sz w:val="24"/>
          <w:szCs w:val="24"/>
        </w:rPr>
        <w:t>;</w:t>
      </w:r>
    </w:p>
    <w:p w:rsidR="00D40755" w:rsidRPr="00E75B8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>- запустить реализацию механизма поддержки мероприятий по благоустройству, инициированных гражданами;</w:t>
      </w:r>
    </w:p>
    <w:p w:rsidR="00D40755" w:rsidRDefault="00D40755" w:rsidP="00965255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5B85">
        <w:rPr>
          <w:rFonts w:ascii="Times New Roman" w:hAnsi="Times New Roman" w:cs="Times New Roman"/>
          <w:sz w:val="24"/>
          <w:szCs w:val="24"/>
        </w:rPr>
        <w:t xml:space="preserve">- сформировать инструменты общественного </w:t>
      </w:r>
      <w:proofErr w:type="gramStart"/>
      <w:r w:rsidRPr="00E75B85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75B85">
        <w:rPr>
          <w:rFonts w:ascii="Times New Roman" w:hAnsi="Times New Roman" w:cs="Times New Roman"/>
          <w:sz w:val="24"/>
          <w:szCs w:val="24"/>
        </w:rPr>
        <w:t xml:space="preserve"> реализацией мероприятий по благоустройству на территории городс</w:t>
      </w:r>
      <w:r w:rsidR="00712E4F">
        <w:rPr>
          <w:rFonts w:ascii="Times New Roman" w:hAnsi="Times New Roman" w:cs="Times New Roman"/>
          <w:sz w:val="24"/>
          <w:szCs w:val="24"/>
        </w:rPr>
        <w:t>кого округа Тольятти;</w:t>
      </w:r>
    </w:p>
    <w:p w:rsidR="00712E4F" w:rsidRPr="00712E4F" w:rsidRDefault="00712E4F" w:rsidP="00712E4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4F">
        <w:rPr>
          <w:rFonts w:ascii="Times New Roman" w:hAnsi="Times New Roman" w:cs="Times New Roman"/>
          <w:sz w:val="24"/>
          <w:szCs w:val="24"/>
        </w:rPr>
        <w:t>- улучшить состояние территорий общего пользования, жилых кварталов и объектов озеленения городского округа Тольятти;</w:t>
      </w:r>
    </w:p>
    <w:p w:rsidR="00712E4F" w:rsidRPr="00712E4F" w:rsidRDefault="00712E4F" w:rsidP="00712E4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4F">
        <w:rPr>
          <w:rFonts w:ascii="Times New Roman" w:hAnsi="Times New Roman" w:cs="Times New Roman"/>
          <w:sz w:val="24"/>
          <w:szCs w:val="24"/>
        </w:rPr>
        <w:t>- снизить потенциальный экологический вред, путем очистки территорий общего пользования от мусора после осенне-зимнего периода;</w:t>
      </w:r>
    </w:p>
    <w:p w:rsidR="00712E4F" w:rsidRPr="00712E4F" w:rsidRDefault="00712E4F" w:rsidP="00712E4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4F">
        <w:rPr>
          <w:rFonts w:ascii="Times New Roman" w:hAnsi="Times New Roman" w:cs="Times New Roman"/>
          <w:sz w:val="24"/>
          <w:szCs w:val="24"/>
        </w:rPr>
        <w:t>- обеспечить безопасный проезд транспорта;</w:t>
      </w:r>
    </w:p>
    <w:p w:rsidR="00712E4F" w:rsidRPr="00712E4F" w:rsidRDefault="00712E4F" w:rsidP="00712E4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4F">
        <w:rPr>
          <w:rFonts w:ascii="Times New Roman" w:hAnsi="Times New Roman" w:cs="Times New Roman"/>
          <w:sz w:val="24"/>
          <w:szCs w:val="24"/>
        </w:rPr>
        <w:t>- предупредить распространение клещей на территориях общего пользования и грызунов на территории Набережной Комсомольского района;</w:t>
      </w:r>
    </w:p>
    <w:p w:rsidR="00712E4F" w:rsidRPr="00712E4F" w:rsidRDefault="00712E4F" w:rsidP="00712E4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4F">
        <w:rPr>
          <w:rFonts w:ascii="Times New Roman" w:hAnsi="Times New Roman" w:cs="Times New Roman"/>
          <w:sz w:val="24"/>
          <w:szCs w:val="24"/>
        </w:rPr>
        <w:t>- улучшить состояние мест погребения (мест захоронения);</w:t>
      </w:r>
    </w:p>
    <w:p w:rsidR="00712E4F" w:rsidRDefault="00712E4F" w:rsidP="00712E4F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E4F">
        <w:rPr>
          <w:rFonts w:ascii="Times New Roman" w:hAnsi="Times New Roman" w:cs="Times New Roman"/>
          <w:sz w:val="24"/>
          <w:szCs w:val="24"/>
        </w:rPr>
        <w:t>- улучшить эстетичный вид городских общественных простран</w:t>
      </w:r>
      <w:proofErr w:type="gramStart"/>
      <w:r w:rsidRPr="00712E4F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712E4F">
        <w:rPr>
          <w:rFonts w:ascii="Times New Roman" w:hAnsi="Times New Roman" w:cs="Times New Roman"/>
          <w:sz w:val="24"/>
          <w:szCs w:val="24"/>
        </w:rPr>
        <w:t>я про</w:t>
      </w:r>
      <w:r>
        <w:rPr>
          <w:rFonts w:ascii="Times New Roman" w:hAnsi="Times New Roman" w:cs="Times New Roman"/>
          <w:sz w:val="24"/>
          <w:szCs w:val="24"/>
        </w:rPr>
        <w:t>ведения праздничных мероприятий.</w:t>
      </w:r>
    </w:p>
    <w:p w:rsidR="00F313BD" w:rsidRDefault="00F313BD" w:rsidP="002043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40755" w:rsidRPr="00E75B85" w:rsidRDefault="00D40755" w:rsidP="002043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75B85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  <w:r w:rsidR="00204311" w:rsidRPr="00E75B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5B85">
        <w:rPr>
          <w:rFonts w:ascii="Times New Roman" w:hAnsi="Times New Roman" w:cs="Times New Roman"/>
          <w:b/>
          <w:bCs/>
          <w:sz w:val="24"/>
          <w:szCs w:val="24"/>
        </w:rPr>
        <w:t>конечного результата муниципальной программы</w:t>
      </w:r>
    </w:p>
    <w:p w:rsidR="00007724" w:rsidRPr="00E75B85" w:rsidRDefault="00007724" w:rsidP="002043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11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71"/>
        <w:gridCol w:w="4292"/>
        <w:gridCol w:w="454"/>
        <w:gridCol w:w="858"/>
        <w:gridCol w:w="568"/>
        <w:gridCol w:w="567"/>
        <w:gridCol w:w="568"/>
        <w:gridCol w:w="6"/>
        <w:gridCol w:w="565"/>
        <w:gridCol w:w="6"/>
        <w:gridCol w:w="565"/>
        <w:gridCol w:w="6"/>
        <w:gridCol w:w="687"/>
      </w:tblGrid>
      <w:tr w:rsidR="00C41139" w:rsidRPr="00965255" w:rsidTr="00D23225">
        <w:trPr>
          <w:jc w:val="center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40755" w:rsidRPr="00965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D40755" w:rsidRPr="0096525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D40755" w:rsidRPr="00965255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8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Планируемые значения показателя конечного результата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1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8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3A5C2B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A5C2B">
              <w:rPr>
                <w:rFonts w:ascii="Times New Roman" w:hAnsi="Times New Roman" w:cs="Times New Roman"/>
                <w:sz w:val="16"/>
                <w:szCs w:val="20"/>
              </w:rPr>
              <w:t>10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 w:rsidP="00BF401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Доля внутриквартальных территорий, на которых проведено комплексное благоустройство, от общего количества внутриквартальных территорий, запланированных к комплексному благоустройству в отчетном периоде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F313BD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1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6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3BD" w:rsidRPr="00F313BD" w:rsidRDefault="00F313BD" w:rsidP="00F313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313B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 w:rsidP="003A5C2B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 xml:space="preserve">Доля благоустроенных </w:t>
            </w:r>
            <w:r w:rsidR="003A5C2B">
              <w:rPr>
                <w:rFonts w:ascii="Times New Roman" w:hAnsi="Times New Roman" w:cs="Times New Roman"/>
                <w:sz w:val="20"/>
                <w:szCs w:val="20"/>
              </w:rPr>
              <w:t>территорий общего пользования</w:t>
            </w:r>
            <w:r w:rsidR="00007724" w:rsidRPr="0096525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65255">
              <w:rPr>
                <w:sz w:val="20"/>
                <w:szCs w:val="20"/>
              </w:rPr>
              <w:t xml:space="preserve">  </w:t>
            </w: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 xml:space="preserve">от общего количества </w:t>
            </w:r>
            <w:r w:rsidR="003A5C2B">
              <w:rPr>
                <w:rFonts w:ascii="Times New Roman" w:hAnsi="Times New Roman" w:cs="Times New Roman"/>
                <w:sz w:val="20"/>
                <w:szCs w:val="20"/>
              </w:rPr>
              <w:t>таких</w:t>
            </w: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5C2B">
              <w:rPr>
                <w:rFonts w:ascii="Times New Roman" w:hAnsi="Times New Roman" w:cs="Times New Roman"/>
                <w:sz w:val="20"/>
                <w:szCs w:val="20"/>
              </w:rPr>
              <w:t>территорий</w:t>
            </w: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, запланированных к благоустройству в отчетном периоде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204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6D76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3A5C2B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965255" w:rsidRDefault="003A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965255" w:rsidRDefault="003A5C2B" w:rsidP="003A5C2B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5C2B">
              <w:rPr>
                <w:rFonts w:ascii="Times New Roman" w:hAnsi="Times New Roman" w:cs="Times New Roman"/>
                <w:sz w:val="20"/>
                <w:szCs w:val="20"/>
              </w:rPr>
              <w:t>Доля празднично оформленных объектов в общем количестве объектов, запланированных к праздничному оформлению в отчетный период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jc w:val="center"/>
              <w:rPr>
                <w:rFonts w:ascii="Times New Roman" w:hAnsi="Times New Roman" w:cs="Times New Roman"/>
              </w:rPr>
            </w:pPr>
            <w:r w:rsidRPr="003A5C2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jc w:val="center"/>
              <w:rPr>
                <w:rFonts w:ascii="Times New Roman" w:hAnsi="Times New Roman" w:cs="Times New Roman"/>
              </w:rPr>
            </w:pPr>
            <w:r w:rsidRPr="003A5C2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C2B" w:rsidRPr="003A5C2B" w:rsidRDefault="003A5C2B" w:rsidP="003A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3A5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 w:rsidP="00DF6A1C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 xml:space="preserve">Доля выполненных работ в общем количестве запланированных работ по </w:t>
            </w:r>
            <w:r w:rsidR="00DF6A1C">
              <w:rPr>
                <w:rFonts w:ascii="Times New Roman" w:hAnsi="Times New Roman" w:cs="Times New Roman"/>
                <w:sz w:val="20"/>
                <w:szCs w:val="20"/>
              </w:rPr>
              <w:t>созданию условий для массового отдыха на береговых</w:t>
            </w: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6A1C">
              <w:rPr>
                <w:rFonts w:ascii="Times New Roman" w:hAnsi="Times New Roman" w:cs="Times New Roman"/>
                <w:sz w:val="20"/>
                <w:szCs w:val="20"/>
              </w:rPr>
              <w:t>зонах водных объектов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FE2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6B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B5289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DF6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C41139" w:rsidP="00BF401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Доля выполненных работ в общем количестве запланированных работ по реализации общественных и инициативных проектов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139" w:rsidRPr="00965255" w:rsidRDefault="00007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DF6A1C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Default="00DF6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965255" w:rsidRDefault="00DF6A1C" w:rsidP="00BF401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A1C">
              <w:rPr>
                <w:rFonts w:ascii="Times New Roman" w:hAnsi="Times New Roman" w:cs="Times New Roman"/>
                <w:sz w:val="20"/>
                <w:szCs w:val="20"/>
              </w:rPr>
              <w:t xml:space="preserve">Доля площади территорий общего пользования, на которых проведена акарицидная обработка, от общей площади территорий общего пользования городского округа Тольятти, требующих </w:t>
            </w:r>
            <w:proofErr w:type="spellStart"/>
            <w:r w:rsidRPr="00DF6A1C">
              <w:rPr>
                <w:rFonts w:ascii="Times New Roman" w:hAnsi="Times New Roman" w:cs="Times New Roman"/>
                <w:sz w:val="20"/>
                <w:szCs w:val="20"/>
              </w:rPr>
              <w:t>акарицидной</w:t>
            </w:r>
            <w:proofErr w:type="spellEnd"/>
            <w:r w:rsidRPr="00DF6A1C">
              <w:rPr>
                <w:rFonts w:ascii="Times New Roman" w:hAnsi="Times New Roman" w:cs="Times New Roman"/>
                <w:sz w:val="20"/>
                <w:szCs w:val="20"/>
              </w:rPr>
              <w:t xml:space="preserve"> обработки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44,6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54,8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52,4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52,4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52,4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52,4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6A1C" w:rsidRPr="00965255" w:rsidRDefault="00DF6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</w:tr>
      <w:tr w:rsidR="00367572" w:rsidRPr="00965255" w:rsidTr="00D23225">
        <w:trPr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Default="003675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4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DF6A1C" w:rsidRDefault="00367572" w:rsidP="00BF401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A1C">
              <w:rPr>
                <w:rFonts w:ascii="Times New Roman" w:hAnsi="Times New Roman" w:cs="Times New Roman"/>
                <w:sz w:val="20"/>
                <w:szCs w:val="20"/>
              </w:rPr>
              <w:t>Доля площади территории мест погребения (захоронения) городского округа, на которой проводятся работы по содержанию от общей площади кладбищ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89,1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96,8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96,8</w:t>
            </w:r>
          </w:p>
        </w:tc>
        <w:tc>
          <w:tcPr>
            <w:tcW w:w="2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96,8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96,8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96,8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572" w:rsidRPr="00367572" w:rsidRDefault="00367572" w:rsidP="0036757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67572">
              <w:rPr>
                <w:rFonts w:ascii="Times New Roman" w:hAnsi="Times New Roman" w:cs="Times New Roman"/>
                <w:sz w:val="20"/>
              </w:rPr>
              <w:t>96,8</w:t>
            </w:r>
          </w:p>
        </w:tc>
      </w:tr>
      <w:tr w:rsidR="00D40755" w:rsidRPr="00965255" w:rsidTr="00007724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Показатели (индикаторы) Стратегии, определенные планом мероприятий по реализации Стратегии</w:t>
            </w:r>
          </w:p>
        </w:tc>
      </w:tr>
      <w:tr w:rsidR="00DF6A1C" w:rsidRPr="00965255" w:rsidTr="00F313BD">
        <w:trPr>
          <w:cantSplit/>
          <w:trHeight w:val="1134"/>
          <w:jc w:val="center"/>
        </w:trPr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1C" w:rsidRPr="00965255" w:rsidRDefault="00DF6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1C" w:rsidRPr="00965255" w:rsidRDefault="00DF6A1C" w:rsidP="00BF4018">
            <w:pPr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6A1C">
              <w:rPr>
                <w:rFonts w:ascii="Times New Roman" w:hAnsi="Times New Roman" w:cs="Times New Roman"/>
                <w:sz w:val="20"/>
                <w:szCs w:val="20"/>
              </w:rPr>
              <w:t>Площадь территорий общего пользования, очищенных от мусора после осенне-зимнего периода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A1C" w:rsidRPr="00DF6A1C" w:rsidRDefault="00DF6A1C" w:rsidP="00DF6A1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м</w:t>
            </w:r>
            <w:proofErr w:type="gramStart"/>
            <w:r w:rsidRPr="00DF6A1C">
              <w:rPr>
                <w:rFonts w:ascii="Times New Roman" w:hAnsi="Times New Roman" w:cs="Times New Roman"/>
                <w:sz w:val="20"/>
              </w:rPr>
              <w:t>2</w:t>
            </w:r>
            <w:proofErr w:type="gramEnd"/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6A1C" w:rsidRPr="00DF6A1C" w:rsidRDefault="00DF6A1C" w:rsidP="00DF6A1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13491000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6A1C" w:rsidRPr="00DF6A1C" w:rsidRDefault="00DF6A1C" w:rsidP="00DF6A1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16317000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6A1C" w:rsidRPr="00DF6A1C" w:rsidRDefault="00DF6A1C" w:rsidP="00DF6A1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16317000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6A1C" w:rsidRPr="00DF6A1C" w:rsidRDefault="00DF6A1C" w:rsidP="00DF6A1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16317000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6A1C" w:rsidRPr="00DF6A1C" w:rsidRDefault="00DF6A1C" w:rsidP="00DF6A1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16317000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6A1C" w:rsidRPr="00DF6A1C" w:rsidRDefault="00DF6A1C" w:rsidP="00DF6A1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16317000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F6A1C" w:rsidRPr="00DF6A1C" w:rsidRDefault="00DF6A1C" w:rsidP="00DF6A1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DF6A1C">
              <w:rPr>
                <w:rFonts w:ascii="Times New Roman" w:hAnsi="Times New Roman" w:cs="Times New Roman"/>
                <w:sz w:val="20"/>
              </w:rPr>
              <w:t>16317000</w:t>
            </w:r>
          </w:p>
        </w:tc>
      </w:tr>
      <w:tr w:rsidR="00D40755" w:rsidRPr="00965255" w:rsidTr="00007724">
        <w:trPr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55" w:rsidRPr="00965255" w:rsidRDefault="00D407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Целевые показатели (индикаторы) национальных и федеральных проектов в части, касающейся городского округа Тольятти</w:t>
            </w:r>
          </w:p>
        </w:tc>
      </w:tr>
      <w:tr w:rsidR="004B5289" w:rsidRPr="00965255" w:rsidTr="00F313BD">
        <w:trPr>
          <w:jc w:val="center"/>
        </w:trPr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 w:rsidP="00C4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&lt;*&gt;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25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289" w:rsidRPr="00965255" w:rsidRDefault="004B52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52FC3" w:rsidRDefault="00752FC3" w:rsidP="00B150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</w:rPr>
      </w:pPr>
    </w:p>
    <w:p w:rsidR="00752FC3" w:rsidRDefault="00752FC3" w:rsidP="00B150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</w:rPr>
      </w:pPr>
    </w:p>
    <w:p w:rsidR="00B1503F" w:rsidRPr="00AA2F3C" w:rsidRDefault="00D40755" w:rsidP="00B150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4"/>
        </w:rPr>
      </w:pPr>
      <w:r w:rsidRPr="00AA2F3C">
        <w:rPr>
          <w:rFonts w:ascii="Times New Roman" w:hAnsi="Times New Roman" w:cs="Times New Roman"/>
          <w:sz w:val="20"/>
          <w:szCs w:val="24"/>
        </w:rPr>
        <w:t>&lt;*&gt; Мероприятия муниципальной программы не предусмотрены национальными и федеральными проектами.</w:t>
      </w:r>
    </w:p>
    <w:sectPr w:rsidR="00B1503F" w:rsidRPr="00AA2F3C" w:rsidSect="008710B5">
      <w:headerReference w:type="defaul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4F0" w:rsidRDefault="009524F0" w:rsidP="008A77B4">
      <w:pPr>
        <w:spacing w:after="0" w:line="240" w:lineRule="auto"/>
      </w:pPr>
      <w:r>
        <w:separator/>
      </w:r>
    </w:p>
  </w:endnote>
  <w:endnote w:type="continuationSeparator" w:id="0">
    <w:p w:rsidR="009524F0" w:rsidRDefault="009524F0" w:rsidP="008A7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4F0" w:rsidRDefault="009524F0" w:rsidP="008A77B4">
      <w:pPr>
        <w:spacing w:after="0" w:line="240" w:lineRule="auto"/>
      </w:pPr>
      <w:r>
        <w:separator/>
      </w:r>
    </w:p>
  </w:footnote>
  <w:footnote w:type="continuationSeparator" w:id="0">
    <w:p w:rsidR="009524F0" w:rsidRDefault="009524F0" w:rsidP="008A7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9533800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8A77B4" w:rsidRPr="008A77B4" w:rsidRDefault="008A77B4">
        <w:pPr>
          <w:pStyle w:val="a5"/>
          <w:jc w:val="center"/>
          <w:rPr>
            <w:sz w:val="20"/>
          </w:rPr>
        </w:pPr>
        <w:r w:rsidRPr="008A77B4">
          <w:rPr>
            <w:sz w:val="20"/>
          </w:rPr>
          <w:fldChar w:fldCharType="begin"/>
        </w:r>
        <w:r w:rsidRPr="008A77B4">
          <w:rPr>
            <w:sz w:val="20"/>
          </w:rPr>
          <w:instrText>PAGE   \* MERGEFORMAT</w:instrText>
        </w:r>
        <w:r w:rsidRPr="008A77B4">
          <w:rPr>
            <w:sz w:val="20"/>
          </w:rPr>
          <w:fldChar w:fldCharType="separate"/>
        </w:r>
        <w:r w:rsidR="00A95791">
          <w:rPr>
            <w:noProof/>
            <w:sz w:val="20"/>
          </w:rPr>
          <w:t>21</w:t>
        </w:r>
        <w:r w:rsidRPr="008A77B4">
          <w:rPr>
            <w:sz w:val="20"/>
          </w:rPr>
          <w:fldChar w:fldCharType="end"/>
        </w:r>
      </w:p>
    </w:sdtContent>
  </w:sdt>
  <w:p w:rsidR="008A77B4" w:rsidRDefault="008A77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72486"/>
    <w:multiLevelType w:val="hybridMultilevel"/>
    <w:tmpl w:val="AEAA3C34"/>
    <w:lvl w:ilvl="0" w:tplc="975C156A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D1A3FAC"/>
    <w:multiLevelType w:val="hybridMultilevel"/>
    <w:tmpl w:val="D5D4C468"/>
    <w:lvl w:ilvl="0" w:tplc="975C156A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609"/>
    <w:rsid w:val="00007724"/>
    <w:rsid w:val="00015C7A"/>
    <w:rsid w:val="000160C7"/>
    <w:rsid w:val="00022371"/>
    <w:rsid w:val="0003251D"/>
    <w:rsid w:val="000334B1"/>
    <w:rsid w:val="000376EC"/>
    <w:rsid w:val="00067003"/>
    <w:rsid w:val="000704C4"/>
    <w:rsid w:val="000A14E4"/>
    <w:rsid w:val="000A5D25"/>
    <w:rsid w:val="000C1992"/>
    <w:rsid w:val="000C5FB6"/>
    <w:rsid w:val="000E3F7F"/>
    <w:rsid w:val="000E7234"/>
    <w:rsid w:val="000F0352"/>
    <w:rsid w:val="000F24D2"/>
    <w:rsid w:val="00140CE1"/>
    <w:rsid w:val="00170609"/>
    <w:rsid w:val="00175C32"/>
    <w:rsid w:val="001A0095"/>
    <w:rsid w:val="001C2572"/>
    <w:rsid w:val="001F79D7"/>
    <w:rsid w:val="00204311"/>
    <w:rsid w:val="00204D08"/>
    <w:rsid w:val="00210BBD"/>
    <w:rsid w:val="00235C5B"/>
    <w:rsid w:val="00253CC6"/>
    <w:rsid w:val="00260D99"/>
    <w:rsid w:val="00274BAA"/>
    <w:rsid w:val="0028445F"/>
    <w:rsid w:val="0028713D"/>
    <w:rsid w:val="00295782"/>
    <w:rsid w:val="002A04A7"/>
    <w:rsid w:val="002F5E90"/>
    <w:rsid w:val="00302366"/>
    <w:rsid w:val="00310A0C"/>
    <w:rsid w:val="00354C1A"/>
    <w:rsid w:val="00367572"/>
    <w:rsid w:val="0037400C"/>
    <w:rsid w:val="00382275"/>
    <w:rsid w:val="003848CE"/>
    <w:rsid w:val="003A5C2B"/>
    <w:rsid w:val="003B0233"/>
    <w:rsid w:val="003C3B89"/>
    <w:rsid w:val="003D14E8"/>
    <w:rsid w:val="0041677B"/>
    <w:rsid w:val="0044519C"/>
    <w:rsid w:val="00451517"/>
    <w:rsid w:val="00474878"/>
    <w:rsid w:val="0049546C"/>
    <w:rsid w:val="004A4A08"/>
    <w:rsid w:val="004B5289"/>
    <w:rsid w:val="004C40B8"/>
    <w:rsid w:val="004D37B8"/>
    <w:rsid w:val="004D4D2E"/>
    <w:rsid w:val="004D5122"/>
    <w:rsid w:val="004E5BE1"/>
    <w:rsid w:val="004F6151"/>
    <w:rsid w:val="005204A7"/>
    <w:rsid w:val="00521549"/>
    <w:rsid w:val="00537DA8"/>
    <w:rsid w:val="005467A3"/>
    <w:rsid w:val="00566212"/>
    <w:rsid w:val="00566D64"/>
    <w:rsid w:val="00573DCC"/>
    <w:rsid w:val="005951B5"/>
    <w:rsid w:val="005A3606"/>
    <w:rsid w:val="005A67DC"/>
    <w:rsid w:val="005B79E7"/>
    <w:rsid w:val="005C5CCF"/>
    <w:rsid w:val="00613737"/>
    <w:rsid w:val="0064587A"/>
    <w:rsid w:val="006520FF"/>
    <w:rsid w:val="00661A83"/>
    <w:rsid w:val="00695997"/>
    <w:rsid w:val="006977FE"/>
    <w:rsid w:val="006B2CF8"/>
    <w:rsid w:val="006B765F"/>
    <w:rsid w:val="006C11FE"/>
    <w:rsid w:val="006C7E39"/>
    <w:rsid w:val="006D761F"/>
    <w:rsid w:val="006F3C29"/>
    <w:rsid w:val="00712E4F"/>
    <w:rsid w:val="00751A49"/>
    <w:rsid w:val="00752FC3"/>
    <w:rsid w:val="007713FD"/>
    <w:rsid w:val="007B46D6"/>
    <w:rsid w:val="007D390E"/>
    <w:rsid w:val="007E2DE3"/>
    <w:rsid w:val="007E5569"/>
    <w:rsid w:val="00802E30"/>
    <w:rsid w:val="00816B11"/>
    <w:rsid w:val="00830020"/>
    <w:rsid w:val="008351F5"/>
    <w:rsid w:val="0085476D"/>
    <w:rsid w:val="00856B83"/>
    <w:rsid w:val="00864677"/>
    <w:rsid w:val="00866685"/>
    <w:rsid w:val="008710B5"/>
    <w:rsid w:val="008749A3"/>
    <w:rsid w:val="00892282"/>
    <w:rsid w:val="00896C25"/>
    <w:rsid w:val="008A31D4"/>
    <w:rsid w:val="008A56FF"/>
    <w:rsid w:val="008A77B4"/>
    <w:rsid w:val="008E1526"/>
    <w:rsid w:val="008F790F"/>
    <w:rsid w:val="0090093D"/>
    <w:rsid w:val="00907431"/>
    <w:rsid w:val="00907459"/>
    <w:rsid w:val="00914B8E"/>
    <w:rsid w:val="00921C99"/>
    <w:rsid w:val="00924036"/>
    <w:rsid w:val="00934B4B"/>
    <w:rsid w:val="009524F0"/>
    <w:rsid w:val="00965255"/>
    <w:rsid w:val="009701EB"/>
    <w:rsid w:val="00981232"/>
    <w:rsid w:val="009931D2"/>
    <w:rsid w:val="00994E7D"/>
    <w:rsid w:val="00996F84"/>
    <w:rsid w:val="009A4308"/>
    <w:rsid w:val="009A75D5"/>
    <w:rsid w:val="009B7A9F"/>
    <w:rsid w:val="009C7FFC"/>
    <w:rsid w:val="009F4703"/>
    <w:rsid w:val="009F4FEC"/>
    <w:rsid w:val="00A1372F"/>
    <w:rsid w:val="00A23579"/>
    <w:rsid w:val="00A50AE6"/>
    <w:rsid w:val="00A60D10"/>
    <w:rsid w:val="00A64176"/>
    <w:rsid w:val="00A7265F"/>
    <w:rsid w:val="00A8215F"/>
    <w:rsid w:val="00A95791"/>
    <w:rsid w:val="00AA2177"/>
    <w:rsid w:val="00AA2F3C"/>
    <w:rsid w:val="00AD2AD0"/>
    <w:rsid w:val="00AD644B"/>
    <w:rsid w:val="00AE77E9"/>
    <w:rsid w:val="00AF55CD"/>
    <w:rsid w:val="00AF6B1D"/>
    <w:rsid w:val="00B0234B"/>
    <w:rsid w:val="00B1503F"/>
    <w:rsid w:val="00B2641B"/>
    <w:rsid w:val="00B57661"/>
    <w:rsid w:val="00B65537"/>
    <w:rsid w:val="00B70189"/>
    <w:rsid w:val="00B76F10"/>
    <w:rsid w:val="00B96B78"/>
    <w:rsid w:val="00B97415"/>
    <w:rsid w:val="00B977BE"/>
    <w:rsid w:val="00BA059A"/>
    <w:rsid w:val="00BA7630"/>
    <w:rsid w:val="00BB37BE"/>
    <w:rsid w:val="00BC36AC"/>
    <w:rsid w:val="00BC6FC5"/>
    <w:rsid w:val="00BD1328"/>
    <w:rsid w:val="00BE377D"/>
    <w:rsid w:val="00BF4018"/>
    <w:rsid w:val="00BF6F6F"/>
    <w:rsid w:val="00C024D6"/>
    <w:rsid w:val="00C41139"/>
    <w:rsid w:val="00C5544C"/>
    <w:rsid w:val="00C61F81"/>
    <w:rsid w:val="00C876BB"/>
    <w:rsid w:val="00CA4757"/>
    <w:rsid w:val="00CA4E6D"/>
    <w:rsid w:val="00CA6A1A"/>
    <w:rsid w:val="00CC6D69"/>
    <w:rsid w:val="00CD06A7"/>
    <w:rsid w:val="00D03136"/>
    <w:rsid w:val="00D060DF"/>
    <w:rsid w:val="00D16631"/>
    <w:rsid w:val="00D23225"/>
    <w:rsid w:val="00D40755"/>
    <w:rsid w:val="00D83EF3"/>
    <w:rsid w:val="00D96E87"/>
    <w:rsid w:val="00DA7C61"/>
    <w:rsid w:val="00DF006E"/>
    <w:rsid w:val="00DF61FD"/>
    <w:rsid w:val="00DF6A1C"/>
    <w:rsid w:val="00E166F1"/>
    <w:rsid w:val="00E267C1"/>
    <w:rsid w:val="00E71D30"/>
    <w:rsid w:val="00E7351D"/>
    <w:rsid w:val="00E75B85"/>
    <w:rsid w:val="00E833AF"/>
    <w:rsid w:val="00E8477C"/>
    <w:rsid w:val="00E94CD5"/>
    <w:rsid w:val="00EA19BA"/>
    <w:rsid w:val="00EA54B1"/>
    <w:rsid w:val="00EA6CBD"/>
    <w:rsid w:val="00EB2165"/>
    <w:rsid w:val="00EC4E98"/>
    <w:rsid w:val="00EC5BB7"/>
    <w:rsid w:val="00F00110"/>
    <w:rsid w:val="00F011BD"/>
    <w:rsid w:val="00F12BBB"/>
    <w:rsid w:val="00F12D74"/>
    <w:rsid w:val="00F20B76"/>
    <w:rsid w:val="00F2413B"/>
    <w:rsid w:val="00F313BD"/>
    <w:rsid w:val="00F36D03"/>
    <w:rsid w:val="00F61FDA"/>
    <w:rsid w:val="00F6351E"/>
    <w:rsid w:val="00F70B42"/>
    <w:rsid w:val="00F72160"/>
    <w:rsid w:val="00FA4018"/>
    <w:rsid w:val="00FB5E45"/>
    <w:rsid w:val="00FC7A30"/>
    <w:rsid w:val="00FE2D6B"/>
    <w:rsid w:val="00F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9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77B4"/>
  </w:style>
  <w:style w:type="paragraph" w:styleId="a7">
    <w:name w:val="footer"/>
    <w:basedOn w:val="a"/>
    <w:link w:val="a8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77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706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3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9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77B4"/>
  </w:style>
  <w:style w:type="paragraph" w:styleId="a7">
    <w:name w:val="footer"/>
    <w:basedOn w:val="a"/>
    <w:link w:val="a8"/>
    <w:uiPriority w:val="99"/>
    <w:unhideWhenUsed/>
    <w:rsid w:val="008A77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77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6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256&amp;n=178775&amp;dst=100576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RLAW256&amp;n=179504&amp;dst=10509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56&amp;n=143490&amp;dst=100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25015-AFC9-4888-A166-ECEDAC0B9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22</Pages>
  <Words>7508</Words>
  <Characters>42800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36</cp:revision>
  <cp:lastPrinted>2024-10-10T09:08:00Z</cp:lastPrinted>
  <dcterms:created xsi:type="dcterms:W3CDTF">2024-05-15T07:54:00Z</dcterms:created>
  <dcterms:modified xsi:type="dcterms:W3CDTF">2024-10-11T06:53:00Z</dcterms:modified>
</cp:coreProperties>
</file>