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CB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B1BCB">
        <w:rPr>
          <w:rFonts w:ascii="Times New Roman" w:hAnsi="Times New Roman" w:cs="Times New Roman"/>
          <w:b w:val="0"/>
          <w:sz w:val="20"/>
        </w:rPr>
        <w:t xml:space="preserve">Приложение </w:t>
      </w:r>
      <w:r>
        <w:rPr>
          <w:rFonts w:ascii="Times New Roman" w:hAnsi="Times New Roman" w:cs="Times New Roman"/>
          <w:b w:val="0"/>
          <w:sz w:val="20"/>
        </w:rPr>
        <w:t>2</w:t>
      </w:r>
      <w:r w:rsidRPr="00CB1BCB">
        <w:rPr>
          <w:rFonts w:ascii="Times New Roman" w:hAnsi="Times New Roman" w:cs="Times New Roman"/>
          <w:b w:val="0"/>
          <w:sz w:val="20"/>
        </w:rPr>
        <w:t xml:space="preserve"> </w:t>
      </w:r>
    </w:p>
    <w:p w:rsidR="00CB1BCB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B1BCB">
        <w:rPr>
          <w:rFonts w:ascii="Times New Roman" w:hAnsi="Times New Roman" w:cs="Times New Roman"/>
          <w:b w:val="0"/>
          <w:sz w:val="20"/>
        </w:rPr>
        <w:t xml:space="preserve">к постановлению администрации </w:t>
      </w:r>
    </w:p>
    <w:p w:rsidR="00CB1BCB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B1BCB">
        <w:rPr>
          <w:rFonts w:ascii="Times New Roman" w:hAnsi="Times New Roman" w:cs="Times New Roman"/>
          <w:b w:val="0"/>
          <w:sz w:val="20"/>
        </w:rPr>
        <w:t xml:space="preserve">городского округа Тольятти </w:t>
      </w:r>
    </w:p>
    <w:p w:rsidR="00CB1BCB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B1BCB">
        <w:rPr>
          <w:rFonts w:ascii="Times New Roman" w:hAnsi="Times New Roman" w:cs="Times New Roman"/>
          <w:b w:val="0"/>
          <w:sz w:val="20"/>
        </w:rPr>
        <w:t>от _______________ № _____________</w:t>
      </w:r>
    </w:p>
    <w:p w:rsidR="00CB1BCB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B1BCB" w:rsidRPr="00CB1BCB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Приложение №</w:t>
      </w:r>
      <w:r w:rsidRPr="00CB1BCB">
        <w:rPr>
          <w:rFonts w:ascii="Times New Roman" w:hAnsi="Times New Roman" w:cs="Times New Roman"/>
          <w:b w:val="0"/>
          <w:sz w:val="20"/>
        </w:rPr>
        <w:t xml:space="preserve"> 2</w:t>
      </w:r>
    </w:p>
    <w:p w:rsidR="00CB1BCB" w:rsidRPr="00CB1BCB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B1BCB">
        <w:rPr>
          <w:rFonts w:ascii="Times New Roman" w:hAnsi="Times New Roman" w:cs="Times New Roman"/>
          <w:b w:val="0"/>
          <w:sz w:val="20"/>
        </w:rPr>
        <w:t>к Муниципальной программе</w:t>
      </w:r>
    </w:p>
    <w:p w:rsidR="00CB1BCB" w:rsidRPr="00CB1BCB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B1BCB">
        <w:rPr>
          <w:rFonts w:ascii="Times New Roman" w:hAnsi="Times New Roman" w:cs="Times New Roman"/>
          <w:b w:val="0"/>
          <w:sz w:val="20"/>
        </w:rPr>
        <w:t>"Содержание и ремонт объектов</w:t>
      </w:r>
    </w:p>
    <w:p w:rsidR="00CB1BCB" w:rsidRPr="00CB1BCB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B1BCB">
        <w:rPr>
          <w:rFonts w:ascii="Times New Roman" w:hAnsi="Times New Roman" w:cs="Times New Roman"/>
          <w:b w:val="0"/>
          <w:sz w:val="20"/>
        </w:rPr>
        <w:t>и сетей инженерной инфраструктуры</w:t>
      </w:r>
    </w:p>
    <w:p w:rsidR="00CB1BCB" w:rsidRPr="00CB1BCB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B1BCB">
        <w:rPr>
          <w:rFonts w:ascii="Times New Roman" w:hAnsi="Times New Roman" w:cs="Times New Roman"/>
          <w:b w:val="0"/>
          <w:sz w:val="20"/>
        </w:rPr>
        <w:t>городского округа Тольятти</w:t>
      </w:r>
    </w:p>
    <w:p w:rsidR="00CB1BCB" w:rsidRPr="00CB1BCB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B1BCB">
        <w:rPr>
          <w:rFonts w:ascii="Times New Roman" w:hAnsi="Times New Roman" w:cs="Times New Roman"/>
          <w:b w:val="0"/>
          <w:sz w:val="20"/>
        </w:rPr>
        <w:t>на 2023 - 2027 годы"</w:t>
      </w:r>
    </w:p>
    <w:p w:rsidR="00CB1BCB" w:rsidRDefault="00CB1BC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B0F10" w:rsidRPr="00CB1BCB" w:rsidRDefault="003B0F1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B1BCB">
        <w:rPr>
          <w:rFonts w:ascii="Times New Roman" w:hAnsi="Times New Roman" w:cs="Times New Roman"/>
          <w:sz w:val="20"/>
        </w:rPr>
        <w:t>ПОКАЗАТЕЛИ (ИНДИКАТОРЫ) МУНИЦИПАЛЬНОЙ ПРОГРАММЫ</w:t>
      </w:r>
    </w:p>
    <w:p w:rsidR="003B0F10" w:rsidRPr="00CB1BCB" w:rsidRDefault="003B0F10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53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75"/>
        <w:gridCol w:w="3122"/>
        <w:gridCol w:w="634"/>
        <w:gridCol w:w="641"/>
        <w:gridCol w:w="626"/>
        <w:gridCol w:w="561"/>
        <w:gridCol w:w="656"/>
        <w:gridCol w:w="671"/>
        <w:gridCol w:w="619"/>
      </w:tblGrid>
      <w:tr w:rsidR="00C527B4" w:rsidRPr="00CB1BCB" w:rsidTr="00C527B4">
        <w:tc>
          <w:tcPr>
            <w:tcW w:w="224" w:type="pct"/>
            <w:vMerge w:val="restart"/>
          </w:tcPr>
          <w:p w:rsidR="003B0F10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86" w:type="pct"/>
            <w:vMerge w:val="restar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447" w:type="pct"/>
            <w:vMerge w:val="restar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(индикаторов)</w:t>
            </w:r>
          </w:p>
        </w:tc>
        <w:tc>
          <w:tcPr>
            <w:tcW w:w="294" w:type="pct"/>
            <w:vMerge w:val="restar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97" w:type="pct"/>
            <w:vMerge w:val="restar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452" w:type="pct"/>
            <w:gridSpan w:val="5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по годам</w:t>
            </w:r>
          </w:p>
        </w:tc>
      </w:tr>
      <w:tr w:rsidR="00C527B4" w:rsidRPr="00CB1BCB" w:rsidTr="00C527B4">
        <w:trPr>
          <w:trHeight w:val="207"/>
        </w:trPr>
        <w:tc>
          <w:tcPr>
            <w:tcW w:w="224" w:type="pct"/>
            <w:vMerge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pct"/>
            <w:vMerge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C527B4" w:rsidRPr="00CB1BCB" w:rsidTr="00C527B4">
        <w:trPr>
          <w:trHeight w:val="171"/>
        </w:trPr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1BCB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1BC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1BCB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1BCB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1BC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1BCB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1BCB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1BCB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1BCB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1BCB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3B0F10" w:rsidRPr="00CB1BCB" w:rsidTr="00C527B4">
        <w:trPr>
          <w:trHeight w:val="393"/>
        </w:trPr>
        <w:tc>
          <w:tcPr>
            <w:tcW w:w="5000" w:type="pct"/>
            <w:gridSpan w:val="10"/>
          </w:tcPr>
          <w:p w:rsidR="003B0F10" w:rsidRPr="00CB1BCB" w:rsidRDefault="003B0F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Цель: обеспечение надежности функционирования систем теплоснабжения, газоснабжения, водоснабжения, водоотведения и уличного (наружного) освещения городского округа Тольятти</w:t>
            </w:r>
          </w:p>
        </w:tc>
      </w:tr>
      <w:tr w:rsidR="003B0F10" w:rsidRPr="00CB1BCB" w:rsidTr="00C527B4">
        <w:trPr>
          <w:trHeight w:val="431"/>
        </w:trPr>
        <w:tc>
          <w:tcPr>
            <w:tcW w:w="5000" w:type="pct"/>
            <w:gridSpan w:val="10"/>
          </w:tcPr>
          <w:p w:rsidR="003B0F10" w:rsidRPr="00CB1BCB" w:rsidRDefault="003B0F1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Задача 1: обеспечение содержания объектов и сетей инженерной инфраструктуры, относящихся к муниципальной собственности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Содержание систем водопроводов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Протяженность сетей систем водопроводов, находящихся в исправном состоянии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средств электрозащиты, установленных на газопроводе в пос. </w:t>
            </w:r>
            <w:proofErr w:type="gramStart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Поволжский</w:t>
            </w:r>
            <w:proofErr w:type="gramEnd"/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станций электрозащиты, установленных на газопроводе в пос. </w:t>
            </w:r>
            <w:proofErr w:type="gramStart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Поволжский</w:t>
            </w:r>
            <w:proofErr w:type="gramEnd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, находящихся в технически исправном состоянии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Техническое содержание и эксплуатация газового оборудования, в том числе поставка и транспортировка газа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Доля газового оборудования, находящегося в технически исправном состоянии, от общего количества оборудования газоснабжения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Гидравлическая</w:t>
            </w:r>
            <w:proofErr w:type="gramEnd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 xml:space="preserve"> опрессовка тепловых сетей к жилищному фонду Автозаводского района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Доля опрессованных тепловых сетей от общего количества тепловых сетей к жилищному фонду Автозаводского района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Содержание, ремонт и техническое обслуживание фонтанов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Количество фонтанов, находящихся в исправном состоянии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27B4" w:rsidRPr="00CB1BCB" w:rsidTr="00C527B4">
        <w:tc>
          <w:tcPr>
            <w:tcW w:w="224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286" w:type="pct"/>
          </w:tcPr>
          <w:p w:rsidR="00CB1BCB" w:rsidRPr="00CB1BCB" w:rsidRDefault="00CB1B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Прочистка сетей водоотведения</w:t>
            </w:r>
          </w:p>
        </w:tc>
        <w:tc>
          <w:tcPr>
            <w:tcW w:w="1447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Длина прочищенных сетей водоотведения</w:t>
            </w:r>
          </w:p>
        </w:tc>
        <w:tc>
          <w:tcPr>
            <w:tcW w:w="294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90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60" w:type="pct"/>
          </w:tcPr>
          <w:p w:rsidR="00CB1BCB" w:rsidRPr="00CB1BCB" w:rsidRDefault="00CB1BCB" w:rsidP="0037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304" w:type="pct"/>
          </w:tcPr>
          <w:p w:rsidR="00CB1BCB" w:rsidRPr="00CB1BCB" w:rsidRDefault="00CB1BCB" w:rsidP="0037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311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87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 на объекты инженерной инфраструктуры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и технических паспортов, разработанных на объекты инженерной инфраструктуры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подземных вод контрольно-наблюдательных скважин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контрольно-наблюдательных скважин, на которых проведен мониторинг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527B4" w:rsidRPr="00CB1BCB" w:rsidTr="00C527B4">
        <w:tc>
          <w:tcPr>
            <w:tcW w:w="224" w:type="pct"/>
            <w:vMerge w:val="restar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286" w:type="pct"/>
            <w:vMerge w:val="restar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</w:t>
            </w:r>
            <w:r w:rsidRPr="00CB1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 и водоотведения г.о. Тольятти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актуализированных </w:t>
            </w:r>
            <w:r w:rsidRPr="00CB1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схем, в том числе частично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7B4" w:rsidRPr="00CB1BCB" w:rsidTr="00C527B4">
        <w:tc>
          <w:tcPr>
            <w:tcW w:w="224" w:type="pct"/>
            <w:vMerge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технических заданий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 w:rsidP="00C52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Энергоснабжение насосных станций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Количество насосных станций, обеспеченных электричеством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</w:tcPr>
          <w:p w:rsidR="00CB1BCB" w:rsidRPr="00CB1BCB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0F10" w:rsidRPr="00CB1BCB" w:rsidTr="00C527B4">
        <w:tc>
          <w:tcPr>
            <w:tcW w:w="5000" w:type="pct"/>
            <w:gridSpan w:val="10"/>
          </w:tcPr>
          <w:p w:rsidR="003B0F10" w:rsidRPr="00CB1BCB" w:rsidRDefault="003B0F1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Задача 2: устранение аварийных ситуаций на оборудовании и сетях инженерной инфраструктуры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Ремонт сетей тепл</w:t>
            </w:r>
            <w:proofErr w:type="gramStart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, газо-, водоснабжения, водоотведения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Доля отремонтированных сетей тепл</w:t>
            </w:r>
            <w:proofErr w:type="gramStart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, газо-, водоснабжения, водоотведения от общего количества этих сетей, находящихся в аварийном состоянии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Приведение в технически исправное состояние системы противопожарного водопровода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Уровень исправности системы противопожарного водопровода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B0F10" w:rsidRPr="00CB1BCB" w:rsidTr="00C527B4">
        <w:tc>
          <w:tcPr>
            <w:tcW w:w="5000" w:type="pct"/>
            <w:gridSpan w:val="10"/>
          </w:tcPr>
          <w:p w:rsidR="003B0F10" w:rsidRPr="00CB1BCB" w:rsidRDefault="003B0F1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Задача 3: содержание в нормативном состоянии ливневой канализации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Содержание сетей и сооружений ливневой канализации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Количество устраненных неисправностей в сетях и сооружениях ливневой канализации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527B4" w:rsidRPr="00CB1BCB" w:rsidTr="00C527B4">
        <w:tc>
          <w:tcPr>
            <w:tcW w:w="224" w:type="pct"/>
            <w:vMerge w:val="restar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286" w:type="pct"/>
            <w:vMerge w:val="restar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Ремонт сетей и сооружений ливневой канализации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Длина отремонтированных сетей ливневой канализации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</w:tcPr>
          <w:p w:rsidR="001B363C" w:rsidRPr="001B363C" w:rsidRDefault="001B363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C527B4" w:rsidRPr="00CB1BCB" w:rsidTr="00C527B4">
        <w:tc>
          <w:tcPr>
            <w:tcW w:w="224" w:type="pct"/>
            <w:vMerge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объектов, сооружений ливневой канализации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</w:tcPr>
          <w:p w:rsidR="001B363C" w:rsidRPr="001B363C" w:rsidRDefault="001B363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Водоотведение ливневых стоков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Объем отведенных сточных вод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5876</w:t>
            </w:r>
          </w:p>
        </w:tc>
        <w:tc>
          <w:tcPr>
            <w:tcW w:w="290" w:type="pct"/>
          </w:tcPr>
          <w:p w:rsidR="00C9409C" w:rsidRPr="00CF0E3F" w:rsidRDefault="00CF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0E3F">
              <w:rPr>
                <w:rFonts w:ascii="Times New Roman" w:hAnsi="Times New Roman" w:cs="Times New Roman"/>
                <w:sz w:val="20"/>
                <w:szCs w:val="20"/>
              </w:rPr>
              <w:t>3 385</w:t>
            </w:r>
          </w:p>
        </w:tc>
        <w:tc>
          <w:tcPr>
            <w:tcW w:w="260" w:type="pct"/>
          </w:tcPr>
          <w:p w:rsidR="00CF0E3F" w:rsidRPr="00CF0E3F" w:rsidRDefault="00CF0E3F" w:rsidP="00CF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0E3F">
              <w:rPr>
                <w:rFonts w:ascii="Times New Roman" w:hAnsi="Times New Roman" w:cs="Times New Roman"/>
                <w:sz w:val="20"/>
                <w:szCs w:val="20"/>
              </w:rPr>
              <w:t>3385</w:t>
            </w:r>
          </w:p>
        </w:tc>
        <w:tc>
          <w:tcPr>
            <w:tcW w:w="304" w:type="pct"/>
          </w:tcPr>
          <w:p w:rsidR="00CF0E3F" w:rsidRPr="00CF0E3F" w:rsidRDefault="00CF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F0E3F">
              <w:rPr>
                <w:rFonts w:ascii="Times New Roman" w:hAnsi="Times New Roman" w:cs="Times New Roman"/>
                <w:sz w:val="20"/>
                <w:szCs w:val="20"/>
              </w:rPr>
              <w:t>3385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5876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5876</w:t>
            </w:r>
          </w:p>
        </w:tc>
      </w:tr>
      <w:tr w:rsidR="003B0F10" w:rsidRPr="00CB1BCB" w:rsidTr="00C527B4">
        <w:tc>
          <w:tcPr>
            <w:tcW w:w="5000" w:type="pct"/>
            <w:gridSpan w:val="10"/>
          </w:tcPr>
          <w:p w:rsidR="003B0F10" w:rsidRPr="00CB1BCB" w:rsidRDefault="003B0F1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Задача 4: обеспечение поддержания в технически исправном эксплуатационном состоянии сетей уличного (наружного) освещения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Энергоснабжение. Поставка электрической энергии для уличного (наружного) освещения магистральных улиц и дорог, улиц местного значения и кварталов городского округа Тольятти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Количество часов горения установок наружного освещения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Организация уличного (наружного) освещения магистральных и внутриквартальных улиц и дорог городского округа Тольятти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Процент горения светильников, установок наружного освещения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527B4" w:rsidRPr="00CB1BCB" w:rsidTr="00C527B4">
        <w:tc>
          <w:tcPr>
            <w:tcW w:w="22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286" w:type="pct"/>
          </w:tcPr>
          <w:p w:rsidR="003B0F10" w:rsidRPr="00CB1BCB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Ремонтно-эксплуатационное обслуживание (РЭО) уличного (наружного) освещения магистральных улиц и дорог, улиц местного значения и кварталов городского округа Тольятти</w:t>
            </w:r>
          </w:p>
        </w:tc>
        <w:tc>
          <w:tcPr>
            <w:tcW w:w="144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 xml:space="preserve">Доля выполненных работ </w:t>
            </w:r>
            <w:proofErr w:type="gramStart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B1BCB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29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</w:tcPr>
          <w:p w:rsidR="003B0F10" w:rsidRPr="00CB1BCB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817B1" w:rsidRPr="00CB1BCB" w:rsidRDefault="00A817B1" w:rsidP="00C527B4">
      <w:pPr>
        <w:rPr>
          <w:rFonts w:ascii="Times New Roman" w:hAnsi="Times New Roman" w:cs="Times New Roman"/>
        </w:rPr>
      </w:pPr>
    </w:p>
    <w:sectPr w:rsidR="00A817B1" w:rsidRPr="00CB1BCB" w:rsidSect="00C527B4">
      <w:headerReference w:type="default" r:id="rId8"/>
      <w:pgSz w:w="11906" w:h="16838"/>
      <w:pgMar w:top="709" w:right="850" w:bottom="426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8C" w:rsidRDefault="00E12D8C" w:rsidP="00C527B4">
      <w:pPr>
        <w:spacing w:after="0" w:line="240" w:lineRule="auto"/>
      </w:pPr>
      <w:r>
        <w:separator/>
      </w:r>
    </w:p>
  </w:endnote>
  <w:endnote w:type="continuationSeparator" w:id="0">
    <w:p w:rsidR="00E12D8C" w:rsidRDefault="00E12D8C" w:rsidP="00C5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8C" w:rsidRDefault="00E12D8C" w:rsidP="00C527B4">
      <w:pPr>
        <w:spacing w:after="0" w:line="240" w:lineRule="auto"/>
      </w:pPr>
      <w:r>
        <w:separator/>
      </w:r>
    </w:p>
  </w:footnote>
  <w:footnote w:type="continuationSeparator" w:id="0">
    <w:p w:rsidR="00E12D8C" w:rsidRDefault="00E12D8C" w:rsidP="00C5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25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527B4" w:rsidRPr="00C527B4" w:rsidRDefault="00C527B4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C527B4">
          <w:rPr>
            <w:rFonts w:ascii="Times New Roman" w:hAnsi="Times New Roman" w:cs="Times New Roman"/>
            <w:sz w:val="20"/>
          </w:rPr>
          <w:fldChar w:fldCharType="begin"/>
        </w:r>
        <w:r w:rsidRPr="00C527B4">
          <w:rPr>
            <w:rFonts w:ascii="Times New Roman" w:hAnsi="Times New Roman" w:cs="Times New Roman"/>
            <w:sz w:val="20"/>
          </w:rPr>
          <w:instrText>PAGE   \* MERGEFORMAT</w:instrText>
        </w:r>
        <w:r w:rsidRPr="00C527B4">
          <w:rPr>
            <w:rFonts w:ascii="Times New Roman" w:hAnsi="Times New Roman" w:cs="Times New Roman"/>
            <w:sz w:val="20"/>
          </w:rPr>
          <w:fldChar w:fldCharType="separate"/>
        </w:r>
        <w:r w:rsidR="00CF0E3F">
          <w:rPr>
            <w:rFonts w:ascii="Times New Roman" w:hAnsi="Times New Roman" w:cs="Times New Roman"/>
            <w:noProof/>
            <w:sz w:val="20"/>
          </w:rPr>
          <w:t>6</w:t>
        </w:r>
        <w:r w:rsidRPr="00C527B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527B4" w:rsidRDefault="00C52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10"/>
    <w:rsid w:val="001B363C"/>
    <w:rsid w:val="003B0F10"/>
    <w:rsid w:val="00407971"/>
    <w:rsid w:val="00A27C49"/>
    <w:rsid w:val="00A817B1"/>
    <w:rsid w:val="00C527B4"/>
    <w:rsid w:val="00C9409C"/>
    <w:rsid w:val="00CB1BCB"/>
    <w:rsid w:val="00CF0E3F"/>
    <w:rsid w:val="00E1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C5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7B4"/>
  </w:style>
  <w:style w:type="paragraph" w:styleId="a5">
    <w:name w:val="footer"/>
    <w:basedOn w:val="a"/>
    <w:link w:val="a6"/>
    <w:uiPriority w:val="99"/>
    <w:unhideWhenUsed/>
    <w:rsid w:val="00C5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7B4"/>
  </w:style>
  <w:style w:type="paragraph" w:styleId="a7">
    <w:name w:val="Balloon Text"/>
    <w:basedOn w:val="a"/>
    <w:link w:val="a8"/>
    <w:uiPriority w:val="99"/>
    <w:semiHidden/>
    <w:unhideWhenUsed/>
    <w:rsid w:val="00C5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C5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7B4"/>
  </w:style>
  <w:style w:type="paragraph" w:styleId="a5">
    <w:name w:val="footer"/>
    <w:basedOn w:val="a"/>
    <w:link w:val="a6"/>
    <w:uiPriority w:val="99"/>
    <w:unhideWhenUsed/>
    <w:rsid w:val="00C5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7B4"/>
  </w:style>
  <w:style w:type="paragraph" w:styleId="a7">
    <w:name w:val="Balloon Text"/>
    <w:basedOn w:val="a"/>
    <w:link w:val="a8"/>
    <w:uiPriority w:val="99"/>
    <w:semiHidden/>
    <w:unhideWhenUsed/>
    <w:rsid w:val="00C5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3697-952D-4257-888E-282025AA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2023-01-09T06:43:00Z</cp:lastPrinted>
  <dcterms:created xsi:type="dcterms:W3CDTF">2023-01-10T10:07:00Z</dcterms:created>
  <dcterms:modified xsi:type="dcterms:W3CDTF">2023-01-10T11:41:00Z</dcterms:modified>
</cp:coreProperties>
</file>