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77" w:rsidRDefault="000C4377" w:rsidP="00C64A81">
      <w:pPr>
        <w:pStyle w:val="ConsPlusTitle"/>
        <w:jc w:val="center"/>
        <w:rPr>
          <w:rFonts w:ascii="Times New Roman" w:hAnsi="Times New Roman" w:cs="Times New Roman"/>
        </w:rPr>
      </w:pPr>
    </w:p>
    <w:p w:rsidR="000C4377" w:rsidRDefault="000C4377" w:rsidP="00C64A81">
      <w:pPr>
        <w:pStyle w:val="ConsPlusTitle"/>
        <w:jc w:val="center"/>
        <w:rPr>
          <w:rFonts w:ascii="Times New Roman" w:hAnsi="Times New Roman" w:cs="Times New Roman"/>
        </w:rPr>
      </w:pPr>
    </w:p>
    <w:p w:rsidR="003A18BC" w:rsidRDefault="003A18BC" w:rsidP="00C64A81">
      <w:pPr>
        <w:pStyle w:val="ConsPlusTitle"/>
        <w:jc w:val="center"/>
        <w:rPr>
          <w:rFonts w:ascii="Times New Roman" w:hAnsi="Times New Roman" w:cs="Times New Roman"/>
        </w:rPr>
      </w:pPr>
    </w:p>
    <w:p w:rsidR="003A18BC" w:rsidRPr="0014483D" w:rsidRDefault="003A18BC" w:rsidP="00D64297">
      <w:pPr>
        <w:pStyle w:val="ConsPlusTitle"/>
        <w:jc w:val="center"/>
        <w:rPr>
          <w:rFonts w:ascii="Times New Roman" w:hAnsi="Times New Roman" w:cs="Times New Roman"/>
          <w:b w:val="0"/>
          <w:sz w:val="28"/>
          <w:szCs w:val="28"/>
        </w:rPr>
      </w:pPr>
      <w:r w:rsidRPr="0014483D">
        <w:rPr>
          <w:rFonts w:ascii="Times New Roman" w:hAnsi="Times New Roman" w:cs="Times New Roman"/>
          <w:b w:val="0"/>
          <w:sz w:val="28"/>
          <w:szCs w:val="28"/>
        </w:rPr>
        <w:t>П</w:t>
      </w:r>
      <w:r w:rsidR="00B4613A">
        <w:rPr>
          <w:rFonts w:ascii="Times New Roman" w:hAnsi="Times New Roman" w:cs="Times New Roman"/>
          <w:b w:val="0"/>
          <w:sz w:val="28"/>
          <w:szCs w:val="28"/>
        </w:rPr>
        <w:t>ояснительная записка</w:t>
      </w:r>
    </w:p>
    <w:p w:rsidR="00B4613A" w:rsidRDefault="00B4613A" w:rsidP="00B4613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к</w:t>
      </w:r>
      <w:r w:rsidRPr="00B4613A">
        <w:rPr>
          <w:rFonts w:ascii="Times New Roman" w:hAnsi="Times New Roman" w:cs="Times New Roman"/>
          <w:b w:val="0"/>
          <w:sz w:val="28"/>
          <w:szCs w:val="28"/>
        </w:rPr>
        <w:t xml:space="preserve"> проекту</w:t>
      </w:r>
      <w:r>
        <w:rPr>
          <w:rFonts w:ascii="Times New Roman" w:hAnsi="Times New Roman" w:cs="Times New Roman"/>
          <w:b w:val="0"/>
          <w:sz w:val="28"/>
          <w:szCs w:val="28"/>
        </w:rPr>
        <w:t xml:space="preserve"> постановления администрации городского округа Тольятти </w:t>
      </w:r>
    </w:p>
    <w:p w:rsidR="00B4613A" w:rsidRDefault="00B4613A" w:rsidP="00B4613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Pr="00B97AA2">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 xml:space="preserve">Положения об </w:t>
      </w:r>
      <w:r w:rsidRPr="00B97AA2">
        <w:rPr>
          <w:rFonts w:ascii="Times New Roman" w:hAnsi="Times New Roman" w:cs="Times New Roman"/>
          <w:b w:val="0"/>
          <w:sz w:val="28"/>
          <w:szCs w:val="28"/>
        </w:rPr>
        <w:t>услови</w:t>
      </w:r>
      <w:r>
        <w:rPr>
          <w:rFonts w:ascii="Times New Roman" w:hAnsi="Times New Roman" w:cs="Times New Roman"/>
          <w:b w:val="0"/>
          <w:sz w:val="28"/>
          <w:szCs w:val="28"/>
        </w:rPr>
        <w:t xml:space="preserve">ях и порядке </w:t>
      </w:r>
      <w:r w:rsidRPr="00B97AA2">
        <w:rPr>
          <w:rFonts w:ascii="Times New Roman" w:hAnsi="Times New Roman" w:cs="Times New Roman"/>
          <w:b w:val="0"/>
          <w:sz w:val="28"/>
          <w:szCs w:val="28"/>
        </w:rPr>
        <w:t xml:space="preserve">заключения </w:t>
      </w:r>
    </w:p>
    <w:p w:rsidR="00B4613A" w:rsidRDefault="00B4613A" w:rsidP="00B4613A">
      <w:pPr>
        <w:pStyle w:val="ConsPlusTitle"/>
        <w:jc w:val="center"/>
        <w:rPr>
          <w:rFonts w:ascii="Times New Roman" w:hAnsi="Times New Roman" w:cs="Times New Roman"/>
          <w:b w:val="0"/>
          <w:sz w:val="28"/>
          <w:szCs w:val="28"/>
        </w:rPr>
      </w:pPr>
      <w:r w:rsidRPr="00B97AA2">
        <w:rPr>
          <w:rFonts w:ascii="Times New Roman" w:hAnsi="Times New Roman" w:cs="Times New Roman"/>
          <w:b w:val="0"/>
          <w:sz w:val="28"/>
          <w:szCs w:val="28"/>
        </w:rPr>
        <w:t>соглашени</w:t>
      </w:r>
      <w:r>
        <w:rPr>
          <w:rFonts w:ascii="Times New Roman" w:hAnsi="Times New Roman" w:cs="Times New Roman"/>
          <w:b w:val="0"/>
          <w:sz w:val="28"/>
          <w:szCs w:val="28"/>
        </w:rPr>
        <w:t>я</w:t>
      </w:r>
      <w:r w:rsidRPr="00B97AA2">
        <w:rPr>
          <w:rFonts w:ascii="Times New Roman" w:hAnsi="Times New Roman" w:cs="Times New Roman"/>
          <w:b w:val="0"/>
          <w:sz w:val="28"/>
          <w:szCs w:val="28"/>
        </w:rPr>
        <w:t xml:space="preserve"> о защите и поощрении капиталовложений </w:t>
      </w:r>
    </w:p>
    <w:p w:rsidR="00B4613A" w:rsidRPr="00B97AA2" w:rsidRDefault="00B4613A" w:rsidP="00B4613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со стороны </w:t>
      </w:r>
      <w:r w:rsidRPr="00B97AA2">
        <w:rPr>
          <w:rFonts w:ascii="Times New Roman" w:hAnsi="Times New Roman" w:cs="Times New Roman"/>
          <w:b w:val="0"/>
          <w:sz w:val="28"/>
          <w:szCs w:val="28"/>
        </w:rPr>
        <w:t>городского округа Тольятти</w:t>
      </w:r>
      <w:r>
        <w:rPr>
          <w:rFonts w:ascii="Times New Roman" w:hAnsi="Times New Roman" w:cs="Times New Roman"/>
          <w:b w:val="0"/>
          <w:sz w:val="28"/>
          <w:szCs w:val="28"/>
        </w:rPr>
        <w:t>»</w:t>
      </w:r>
    </w:p>
    <w:p w:rsidR="004F6CC1" w:rsidRDefault="004F6CC1" w:rsidP="00510F1E">
      <w:pPr>
        <w:pStyle w:val="a5"/>
        <w:spacing w:before="0" w:beforeAutospacing="0" w:after="0" w:afterAutospacing="0" w:line="360" w:lineRule="auto"/>
        <w:ind w:firstLine="709"/>
        <w:jc w:val="both"/>
        <w:rPr>
          <w:sz w:val="28"/>
          <w:szCs w:val="28"/>
        </w:rPr>
      </w:pPr>
    </w:p>
    <w:p w:rsidR="00D9619B" w:rsidRPr="0014483D" w:rsidRDefault="00510F1E" w:rsidP="00510F1E">
      <w:pPr>
        <w:pStyle w:val="a5"/>
        <w:spacing w:before="0" w:beforeAutospacing="0" w:after="0" w:afterAutospacing="0" w:line="360" w:lineRule="auto"/>
        <w:ind w:firstLine="709"/>
        <w:jc w:val="both"/>
        <w:rPr>
          <w:sz w:val="28"/>
          <w:szCs w:val="28"/>
        </w:rPr>
      </w:pPr>
      <w:r w:rsidRPr="00510F1E">
        <w:rPr>
          <w:sz w:val="28"/>
          <w:szCs w:val="28"/>
        </w:rPr>
        <w:t xml:space="preserve">1 апреля 2020 г. утвержден  </w:t>
      </w:r>
      <w:r w:rsidR="00D9619B" w:rsidRPr="00510F1E">
        <w:rPr>
          <w:sz w:val="28"/>
          <w:szCs w:val="28"/>
        </w:rPr>
        <w:t>Федеральны</w:t>
      </w:r>
      <w:r w:rsidRPr="00510F1E">
        <w:rPr>
          <w:sz w:val="28"/>
          <w:szCs w:val="28"/>
        </w:rPr>
        <w:t>й</w:t>
      </w:r>
      <w:r w:rsidR="00D9619B" w:rsidRPr="00510F1E">
        <w:rPr>
          <w:sz w:val="28"/>
          <w:szCs w:val="28"/>
        </w:rPr>
        <w:t xml:space="preserve"> закон № 69-ФЗ </w:t>
      </w:r>
      <w:r w:rsidRPr="00510F1E">
        <w:rPr>
          <w:sz w:val="28"/>
          <w:szCs w:val="28"/>
        </w:rPr>
        <w:t xml:space="preserve">«О защите и поощрении капиталовложений в Российской Федерации» </w:t>
      </w:r>
      <w:r w:rsidR="007D6429">
        <w:rPr>
          <w:sz w:val="28"/>
          <w:szCs w:val="28"/>
        </w:rPr>
        <w:t xml:space="preserve">(далее – Федеральный закон) </w:t>
      </w:r>
      <w:r w:rsidR="00D9619B" w:rsidRPr="00510F1E">
        <w:rPr>
          <w:sz w:val="28"/>
          <w:szCs w:val="28"/>
        </w:rPr>
        <w:t>предусматрива</w:t>
      </w:r>
      <w:r w:rsidRPr="00510F1E">
        <w:rPr>
          <w:sz w:val="28"/>
          <w:szCs w:val="28"/>
        </w:rPr>
        <w:t>ющий</w:t>
      </w:r>
      <w:r w:rsidR="00D9619B" w:rsidRPr="00510F1E">
        <w:rPr>
          <w:sz w:val="28"/>
          <w:szCs w:val="28"/>
        </w:rPr>
        <w:t xml:space="preserve"> специальный инвестиционный режим для организаций, реализующих инвестиционные проекты с использованием нового механизма — соглашения о защите и поощрении капиталовложений (</w:t>
      </w:r>
      <w:r w:rsidRPr="00510F1E">
        <w:rPr>
          <w:sz w:val="28"/>
          <w:szCs w:val="28"/>
        </w:rPr>
        <w:t xml:space="preserve">далее - </w:t>
      </w:r>
      <w:r w:rsidR="00D9619B" w:rsidRPr="00510F1E">
        <w:rPr>
          <w:sz w:val="28"/>
          <w:szCs w:val="28"/>
        </w:rPr>
        <w:t>СЗПК).</w:t>
      </w:r>
    </w:p>
    <w:p w:rsidR="00400ABC" w:rsidRDefault="00400ABC" w:rsidP="00400ABC">
      <w:pPr>
        <w:pStyle w:val="ConsPlusNormal"/>
        <w:spacing w:line="360" w:lineRule="auto"/>
        <w:ind w:firstLine="539"/>
        <w:jc w:val="both"/>
        <w:rPr>
          <w:rFonts w:ascii="Times New Roman" w:hAnsi="Times New Roman" w:cs="Times New Roman"/>
          <w:sz w:val="28"/>
          <w:szCs w:val="28"/>
        </w:rPr>
      </w:pPr>
      <w:r w:rsidRPr="005F255C">
        <w:rPr>
          <w:rFonts w:ascii="Times New Roman" w:hAnsi="Times New Roman" w:cs="Times New Roman"/>
          <w:sz w:val="28"/>
          <w:szCs w:val="28"/>
        </w:rPr>
        <w:t xml:space="preserve">Настоящее Положение разработано в соответствии с </w:t>
      </w:r>
      <w:hyperlink r:id="rId7" w:history="1">
        <w:r w:rsidRPr="005F255C">
          <w:rPr>
            <w:rFonts w:ascii="Times New Roman" w:hAnsi="Times New Roman" w:cs="Times New Roman"/>
            <w:sz w:val="28"/>
            <w:szCs w:val="28"/>
          </w:rPr>
          <w:t>частью 8 статьи 4</w:t>
        </w:r>
      </w:hyperlink>
      <w:r w:rsidRPr="005F255C">
        <w:rPr>
          <w:rFonts w:ascii="Times New Roman" w:hAnsi="Times New Roman" w:cs="Times New Roman"/>
          <w:sz w:val="28"/>
          <w:szCs w:val="28"/>
        </w:rPr>
        <w:t xml:space="preserve"> Федерального закона и</w:t>
      </w:r>
      <w:r>
        <w:rPr>
          <w:rFonts w:ascii="Times New Roman" w:hAnsi="Times New Roman" w:cs="Times New Roman"/>
          <w:sz w:val="28"/>
          <w:szCs w:val="28"/>
        </w:rPr>
        <w:t xml:space="preserve"> </w:t>
      </w:r>
      <w:proofErr w:type="gramStart"/>
      <w:r w:rsidRPr="005F255C">
        <w:rPr>
          <w:rFonts w:ascii="Times New Roman" w:hAnsi="Times New Roman" w:cs="Times New Roman"/>
          <w:sz w:val="28"/>
          <w:szCs w:val="28"/>
        </w:rPr>
        <w:t>устанавливает</w:t>
      </w:r>
      <w:r>
        <w:rPr>
          <w:rFonts w:ascii="Times New Roman" w:hAnsi="Times New Roman" w:cs="Times New Roman"/>
          <w:sz w:val="28"/>
          <w:szCs w:val="28"/>
        </w:rPr>
        <w:t xml:space="preserve"> </w:t>
      </w:r>
      <w:r w:rsidRPr="005F255C">
        <w:rPr>
          <w:rFonts w:ascii="Times New Roman" w:hAnsi="Times New Roman" w:cs="Times New Roman"/>
          <w:sz w:val="28"/>
          <w:szCs w:val="28"/>
        </w:rPr>
        <w:t>условия</w:t>
      </w:r>
      <w:proofErr w:type="gramEnd"/>
      <w:r>
        <w:rPr>
          <w:rFonts w:ascii="Times New Roman" w:hAnsi="Times New Roman" w:cs="Times New Roman"/>
          <w:sz w:val="28"/>
          <w:szCs w:val="28"/>
        </w:rPr>
        <w:t xml:space="preserve"> и порядок заключения соглашений</w:t>
      </w:r>
      <w:r w:rsidRPr="005F255C">
        <w:rPr>
          <w:rFonts w:ascii="Times New Roman" w:hAnsi="Times New Roman" w:cs="Times New Roman"/>
          <w:sz w:val="28"/>
          <w:szCs w:val="28"/>
        </w:rPr>
        <w:t xml:space="preserve"> о защите и поощрении капиталовложений</w:t>
      </w:r>
      <w:r>
        <w:rPr>
          <w:rFonts w:ascii="Times New Roman" w:hAnsi="Times New Roman" w:cs="Times New Roman"/>
          <w:sz w:val="28"/>
          <w:szCs w:val="28"/>
        </w:rPr>
        <w:t xml:space="preserve"> </w:t>
      </w:r>
      <w:r w:rsidRPr="005F255C">
        <w:rPr>
          <w:rFonts w:ascii="Times New Roman" w:hAnsi="Times New Roman" w:cs="Times New Roman"/>
          <w:sz w:val="28"/>
          <w:szCs w:val="28"/>
        </w:rPr>
        <w:t>со стороны городского округа Тольятти</w:t>
      </w:r>
      <w:r>
        <w:rPr>
          <w:rFonts w:ascii="Times New Roman" w:hAnsi="Times New Roman" w:cs="Times New Roman"/>
          <w:sz w:val="28"/>
          <w:szCs w:val="28"/>
        </w:rPr>
        <w:t xml:space="preserve">. </w:t>
      </w:r>
    </w:p>
    <w:p w:rsidR="00A14E80" w:rsidRDefault="00A14E80" w:rsidP="00A14E80">
      <w:pPr>
        <w:pStyle w:val="Default"/>
        <w:spacing w:line="360" w:lineRule="auto"/>
        <w:ind w:firstLine="539"/>
        <w:jc w:val="both"/>
        <w:rPr>
          <w:sz w:val="28"/>
          <w:szCs w:val="28"/>
        </w:rPr>
      </w:pPr>
      <w:r>
        <w:rPr>
          <w:sz w:val="28"/>
          <w:szCs w:val="28"/>
        </w:rPr>
        <w:t xml:space="preserve">Институт СЗПК вводится в качестве платформенного механизма закрепления юридически значимых договоренностей между публично-правовыми образованиями и организациями, реализующими проекты, о долгосрочных условиях реализации инвестиционных проектов. </w:t>
      </w:r>
    </w:p>
    <w:p w:rsidR="00A14E80" w:rsidRPr="00A14E80" w:rsidRDefault="00A14E80" w:rsidP="00A14E80">
      <w:pPr>
        <w:pStyle w:val="ConsPlusNormal"/>
        <w:spacing w:line="360" w:lineRule="auto"/>
        <w:ind w:firstLine="539"/>
        <w:jc w:val="both"/>
        <w:rPr>
          <w:rFonts w:ascii="Times New Roman" w:hAnsi="Times New Roman" w:cs="Times New Roman"/>
          <w:sz w:val="28"/>
          <w:szCs w:val="28"/>
        </w:rPr>
      </w:pPr>
      <w:r w:rsidRPr="00A14E80">
        <w:rPr>
          <w:rFonts w:ascii="Times New Roman" w:hAnsi="Times New Roman" w:cs="Times New Roman"/>
          <w:sz w:val="28"/>
          <w:szCs w:val="28"/>
        </w:rPr>
        <w:t>СЗПК заключается с организацией, реализующей проект, в заявительном порядке. Это означает, что любая обратившаяся за заключением СЗПК организация при соблюдении предусмотренных Федеральным законом требований имеет право на предусмотренную СЗПК меру поддержки. Рассмотрение заявления на заключение СЗПК не предполагает со стороны публично-правового образования оценки реализуемого проекта и вмешательства в инвестиционную и хозяйственную деятельность организаций.</w:t>
      </w:r>
    </w:p>
    <w:p w:rsidR="00A14E80" w:rsidRPr="00A14E80" w:rsidRDefault="00A14E80" w:rsidP="00A14E80">
      <w:pPr>
        <w:pStyle w:val="ConsPlusNormal"/>
        <w:spacing w:line="360" w:lineRule="auto"/>
        <w:ind w:firstLine="539"/>
        <w:jc w:val="both"/>
        <w:rPr>
          <w:rFonts w:ascii="Times New Roman" w:hAnsi="Times New Roman" w:cs="Times New Roman"/>
          <w:sz w:val="28"/>
          <w:szCs w:val="28"/>
        </w:rPr>
      </w:pPr>
      <w:r w:rsidRPr="00A14E80">
        <w:rPr>
          <w:rFonts w:ascii="Times New Roman" w:hAnsi="Times New Roman" w:cs="Times New Roman"/>
          <w:sz w:val="28"/>
          <w:szCs w:val="28"/>
        </w:rPr>
        <w:t xml:space="preserve">В соответствии с СЗПК публично-правовое образование (или несколько публично-правовых образований) обязуется не применять в отношении организации, реализующей проект, акты (решения) соответствующих </w:t>
      </w:r>
      <w:r w:rsidRPr="00A14E80">
        <w:rPr>
          <w:rFonts w:ascii="Times New Roman" w:hAnsi="Times New Roman" w:cs="Times New Roman"/>
          <w:sz w:val="28"/>
          <w:szCs w:val="28"/>
        </w:rPr>
        <w:lastRenderedPageBreak/>
        <w:t>органов государственной власти (стабилизационная оговорка), ухудшающие условия ведения предпринимательской и (или) иной деятельности, а организация имеет право требовать неприменения таких актов от соответствующего публично-правового образования.</w:t>
      </w:r>
    </w:p>
    <w:p w:rsidR="00A14E80" w:rsidRDefault="00A14E80" w:rsidP="00A14E80">
      <w:pPr>
        <w:tabs>
          <w:tab w:val="left" w:pos="993"/>
          <w:tab w:val="left" w:pos="1134"/>
          <w:tab w:val="left" w:pos="3828"/>
          <w:tab w:val="left" w:pos="3969"/>
        </w:tabs>
        <w:spacing w:line="360" w:lineRule="auto"/>
        <w:jc w:val="both"/>
        <w:rPr>
          <w:rFonts w:ascii="Times New Roman" w:hAnsi="Times New Roman" w:cs="Times New Roman"/>
          <w:sz w:val="28"/>
          <w:szCs w:val="28"/>
        </w:rPr>
      </w:pPr>
      <w:r w:rsidRPr="00A14E80">
        <w:rPr>
          <w:rFonts w:ascii="Times New Roman" w:hAnsi="Times New Roman" w:cs="Times New Roman"/>
          <w:sz w:val="28"/>
          <w:szCs w:val="28"/>
        </w:rPr>
        <w:t xml:space="preserve">         Данный проект постановления администрации городского округа Тольятти не содержит нормы, которые приводят или могут привести к недопущению, ограничению, устранению конкуренции, не устанавливает запреты</w:t>
      </w:r>
      <w:r>
        <w:rPr>
          <w:rFonts w:ascii="Times New Roman" w:hAnsi="Times New Roman" w:cs="Times New Roman"/>
          <w:sz w:val="28"/>
          <w:szCs w:val="28"/>
        </w:rPr>
        <w:t>,</w:t>
      </w:r>
      <w:r w:rsidRPr="00A14E80">
        <w:rPr>
          <w:rFonts w:ascii="Times New Roman" w:hAnsi="Times New Roman" w:cs="Times New Roman"/>
          <w:sz w:val="28"/>
          <w:szCs w:val="28"/>
        </w:rPr>
        <w:t xml:space="preserve"> и не вводят ограничения прав хозяйствующих субъектов.</w:t>
      </w:r>
    </w:p>
    <w:p w:rsidR="00A14E80" w:rsidRDefault="00A14E80" w:rsidP="006B73B4">
      <w:pPr>
        <w:pStyle w:val="ConsPlusNormal"/>
        <w:jc w:val="both"/>
        <w:rPr>
          <w:rFonts w:ascii="Times New Roman" w:hAnsi="Times New Roman" w:cs="Times New Roman"/>
          <w:sz w:val="28"/>
          <w:szCs w:val="28"/>
        </w:rPr>
      </w:pPr>
    </w:p>
    <w:p w:rsidR="00A14E80" w:rsidRDefault="00A14E80" w:rsidP="006B73B4">
      <w:pPr>
        <w:pStyle w:val="ConsPlusNormal"/>
        <w:jc w:val="both"/>
        <w:rPr>
          <w:rFonts w:ascii="Times New Roman" w:hAnsi="Times New Roman" w:cs="Times New Roman"/>
          <w:sz w:val="28"/>
          <w:szCs w:val="28"/>
        </w:rPr>
      </w:pPr>
    </w:p>
    <w:sectPr w:rsidR="00A14E80" w:rsidSect="000C4377">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4DD" w:rsidRDefault="005054DD" w:rsidP="0014483D">
      <w:pPr>
        <w:spacing w:after="0" w:line="240" w:lineRule="auto"/>
      </w:pPr>
      <w:r>
        <w:separator/>
      </w:r>
    </w:p>
  </w:endnote>
  <w:endnote w:type="continuationSeparator" w:id="0">
    <w:p w:rsidR="005054DD" w:rsidRDefault="005054DD" w:rsidP="00144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4DD" w:rsidRDefault="005054DD" w:rsidP="0014483D">
      <w:pPr>
        <w:spacing w:after="0" w:line="240" w:lineRule="auto"/>
      </w:pPr>
      <w:r>
        <w:separator/>
      </w:r>
    </w:p>
  </w:footnote>
  <w:footnote w:type="continuationSeparator" w:id="0">
    <w:p w:rsidR="005054DD" w:rsidRDefault="005054DD" w:rsidP="001448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7697B"/>
    <w:multiLevelType w:val="hybridMultilevel"/>
    <w:tmpl w:val="4D565A62"/>
    <w:lvl w:ilvl="0" w:tplc="E3E08B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F694822"/>
    <w:multiLevelType w:val="hybridMultilevel"/>
    <w:tmpl w:val="E298A6DA"/>
    <w:lvl w:ilvl="0" w:tplc="76A8AC44">
      <w:start w:val="1"/>
      <w:numFmt w:val="bullet"/>
      <w:lvlText w:val="•"/>
      <w:lvlJc w:val="left"/>
      <w:pPr>
        <w:tabs>
          <w:tab w:val="num" w:pos="720"/>
        </w:tabs>
        <w:ind w:left="720" w:hanging="360"/>
      </w:pPr>
      <w:rPr>
        <w:rFonts w:ascii="Arial" w:hAnsi="Arial" w:hint="default"/>
      </w:rPr>
    </w:lvl>
    <w:lvl w:ilvl="1" w:tplc="52EEDBCA" w:tentative="1">
      <w:start w:val="1"/>
      <w:numFmt w:val="bullet"/>
      <w:lvlText w:val="•"/>
      <w:lvlJc w:val="left"/>
      <w:pPr>
        <w:tabs>
          <w:tab w:val="num" w:pos="1440"/>
        </w:tabs>
        <w:ind w:left="1440" w:hanging="360"/>
      </w:pPr>
      <w:rPr>
        <w:rFonts w:ascii="Arial" w:hAnsi="Arial" w:hint="default"/>
      </w:rPr>
    </w:lvl>
    <w:lvl w:ilvl="2" w:tplc="6BF62FBA" w:tentative="1">
      <w:start w:val="1"/>
      <w:numFmt w:val="bullet"/>
      <w:lvlText w:val="•"/>
      <w:lvlJc w:val="left"/>
      <w:pPr>
        <w:tabs>
          <w:tab w:val="num" w:pos="2160"/>
        </w:tabs>
        <w:ind w:left="2160" w:hanging="360"/>
      </w:pPr>
      <w:rPr>
        <w:rFonts w:ascii="Arial" w:hAnsi="Arial" w:hint="default"/>
      </w:rPr>
    </w:lvl>
    <w:lvl w:ilvl="3" w:tplc="74BCC954" w:tentative="1">
      <w:start w:val="1"/>
      <w:numFmt w:val="bullet"/>
      <w:lvlText w:val="•"/>
      <w:lvlJc w:val="left"/>
      <w:pPr>
        <w:tabs>
          <w:tab w:val="num" w:pos="2880"/>
        </w:tabs>
        <w:ind w:left="2880" w:hanging="360"/>
      </w:pPr>
      <w:rPr>
        <w:rFonts w:ascii="Arial" w:hAnsi="Arial" w:hint="default"/>
      </w:rPr>
    </w:lvl>
    <w:lvl w:ilvl="4" w:tplc="19DEC082" w:tentative="1">
      <w:start w:val="1"/>
      <w:numFmt w:val="bullet"/>
      <w:lvlText w:val="•"/>
      <w:lvlJc w:val="left"/>
      <w:pPr>
        <w:tabs>
          <w:tab w:val="num" w:pos="3600"/>
        </w:tabs>
        <w:ind w:left="3600" w:hanging="360"/>
      </w:pPr>
      <w:rPr>
        <w:rFonts w:ascii="Arial" w:hAnsi="Arial" w:hint="default"/>
      </w:rPr>
    </w:lvl>
    <w:lvl w:ilvl="5" w:tplc="DBACEE10" w:tentative="1">
      <w:start w:val="1"/>
      <w:numFmt w:val="bullet"/>
      <w:lvlText w:val="•"/>
      <w:lvlJc w:val="left"/>
      <w:pPr>
        <w:tabs>
          <w:tab w:val="num" w:pos="4320"/>
        </w:tabs>
        <w:ind w:left="4320" w:hanging="360"/>
      </w:pPr>
      <w:rPr>
        <w:rFonts w:ascii="Arial" w:hAnsi="Arial" w:hint="default"/>
      </w:rPr>
    </w:lvl>
    <w:lvl w:ilvl="6" w:tplc="9A0664FE" w:tentative="1">
      <w:start w:val="1"/>
      <w:numFmt w:val="bullet"/>
      <w:lvlText w:val="•"/>
      <w:lvlJc w:val="left"/>
      <w:pPr>
        <w:tabs>
          <w:tab w:val="num" w:pos="5040"/>
        </w:tabs>
        <w:ind w:left="5040" w:hanging="360"/>
      </w:pPr>
      <w:rPr>
        <w:rFonts w:ascii="Arial" w:hAnsi="Arial" w:hint="default"/>
      </w:rPr>
    </w:lvl>
    <w:lvl w:ilvl="7" w:tplc="CA18A162" w:tentative="1">
      <w:start w:val="1"/>
      <w:numFmt w:val="bullet"/>
      <w:lvlText w:val="•"/>
      <w:lvlJc w:val="left"/>
      <w:pPr>
        <w:tabs>
          <w:tab w:val="num" w:pos="5760"/>
        </w:tabs>
        <w:ind w:left="5760" w:hanging="360"/>
      </w:pPr>
      <w:rPr>
        <w:rFonts w:ascii="Arial" w:hAnsi="Arial" w:hint="default"/>
      </w:rPr>
    </w:lvl>
    <w:lvl w:ilvl="8" w:tplc="B5447D58" w:tentative="1">
      <w:start w:val="1"/>
      <w:numFmt w:val="bullet"/>
      <w:lvlText w:val="•"/>
      <w:lvlJc w:val="left"/>
      <w:pPr>
        <w:tabs>
          <w:tab w:val="num" w:pos="6480"/>
        </w:tabs>
        <w:ind w:left="6480" w:hanging="360"/>
      </w:pPr>
      <w:rPr>
        <w:rFonts w:ascii="Arial" w:hAnsi="Arial" w:hint="default"/>
      </w:rPr>
    </w:lvl>
  </w:abstractNum>
  <w:abstractNum w:abstractNumId="2">
    <w:nsid w:val="51167919"/>
    <w:multiLevelType w:val="hybridMultilevel"/>
    <w:tmpl w:val="012E9BF4"/>
    <w:lvl w:ilvl="0" w:tplc="606A43B0">
      <w:start w:val="1"/>
      <w:numFmt w:val="bullet"/>
      <w:lvlText w:val="•"/>
      <w:lvlJc w:val="left"/>
      <w:pPr>
        <w:tabs>
          <w:tab w:val="num" w:pos="720"/>
        </w:tabs>
        <w:ind w:left="720" w:hanging="360"/>
      </w:pPr>
      <w:rPr>
        <w:rFonts w:ascii="Arial" w:hAnsi="Arial" w:hint="default"/>
      </w:rPr>
    </w:lvl>
    <w:lvl w:ilvl="1" w:tplc="3C16A5E6" w:tentative="1">
      <w:start w:val="1"/>
      <w:numFmt w:val="bullet"/>
      <w:lvlText w:val="•"/>
      <w:lvlJc w:val="left"/>
      <w:pPr>
        <w:tabs>
          <w:tab w:val="num" w:pos="1440"/>
        </w:tabs>
        <w:ind w:left="1440" w:hanging="360"/>
      </w:pPr>
      <w:rPr>
        <w:rFonts w:ascii="Arial" w:hAnsi="Arial" w:hint="default"/>
      </w:rPr>
    </w:lvl>
    <w:lvl w:ilvl="2" w:tplc="FFD8C4BC" w:tentative="1">
      <w:start w:val="1"/>
      <w:numFmt w:val="bullet"/>
      <w:lvlText w:val="•"/>
      <w:lvlJc w:val="left"/>
      <w:pPr>
        <w:tabs>
          <w:tab w:val="num" w:pos="2160"/>
        </w:tabs>
        <w:ind w:left="2160" w:hanging="360"/>
      </w:pPr>
      <w:rPr>
        <w:rFonts w:ascii="Arial" w:hAnsi="Arial" w:hint="default"/>
      </w:rPr>
    </w:lvl>
    <w:lvl w:ilvl="3" w:tplc="E75EA33A" w:tentative="1">
      <w:start w:val="1"/>
      <w:numFmt w:val="bullet"/>
      <w:lvlText w:val="•"/>
      <w:lvlJc w:val="left"/>
      <w:pPr>
        <w:tabs>
          <w:tab w:val="num" w:pos="2880"/>
        </w:tabs>
        <w:ind w:left="2880" w:hanging="360"/>
      </w:pPr>
      <w:rPr>
        <w:rFonts w:ascii="Arial" w:hAnsi="Arial" w:hint="default"/>
      </w:rPr>
    </w:lvl>
    <w:lvl w:ilvl="4" w:tplc="8ED05580" w:tentative="1">
      <w:start w:val="1"/>
      <w:numFmt w:val="bullet"/>
      <w:lvlText w:val="•"/>
      <w:lvlJc w:val="left"/>
      <w:pPr>
        <w:tabs>
          <w:tab w:val="num" w:pos="3600"/>
        </w:tabs>
        <w:ind w:left="3600" w:hanging="360"/>
      </w:pPr>
      <w:rPr>
        <w:rFonts w:ascii="Arial" w:hAnsi="Arial" w:hint="default"/>
      </w:rPr>
    </w:lvl>
    <w:lvl w:ilvl="5" w:tplc="9A182CCA" w:tentative="1">
      <w:start w:val="1"/>
      <w:numFmt w:val="bullet"/>
      <w:lvlText w:val="•"/>
      <w:lvlJc w:val="left"/>
      <w:pPr>
        <w:tabs>
          <w:tab w:val="num" w:pos="4320"/>
        </w:tabs>
        <w:ind w:left="4320" w:hanging="360"/>
      </w:pPr>
      <w:rPr>
        <w:rFonts w:ascii="Arial" w:hAnsi="Arial" w:hint="default"/>
      </w:rPr>
    </w:lvl>
    <w:lvl w:ilvl="6" w:tplc="8E167600" w:tentative="1">
      <w:start w:val="1"/>
      <w:numFmt w:val="bullet"/>
      <w:lvlText w:val="•"/>
      <w:lvlJc w:val="left"/>
      <w:pPr>
        <w:tabs>
          <w:tab w:val="num" w:pos="5040"/>
        </w:tabs>
        <w:ind w:left="5040" w:hanging="360"/>
      </w:pPr>
      <w:rPr>
        <w:rFonts w:ascii="Arial" w:hAnsi="Arial" w:hint="default"/>
      </w:rPr>
    </w:lvl>
    <w:lvl w:ilvl="7" w:tplc="497CA27A" w:tentative="1">
      <w:start w:val="1"/>
      <w:numFmt w:val="bullet"/>
      <w:lvlText w:val="•"/>
      <w:lvlJc w:val="left"/>
      <w:pPr>
        <w:tabs>
          <w:tab w:val="num" w:pos="5760"/>
        </w:tabs>
        <w:ind w:left="5760" w:hanging="360"/>
      </w:pPr>
      <w:rPr>
        <w:rFonts w:ascii="Arial" w:hAnsi="Arial" w:hint="default"/>
      </w:rPr>
    </w:lvl>
    <w:lvl w:ilvl="8" w:tplc="BAFCC3C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78EE"/>
    <w:rsid w:val="00091F0A"/>
    <w:rsid w:val="000C4377"/>
    <w:rsid w:val="000D0AF8"/>
    <w:rsid w:val="000D7DBD"/>
    <w:rsid w:val="00112651"/>
    <w:rsid w:val="00124294"/>
    <w:rsid w:val="00137E0B"/>
    <w:rsid w:val="0014483D"/>
    <w:rsid w:val="001D69C3"/>
    <w:rsid w:val="003A18BC"/>
    <w:rsid w:val="00400ABC"/>
    <w:rsid w:val="004F6CC1"/>
    <w:rsid w:val="005054DD"/>
    <w:rsid w:val="00510F1E"/>
    <w:rsid w:val="00513782"/>
    <w:rsid w:val="005F4DD2"/>
    <w:rsid w:val="006B73B4"/>
    <w:rsid w:val="006D1EB9"/>
    <w:rsid w:val="007145A7"/>
    <w:rsid w:val="00717FA4"/>
    <w:rsid w:val="007D6429"/>
    <w:rsid w:val="00926830"/>
    <w:rsid w:val="00934CC8"/>
    <w:rsid w:val="009578EE"/>
    <w:rsid w:val="0099324D"/>
    <w:rsid w:val="00995234"/>
    <w:rsid w:val="00A14E80"/>
    <w:rsid w:val="00A165D9"/>
    <w:rsid w:val="00AD3BF4"/>
    <w:rsid w:val="00B4613A"/>
    <w:rsid w:val="00BB01DB"/>
    <w:rsid w:val="00BE1A7E"/>
    <w:rsid w:val="00BE7B63"/>
    <w:rsid w:val="00C220C5"/>
    <w:rsid w:val="00C64A81"/>
    <w:rsid w:val="00CC52CB"/>
    <w:rsid w:val="00CF3F15"/>
    <w:rsid w:val="00D11D8D"/>
    <w:rsid w:val="00D64297"/>
    <w:rsid w:val="00D9619B"/>
    <w:rsid w:val="00EC7B8F"/>
    <w:rsid w:val="00F55B4A"/>
    <w:rsid w:val="00F65D8B"/>
    <w:rsid w:val="00FB5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952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64A81"/>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0D0AF8"/>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EC7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D96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14483D"/>
    <w:pPr>
      <w:spacing w:after="0" w:line="240" w:lineRule="auto"/>
    </w:pPr>
    <w:rPr>
      <w:sz w:val="20"/>
      <w:szCs w:val="20"/>
    </w:rPr>
  </w:style>
  <w:style w:type="character" w:customStyle="1" w:styleId="a7">
    <w:name w:val="Текст сноски Знак"/>
    <w:basedOn w:val="a0"/>
    <w:link w:val="a6"/>
    <w:uiPriority w:val="99"/>
    <w:semiHidden/>
    <w:rsid w:val="0014483D"/>
    <w:rPr>
      <w:sz w:val="20"/>
      <w:szCs w:val="20"/>
    </w:rPr>
  </w:style>
  <w:style w:type="character" w:styleId="a8">
    <w:name w:val="footnote reference"/>
    <w:basedOn w:val="a0"/>
    <w:uiPriority w:val="99"/>
    <w:semiHidden/>
    <w:unhideWhenUsed/>
    <w:rsid w:val="0014483D"/>
    <w:rPr>
      <w:vertAlign w:val="superscript"/>
    </w:rPr>
  </w:style>
  <w:style w:type="paragraph" w:customStyle="1" w:styleId="Default">
    <w:name w:val="Default"/>
    <w:rsid w:val="00A14E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6899988">
      <w:bodyDiv w:val="1"/>
      <w:marLeft w:val="0"/>
      <w:marRight w:val="0"/>
      <w:marTop w:val="0"/>
      <w:marBottom w:val="0"/>
      <w:divBdr>
        <w:top w:val="none" w:sz="0" w:space="0" w:color="auto"/>
        <w:left w:val="none" w:sz="0" w:space="0" w:color="auto"/>
        <w:bottom w:val="none" w:sz="0" w:space="0" w:color="auto"/>
        <w:right w:val="none" w:sz="0" w:space="0" w:color="auto"/>
      </w:divBdr>
    </w:div>
    <w:div w:id="668018712">
      <w:bodyDiv w:val="1"/>
      <w:marLeft w:val="0"/>
      <w:marRight w:val="0"/>
      <w:marTop w:val="0"/>
      <w:marBottom w:val="0"/>
      <w:divBdr>
        <w:top w:val="none" w:sz="0" w:space="0" w:color="auto"/>
        <w:left w:val="none" w:sz="0" w:space="0" w:color="auto"/>
        <w:bottom w:val="none" w:sz="0" w:space="0" w:color="auto"/>
        <w:right w:val="none" w:sz="0" w:space="0" w:color="auto"/>
      </w:divBdr>
      <w:divsChild>
        <w:div w:id="2103140038">
          <w:marLeft w:val="922"/>
          <w:marRight w:val="0"/>
          <w:marTop w:val="0"/>
          <w:marBottom w:val="0"/>
          <w:divBdr>
            <w:top w:val="none" w:sz="0" w:space="0" w:color="auto"/>
            <w:left w:val="none" w:sz="0" w:space="0" w:color="auto"/>
            <w:bottom w:val="none" w:sz="0" w:space="0" w:color="auto"/>
            <w:right w:val="none" w:sz="0" w:space="0" w:color="auto"/>
          </w:divBdr>
        </w:div>
        <w:div w:id="1829207076">
          <w:marLeft w:val="922"/>
          <w:marRight w:val="0"/>
          <w:marTop w:val="0"/>
          <w:marBottom w:val="0"/>
          <w:divBdr>
            <w:top w:val="none" w:sz="0" w:space="0" w:color="auto"/>
            <w:left w:val="none" w:sz="0" w:space="0" w:color="auto"/>
            <w:bottom w:val="none" w:sz="0" w:space="0" w:color="auto"/>
            <w:right w:val="none" w:sz="0" w:space="0" w:color="auto"/>
          </w:divBdr>
        </w:div>
      </w:divsChild>
    </w:div>
    <w:div w:id="830800287">
      <w:bodyDiv w:val="1"/>
      <w:marLeft w:val="0"/>
      <w:marRight w:val="0"/>
      <w:marTop w:val="0"/>
      <w:marBottom w:val="0"/>
      <w:divBdr>
        <w:top w:val="none" w:sz="0" w:space="0" w:color="auto"/>
        <w:left w:val="none" w:sz="0" w:space="0" w:color="auto"/>
        <w:bottom w:val="none" w:sz="0" w:space="0" w:color="auto"/>
        <w:right w:val="none" w:sz="0" w:space="0" w:color="auto"/>
      </w:divBdr>
      <w:divsChild>
        <w:div w:id="2055613282">
          <w:marLeft w:val="576"/>
          <w:marRight w:val="0"/>
          <w:marTop w:val="0"/>
          <w:marBottom w:val="0"/>
          <w:divBdr>
            <w:top w:val="none" w:sz="0" w:space="0" w:color="auto"/>
            <w:left w:val="none" w:sz="0" w:space="0" w:color="auto"/>
            <w:bottom w:val="none" w:sz="0" w:space="0" w:color="auto"/>
            <w:right w:val="none" w:sz="0" w:space="0" w:color="auto"/>
          </w:divBdr>
        </w:div>
        <w:div w:id="1483349959">
          <w:marLeft w:val="576"/>
          <w:marRight w:val="0"/>
          <w:marTop w:val="0"/>
          <w:marBottom w:val="0"/>
          <w:divBdr>
            <w:top w:val="none" w:sz="0" w:space="0" w:color="auto"/>
            <w:left w:val="none" w:sz="0" w:space="0" w:color="auto"/>
            <w:bottom w:val="none" w:sz="0" w:space="0" w:color="auto"/>
            <w:right w:val="none" w:sz="0" w:space="0" w:color="auto"/>
          </w:divBdr>
        </w:div>
      </w:divsChild>
    </w:div>
    <w:div w:id="1277374571">
      <w:bodyDiv w:val="1"/>
      <w:marLeft w:val="0"/>
      <w:marRight w:val="0"/>
      <w:marTop w:val="0"/>
      <w:marBottom w:val="0"/>
      <w:divBdr>
        <w:top w:val="none" w:sz="0" w:space="0" w:color="auto"/>
        <w:left w:val="none" w:sz="0" w:space="0" w:color="auto"/>
        <w:bottom w:val="none" w:sz="0" w:space="0" w:color="auto"/>
        <w:right w:val="none" w:sz="0" w:space="0" w:color="auto"/>
      </w:divBdr>
    </w:div>
    <w:div w:id="19296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2FF93DCB2DEBE960E3C6156888955ABC49F3781A022A478516BFD44959B171143D62BC74C4A1BABC538418B90C36F164BE830E1493266C5C8X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357</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evpak.uv</dc:creator>
  <cp:keywords/>
  <dc:description/>
  <cp:lastModifiedBy>evpak.uv</cp:lastModifiedBy>
  <cp:revision>18</cp:revision>
  <cp:lastPrinted>2021-08-23T06:13:00Z</cp:lastPrinted>
  <dcterms:created xsi:type="dcterms:W3CDTF">2021-08-11T09:45:00Z</dcterms:created>
  <dcterms:modified xsi:type="dcterms:W3CDTF">2021-09-03T11:14:00Z</dcterms:modified>
</cp:coreProperties>
</file>