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3BEF" w14:textId="77777777" w:rsidR="0094358D" w:rsidRDefault="00267F3F" w:rsidP="00C608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4C39C59"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5F51C7DD" w14:textId="77777777" w:rsidR="0094358D" w:rsidRPr="0094358D" w:rsidRDefault="0094358D" w:rsidP="0094358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14:paraId="5F6D58B4" w14:textId="77777777" w:rsidR="0094358D" w:rsidRPr="0094358D" w:rsidRDefault="0094358D" w:rsidP="0094358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14:paraId="00F0CF0E" w14:textId="77777777"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14:paraId="736364D8" w14:textId="77777777" w:rsidR="00F8330E" w:rsidRDefault="00F8330E" w:rsidP="00F8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5E1EC" w14:textId="518195F9" w:rsidR="00471826" w:rsidRPr="008B784B" w:rsidRDefault="00471826" w:rsidP="0047182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8B784B" w:rsidRDefault="00471826" w:rsidP="0047182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08100D" w:rsidRDefault="0008100D" w:rsidP="0008100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3E87491" w:rsidR="0048567B" w:rsidRPr="001943D9" w:rsidRDefault="0008100D" w:rsidP="0008100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6C50FEBE" w14:textId="77777777" w:rsidR="00E33BCC" w:rsidRDefault="00E33BCC" w:rsidP="00C608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9AA78" w14:textId="29463128" w:rsidR="00E24442" w:rsidRPr="0008100D" w:rsidRDefault="00E24442" w:rsidP="00E24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08100D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08100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08100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>
        <w:rPr>
          <w:rFonts w:ascii="Times New Roman" w:hAnsi="Times New Roman" w:cs="Times New Roman"/>
          <w:sz w:val="28"/>
          <w:szCs w:val="28"/>
        </w:rPr>
        <w:t>,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 </w:t>
      </w:r>
      <w:r w:rsidRPr="0008100D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08100D" w:rsidRPr="0008100D">
        <w:rPr>
          <w:rFonts w:ascii="Times New Roman" w:hAnsi="Times New Roman" w:cs="Times New Roman"/>
          <w:sz w:val="28"/>
          <w:szCs w:val="28"/>
        </w:rPr>
        <w:t>ем</w:t>
      </w:r>
      <w:r w:rsidRPr="0008100D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</w:t>
      </w:r>
      <w:bookmarkStart w:id="0" w:name="_Hlk67563550"/>
      <w:r w:rsidR="00384549" w:rsidRPr="0080725D">
        <w:rPr>
          <w:rFonts w:ascii="Times New Roman" w:hAnsi="Times New Roman" w:cs="Times New Roman"/>
          <w:sz w:val="28"/>
          <w:szCs w:val="28"/>
        </w:rPr>
        <w:t>от 2</w:t>
      </w:r>
      <w:r w:rsidR="00443DA8">
        <w:rPr>
          <w:rFonts w:ascii="Times New Roman" w:hAnsi="Times New Roman" w:cs="Times New Roman"/>
          <w:sz w:val="28"/>
          <w:szCs w:val="28"/>
        </w:rPr>
        <w:t>4</w:t>
      </w:r>
      <w:r w:rsidR="00384549" w:rsidRPr="0080725D">
        <w:rPr>
          <w:rFonts w:ascii="Times New Roman" w:hAnsi="Times New Roman" w:cs="Times New Roman"/>
          <w:sz w:val="28"/>
          <w:szCs w:val="28"/>
        </w:rPr>
        <w:t>.03.2021 №</w:t>
      </w:r>
      <w:r w:rsidR="00443DA8">
        <w:rPr>
          <w:rFonts w:ascii="Times New Roman" w:hAnsi="Times New Roman" w:cs="Times New Roman"/>
          <w:sz w:val="28"/>
          <w:szCs w:val="28"/>
        </w:rPr>
        <w:t>8</w:t>
      </w:r>
      <w:r w:rsidR="0080725D" w:rsidRPr="0080725D">
        <w:rPr>
          <w:rFonts w:ascii="Times New Roman" w:hAnsi="Times New Roman" w:cs="Times New Roman"/>
          <w:sz w:val="28"/>
          <w:szCs w:val="28"/>
        </w:rPr>
        <w:t>76</w:t>
      </w:r>
      <w:r w:rsidR="00384549" w:rsidRPr="0080725D">
        <w:rPr>
          <w:rFonts w:ascii="Times New Roman" w:hAnsi="Times New Roman" w:cs="Times New Roman"/>
          <w:sz w:val="28"/>
          <w:szCs w:val="28"/>
        </w:rPr>
        <w:t xml:space="preserve"> «О</w:t>
      </w:r>
      <w:r w:rsidR="00384549" w:rsidRPr="0038454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городского округа Тольятти от 23.12.2020 №787 «О бюджете городского округа Тольятти на 2021 год и плановый период 2022 и 2023 годов»</w:t>
      </w:r>
      <w:bookmarkEnd w:id="0"/>
      <w:r w:rsidR="00471826" w:rsidRPr="0008100D">
        <w:rPr>
          <w:rFonts w:ascii="Times New Roman" w:hAnsi="Times New Roman" w:cs="Times New Roman"/>
          <w:sz w:val="28"/>
          <w:szCs w:val="28"/>
        </w:rPr>
        <w:t xml:space="preserve">, с </w:t>
      </w:r>
      <w:r w:rsidRPr="0008100D">
        <w:rPr>
          <w:rFonts w:ascii="Times New Roman" w:hAnsi="Times New Roman" w:cs="Times New Roman"/>
          <w:sz w:val="28"/>
          <w:szCs w:val="28"/>
        </w:rPr>
        <w:t>постановлением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 и предусматривает следующие изменения</w:t>
      </w:r>
      <w:r w:rsidR="00BE3BA8">
        <w:rPr>
          <w:rFonts w:ascii="Times New Roman" w:hAnsi="Times New Roman" w:cs="Times New Roman"/>
          <w:sz w:val="28"/>
          <w:szCs w:val="28"/>
        </w:rPr>
        <w:t>.</w:t>
      </w:r>
    </w:p>
    <w:p w14:paraId="56D3B4A1" w14:textId="13A66752" w:rsidR="0008100D" w:rsidRPr="007B6221" w:rsidRDefault="00BE3BA8" w:rsidP="00540E2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59F">
        <w:rPr>
          <w:rFonts w:ascii="Times New Roman" w:hAnsi="Times New Roman" w:cs="Times New Roman"/>
          <w:sz w:val="28"/>
          <w:szCs w:val="28"/>
        </w:rPr>
        <w:t>Ф</w:t>
      </w:r>
      <w:r w:rsidR="0008100D" w:rsidRPr="00D4759F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>
        <w:rPr>
          <w:rFonts w:ascii="Times New Roman" w:hAnsi="Times New Roman" w:cs="Times New Roman"/>
          <w:sz w:val="28"/>
          <w:szCs w:val="28"/>
        </w:rPr>
        <w:t>П</w:t>
      </w:r>
      <w:r w:rsidR="0008100D" w:rsidRPr="00D4759F">
        <w:rPr>
          <w:rFonts w:ascii="Times New Roman" w:hAnsi="Times New Roman" w:cs="Times New Roman"/>
          <w:sz w:val="28"/>
          <w:szCs w:val="28"/>
        </w:rPr>
        <w:t>рограммы у</w:t>
      </w:r>
      <w:r w:rsidR="00D162E0">
        <w:rPr>
          <w:rFonts w:ascii="Times New Roman" w:hAnsi="Times New Roman" w:cs="Times New Roman"/>
          <w:sz w:val="28"/>
          <w:szCs w:val="28"/>
        </w:rPr>
        <w:t xml:space="preserve">величивается </w:t>
      </w:r>
      <w:r w:rsidR="0008100D" w:rsidRPr="00D4759F">
        <w:rPr>
          <w:rFonts w:ascii="Times New Roman" w:hAnsi="Times New Roman" w:cs="Times New Roman"/>
          <w:sz w:val="28"/>
          <w:szCs w:val="28"/>
        </w:rPr>
        <w:t xml:space="preserve"> на </w:t>
      </w:r>
      <w:r w:rsidR="00D4759F" w:rsidRPr="007B6221">
        <w:rPr>
          <w:rFonts w:ascii="Times New Roman" w:hAnsi="Times New Roman" w:cs="Times New Roman"/>
          <w:sz w:val="28"/>
          <w:szCs w:val="28"/>
        </w:rPr>
        <w:t>34 </w:t>
      </w:r>
      <w:r w:rsidR="007C0499">
        <w:rPr>
          <w:rFonts w:ascii="Times New Roman" w:hAnsi="Times New Roman" w:cs="Times New Roman"/>
          <w:sz w:val="28"/>
          <w:szCs w:val="28"/>
        </w:rPr>
        <w:t>564</w:t>
      </w:r>
      <w:r w:rsidR="00D4759F" w:rsidRPr="007B6221">
        <w:rPr>
          <w:rFonts w:ascii="Times New Roman" w:hAnsi="Times New Roman" w:cs="Times New Roman"/>
          <w:sz w:val="28"/>
          <w:szCs w:val="28"/>
        </w:rPr>
        <w:t>,0</w:t>
      </w:r>
      <w:r w:rsidR="0008100D" w:rsidRPr="007B622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и изменяется с </w:t>
      </w:r>
      <w:r w:rsidR="00D4759F" w:rsidRPr="007B6221">
        <w:rPr>
          <w:rFonts w:ascii="Times New Roman" w:hAnsi="Times New Roman" w:cs="Times New Roman"/>
          <w:sz w:val="28"/>
          <w:szCs w:val="28"/>
        </w:rPr>
        <w:t xml:space="preserve">213 007,2 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тыс. руб. на </w:t>
      </w:r>
      <w:bookmarkStart w:id="1" w:name="_Hlk66863115"/>
      <w:r w:rsidR="00D4759F" w:rsidRPr="007B6221">
        <w:rPr>
          <w:rFonts w:ascii="Times New Roman" w:hAnsi="Times New Roman" w:cs="Times New Roman"/>
          <w:sz w:val="28"/>
          <w:szCs w:val="28"/>
        </w:rPr>
        <w:t>247</w:t>
      </w:r>
      <w:r w:rsidR="007C0499">
        <w:rPr>
          <w:rFonts w:ascii="Times New Roman" w:hAnsi="Times New Roman" w:cs="Times New Roman"/>
          <w:sz w:val="28"/>
          <w:szCs w:val="28"/>
        </w:rPr>
        <w:t xml:space="preserve"> 571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,2 </w:t>
      </w:r>
      <w:bookmarkEnd w:id="1"/>
      <w:r w:rsidR="00540E2D" w:rsidRPr="007B6221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D162E0">
        <w:rPr>
          <w:rFonts w:ascii="Times New Roman" w:hAnsi="Times New Roman" w:cs="Times New Roman"/>
          <w:sz w:val="28"/>
          <w:szCs w:val="28"/>
        </w:rPr>
        <w:t>Финансирование Программы в 2021 году изменяется с 18 206,0 тыс. руб. на 5</w:t>
      </w:r>
      <w:r w:rsidR="007C0499">
        <w:rPr>
          <w:rFonts w:ascii="Times New Roman" w:hAnsi="Times New Roman" w:cs="Times New Roman"/>
          <w:sz w:val="28"/>
          <w:szCs w:val="28"/>
        </w:rPr>
        <w:t>2</w:t>
      </w:r>
      <w:r w:rsidR="00D162E0">
        <w:rPr>
          <w:rFonts w:ascii="Times New Roman" w:hAnsi="Times New Roman" w:cs="Times New Roman"/>
          <w:sz w:val="28"/>
          <w:szCs w:val="28"/>
        </w:rPr>
        <w:t> </w:t>
      </w:r>
      <w:r w:rsidR="007C0499">
        <w:rPr>
          <w:rFonts w:ascii="Times New Roman" w:hAnsi="Times New Roman" w:cs="Times New Roman"/>
          <w:sz w:val="28"/>
          <w:szCs w:val="28"/>
        </w:rPr>
        <w:t>770</w:t>
      </w:r>
      <w:r w:rsidR="00D162E0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540E2D" w:rsidRPr="007B6221">
        <w:rPr>
          <w:rFonts w:ascii="Times New Roman" w:hAnsi="Times New Roman" w:cs="Times New Roman"/>
          <w:sz w:val="28"/>
          <w:szCs w:val="28"/>
        </w:rPr>
        <w:t>Изменение произошло</w:t>
      </w:r>
      <w:r w:rsidR="0008100D" w:rsidRPr="007B622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6221" w:rsidRPr="007B6221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08100D" w:rsidRPr="007B6221">
        <w:rPr>
          <w:rFonts w:ascii="Times New Roman" w:hAnsi="Times New Roman" w:cs="Times New Roman"/>
          <w:sz w:val="28"/>
          <w:szCs w:val="28"/>
        </w:rPr>
        <w:t>финансово</w:t>
      </w:r>
      <w:r w:rsidR="007B6221" w:rsidRPr="007B6221">
        <w:rPr>
          <w:rFonts w:ascii="Times New Roman" w:hAnsi="Times New Roman" w:cs="Times New Roman"/>
          <w:sz w:val="28"/>
          <w:szCs w:val="28"/>
        </w:rPr>
        <w:t>е</w:t>
      </w:r>
      <w:r w:rsidR="0008100D" w:rsidRPr="007B622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B6221" w:rsidRPr="007B6221">
        <w:rPr>
          <w:rFonts w:ascii="Times New Roman" w:hAnsi="Times New Roman" w:cs="Times New Roman"/>
          <w:sz w:val="28"/>
          <w:szCs w:val="28"/>
        </w:rPr>
        <w:t>е</w:t>
      </w:r>
      <w:r w:rsidR="00F63FC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08100D" w:rsidRPr="007B6221">
        <w:rPr>
          <w:rFonts w:ascii="Times New Roman" w:hAnsi="Times New Roman" w:cs="Times New Roman"/>
          <w:sz w:val="28"/>
          <w:szCs w:val="28"/>
        </w:rPr>
        <w:t xml:space="preserve"> средств бюджета Самарской области </w:t>
      </w:r>
      <w:r w:rsidR="00F63FC9">
        <w:rPr>
          <w:rFonts w:ascii="Times New Roman" w:hAnsi="Times New Roman" w:cs="Times New Roman"/>
          <w:sz w:val="28"/>
          <w:szCs w:val="28"/>
        </w:rPr>
        <w:t>в размере</w:t>
      </w:r>
      <w:r w:rsidR="0008100D" w:rsidRPr="007B6221">
        <w:rPr>
          <w:rFonts w:ascii="Times New Roman" w:hAnsi="Times New Roman" w:cs="Times New Roman"/>
          <w:sz w:val="28"/>
          <w:szCs w:val="28"/>
        </w:rPr>
        <w:t xml:space="preserve"> </w:t>
      </w:r>
      <w:r w:rsidR="00D162E0">
        <w:rPr>
          <w:rFonts w:ascii="Times New Roman" w:hAnsi="Times New Roman" w:cs="Times New Roman"/>
          <w:sz w:val="28"/>
          <w:szCs w:val="28"/>
        </w:rPr>
        <w:t xml:space="preserve">        </w:t>
      </w:r>
      <w:r w:rsidR="007B6221" w:rsidRPr="007B6221">
        <w:rPr>
          <w:rFonts w:ascii="Times New Roman" w:hAnsi="Times New Roman" w:cs="Times New Roman"/>
          <w:sz w:val="28"/>
          <w:szCs w:val="28"/>
        </w:rPr>
        <w:t>31 564</w:t>
      </w:r>
      <w:r w:rsidRPr="007B6221">
        <w:rPr>
          <w:rFonts w:ascii="Times New Roman" w:hAnsi="Times New Roman" w:cs="Times New Roman"/>
          <w:sz w:val="28"/>
          <w:szCs w:val="28"/>
        </w:rPr>
        <w:t>,0</w:t>
      </w:r>
      <w:r w:rsidR="0008100D" w:rsidRPr="007B622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B6221" w:rsidRPr="007B6221">
        <w:rPr>
          <w:rFonts w:ascii="Times New Roman" w:hAnsi="Times New Roman" w:cs="Times New Roman"/>
          <w:sz w:val="28"/>
          <w:szCs w:val="28"/>
        </w:rPr>
        <w:t xml:space="preserve"> и</w:t>
      </w:r>
      <w:r w:rsidR="0008100D" w:rsidRPr="007B622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6221" w:rsidRPr="007B6221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08100D" w:rsidRPr="007B6221">
        <w:rPr>
          <w:rFonts w:ascii="Times New Roman" w:hAnsi="Times New Roman" w:cs="Times New Roman"/>
          <w:sz w:val="28"/>
          <w:szCs w:val="28"/>
        </w:rPr>
        <w:t>финансирования из средств бюджета городского округа Тольятти на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 </w:t>
      </w:r>
      <w:r w:rsidR="007B6221" w:rsidRPr="007B6221">
        <w:rPr>
          <w:rFonts w:ascii="Times New Roman" w:hAnsi="Times New Roman" w:cs="Times New Roman"/>
          <w:sz w:val="28"/>
          <w:szCs w:val="28"/>
        </w:rPr>
        <w:t>3 </w:t>
      </w:r>
      <w:r w:rsidR="007C0499">
        <w:rPr>
          <w:rFonts w:ascii="Times New Roman" w:hAnsi="Times New Roman" w:cs="Times New Roman"/>
          <w:sz w:val="28"/>
          <w:szCs w:val="28"/>
        </w:rPr>
        <w:t>000</w:t>
      </w:r>
      <w:r w:rsidR="007B6221" w:rsidRPr="007B6221">
        <w:rPr>
          <w:rFonts w:ascii="Times New Roman" w:hAnsi="Times New Roman" w:cs="Times New Roman"/>
          <w:sz w:val="28"/>
          <w:szCs w:val="28"/>
        </w:rPr>
        <w:t>,0</w:t>
      </w:r>
      <w:r w:rsidR="0008100D" w:rsidRPr="007B62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B6221">
        <w:rPr>
          <w:rFonts w:ascii="Times New Roman" w:hAnsi="Times New Roman" w:cs="Times New Roman"/>
          <w:sz w:val="28"/>
          <w:szCs w:val="28"/>
        </w:rPr>
        <w:t xml:space="preserve"> </w:t>
      </w:r>
      <w:r w:rsidR="0008100D" w:rsidRPr="007B6221">
        <w:rPr>
          <w:rFonts w:ascii="Times New Roman" w:hAnsi="Times New Roman" w:cs="Times New Roman"/>
          <w:sz w:val="28"/>
          <w:szCs w:val="28"/>
        </w:rPr>
        <w:t>руб.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54BF9" w:rsidRPr="007B6221">
        <w:rPr>
          <w:rFonts w:ascii="Times New Roman" w:hAnsi="Times New Roman" w:cs="Times New Roman"/>
          <w:sz w:val="28"/>
          <w:szCs w:val="28"/>
        </w:rPr>
        <w:t>числе:</w:t>
      </w:r>
    </w:p>
    <w:p w14:paraId="54B4DE3F" w14:textId="25959180" w:rsidR="0008100D" w:rsidRPr="00D162E0" w:rsidRDefault="00540E2D" w:rsidP="0008100D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64106945"/>
      <w:r w:rsidRPr="00D162E0">
        <w:rPr>
          <w:rFonts w:ascii="Times New Roman" w:hAnsi="Times New Roman" w:cs="Times New Roman"/>
          <w:bCs/>
          <w:sz w:val="28"/>
          <w:szCs w:val="28"/>
        </w:rPr>
        <w:lastRenderedPageBreak/>
        <w:t>- п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>о мероприятию 1.3. «Предоставление субсидии СОНКО, не являющимся государственными (муниципальными) учреждениями, - общественным объединениям пожарной охраны 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Тольятти» (ответственный исполнитель – департамент общественной безопасности) финансирование Программы в 2021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величивается на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2</w:t>
      </w:r>
      <w:r w:rsidR="00521831" w:rsidRPr="00D162E0">
        <w:rPr>
          <w:rFonts w:ascii="Times New Roman" w:hAnsi="Times New Roman" w:cs="Times New Roman"/>
          <w:bCs/>
          <w:sz w:val="28"/>
          <w:szCs w:val="28"/>
        </w:rPr>
        <w:t> 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>000</w:t>
      </w:r>
      <w:r w:rsidR="00521831" w:rsidRPr="00D162E0">
        <w:rPr>
          <w:rFonts w:ascii="Times New Roman" w:hAnsi="Times New Roman" w:cs="Times New Roman"/>
          <w:bCs/>
          <w:sz w:val="28"/>
          <w:szCs w:val="28"/>
        </w:rPr>
        <w:t>,0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 xml:space="preserve"> и изменяется с 0,0 тыс.</w:t>
      </w:r>
      <w:r w:rsidR="00807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руб. до 2 000,0 тыс.</w:t>
      </w:r>
      <w:r w:rsidR="00807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6CB0068B" w14:textId="52EA4D7A" w:rsidR="0008100D" w:rsidRPr="00D162E0" w:rsidRDefault="00540E2D" w:rsidP="0008100D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64107209"/>
      <w:bookmarkEnd w:id="2"/>
      <w:r w:rsidRPr="00D162E0">
        <w:rPr>
          <w:rFonts w:ascii="Times New Roman" w:hAnsi="Times New Roman" w:cs="Times New Roman"/>
          <w:bCs/>
          <w:sz w:val="28"/>
          <w:szCs w:val="28"/>
        </w:rPr>
        <w:t>- п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>о мероприятию 1.6. «Предоставление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 (ответственный исполнитель – управление взаимодействия с общественностью) финансирование Программы в 2021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>год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у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величива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 xml:space="preserve">ется на 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1</w:t>
      </w:r>
      <w:r w:rsidR="00521831" w:rsidRPr="00D162E0">
        <w:rPr>
          <w:rFonts w:ascii="Times New Roman" w:hAnsi="Times New Roman" w:cs="Times New Roman"/>
          <w:bCs/>
          <w:sz w:val="28"/>
          <w:szCs w:val="28"/>
        </w:rPr>
        <w:t> 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>000</w:t>
      </w:r>
      <w:r w:rsidR="00521831" w:rsidRPr="00D162E0">
        <w:rPr>
          <w:rFonts w:ascii="Times New Roman" w:hAnsi="Times New Roman" w:cs="Times New Roman"/>
          <w:bCs/>
          <w:sz w:val="28"/>
          <w:szCs w:val="28"/>
        </w:rPr>
        <w:t>,0</w:t>
      </w:r>
      <w:r w:rsidR="0008100D" w:rsidRPr="00D162E0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 xml:space="preserve">  и изменяется с    0,0 тыс.</w:t>
      </w:r>
      <w:r w:rsidR="00807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руб. до 1 000,0 тыс.</w:t>
      </w:r>
      <w:r w:rsidR="00807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FC9" w:rsidRPr="00D162E0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3D40E91C" w14:textId="660A51A0" w:rsidR="00D162E0" w:rsidRPr="00F2699F" w:rsidRDefault="00540E2D" w:rsidP="000810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49257735"/>
      <w:bookmarkEnd w:id="3"/>
      <w:r w:rsidRPr="00F2699F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8100D" w:rsidRPr="00F2699F">
        <w:rPr>
          <w:rFonts w:ascii="Times New Roman" w:hAnsi="Times New Roman" w:cs="Times New Roman"/>
          <w:sz w:val="28"/>
          <w:szCs w:val="28"/>
        </w:rPr>
        <w:t>о мероприятию 8.1. «Финансовое обеспечение деятельности МКУ «Центр поддержки общественных инициатив»</w:t>
      </w:r>
      <w:bookmarkEnd w:id="4"/>
      <w:r w:rsidR="0008100D" w:rsidRPr="00F2699F">
        <w:rPr>
          <w:rFonts w:ascii="Times New Roman" w:hAnsi="Times New Roman" w:cs="Times New Roman"/>
          <w:bCs/>
          <w:sz w:val="28"/>
          <w:szCs w:val="28"/>
        </w:rPr>
        <w:t xml:space="preserve"> (ответственный исполнитель – управление взаимодействия с общественностью)</w:t>
      </w:r>
      <w:r w:rsidR="0008100D" w:rsidRPr="00F2699F">
        <w:rPr>
          <w:rFonts w:ascii="Times New Roman" w:hAnsi="Times New Roman" w:cs="Times New Roman"/>
          <w:sz w:val="28"/>
          <w:szCs w:val="28"/>
        </w:rPr>
        <w:t xml:space="preserve"> объем финансирования в 2021</w:t>
      </w:r>
      <w:r w:rsidR="00F63FC9" w:rsidRPr="00F2699F">
        <w:rPr>
          <w:rFonts w:ascii="Times New Roman" w:hAnsi="Times New Roman" w:cs="Times New Roman"/>
          <w:sz w:val="28"/>
          <w:szCs w:val="28"/>
        </w:rPr>
        <w:t xml:space="preserve"> </w:t>
      </w:r>
      <w:r w:rsidR="0008100D" w:rsidRPr="00F2699F">
        <w:rPr>
          <w:rFonts w:ascii="Times New Roman" w:hAnsi="Times New Roman" w:cs="Times New Roman"/>
          <w:sz w:val="28"/>
          <w:szCs w:val="28"/>
        </w:rPr>
        <w:t>год</w:t>
      </w:r>
      <w:r w:rsidR="00F63FC9" w:rsidRPr="00F2699F">
        <w:rPr>
          <w:rFonts w:ascii="Times New Roman" w:hAnsi="Times New Roman" w:cs="Times New Roman"/>
          <w:sz w:val="28"/>
          <w:szCs w:val="28"/>
        </w:rPr>
        <w:t>у</w:t>
      </w:r>
      <w:r w:rsidR="0008100D" w:rsidRPr="00F2699F">
        <w:rPr>
          <w:rFonts w:ascii="Times New Roman" w:hAnsi="Times New Roman" w:cs="Times New Roman"/>
          <w:sz w:val="28"/>
          <w:szCs w:val="28"/>
        </w:rPr>
        <w:t xml:space="preserve"> </w:t>
      </w:r>
      <w:r w:rsidR="00F63FC9" w:rsidRPr="00F2699F">
        <w:rPr>
          <w:rFonts w:ascii="Times New Roman" w:hAnsi="Times New Roman" w:cs="Times New Roman"/>
          <w:sz w:val="28"/>
          <w:szCs w:val="28"/>
        </w:rPr>
        <w:t>у</w:t>
      </w:r>
      <w:r w:rsidR="00F63FC9" w:rsidRPr="00F2699F">
        <w:rPr>
          <w:rFonts w:ascii="Times New Roman" w:eastAsia="Times New Roman" w:hAnsi="Times New Roman" w:cs="Times New Roman"/>
          <w:sz w:val="28"/>
          <w:szCs w:val="28"/>
        </w:rPr>
        <w:t xml:space="preserve">величивается </w:t>
      </w:r>
      <w:r w:rsidR="0081358F" w:rsidRPr="00F26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00D" w:rsidRPr="00F2699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162E0" w:rsidRPr="00F2699F">
        <w:rPr>
          <w:rFonts w:ascii="Times New Roman" w:eastAsia="Times New Roman" w:hAnsi="Times New Roman" w:cs="Times New Roman"/>
          <w:sz w:val="28"/>
          <w:szCs w:val="28"/>
        </w:rPr>
        <w:t>31 564</w:t>
      </w:r>
      <w:r w:rsidR="00521831" w:rsidRPr="00F2699F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8100D" w:rsidRPr="00F2699F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D162E0" w:rsidRPr="00F2699F">
        <w:rPr>
          <w:rFonts w:ascii="Times New Roman" w:eastAsia="Times New Roman" w:hAnsi="Times New Roman" w:cs="Times New Roman"/>
          <w:sz w:val="28"/>
          <w:szCs w:val="28"/>
        </w:rPr>
        <w:t>за счет включения в финансовое обеспечение</w:t>
      </w:r>
      <w:r w:rsidR="0081358F" w:rsidRPr="00F26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9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81358F" w:rsidRPr="00F2699F">
        <w:rPr>
          <w:rFonts w:ascii="Times New Roman" w:eastAsia="Times New Roman" w:hAnsi="Times New Roman" w:cs="Times New Roman"/>
          <w:sz w:val="28"/>
          <w:szCs w:val="28"/>
        </w:rPr>
        <w:t>средств на обеспечение  поддержки общественного самоуправления в части содержания управляющих микрорайонами,</w:t>
      </w:r>
      <w:r w:rsidR="00D162E0" w:rsidRPr="00F2699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81358F" w:rsidRPr="00F269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62E0" w:rsidRPr="00F2699F">
        <w:rPr>
          <w:rFonts w:ascii="Times New Roman" w:eastAsia="Times New Roman" w:hAnsi="Times New Roman" w:cs="Times New Roman"/>
          <w:sz w:val="28"/>
          <w:szCs w:val="28"/>
        </w:rPr>
        <w:t>оглашения о предоставлении иного межбюджетного трансферта из областного бюджета в местный бюджет городского округа Тольятти</w:t>
      </w:r>
      <w:r w:rsidR="0081358F" w:rsidRPr="00F2699F">
        <w:rPr>
          <w:rFonts w:ascii="Times New Roman" w:eastAsia="Times New Roman" w:hAnsi="Times New Roman" w:cs="Times New Roman"/>
          <w:sz w:val="28"/>
          <w:szCs w:val="28"/>
        </w:rPr>
        <w:t xml:space="preserve"> от 19 февраля 2021 года №46-упр.</w:t>
      </w:r>
    </w:p>
    <w:p w14:paraId="1DD21C31" w14:textId="2A340E26" w:rsidR="00EB5DC4" w:rsidRDefault="00C60E20" w:rsidP="00C73E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6065">
        <w:rPr>
          <w:rFonts w:ascii="Times New Roman" w:eastAsia="Times New Roman" w:hAnsi="Times New Roman" w:cs="Times New Roman"/>
          <w:sz w:val="28"/>
          <w:szCs w:val="28"/>
        </w:rPr>
        <w:t>Учитывая рекомендаци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(далее - КСП)</w:t>
      </w:r>
      <w:r w:rsidRPr="00426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426065">
        <w:rPr>
          <w:rFonts w:ascii="Times New Roman" w:eastAsia="Times New Roman" w:hAnsi="Times New Roman" w:cs="Times New Roman"/>
          <w:sz w:val="28"/>
          <w:szCs w:val="28"/>
        </w:rPr>
        <w:t>азраб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>атывать</w:t>
      </w:r>
      <w:r w:rsidRPr="00426065">
        <w:rPr>
          <w:rFonts w:ascii="Times New Roman" w:eastAsia="Times New Roman" w:hAnsi="Times New Roman" w:cs="Times New Roman"/>
          <w:sz w:val="28"/>
          <w:szCs w:val="28"/>
        </w:rPr>
        <w:t xml:space="preserve"> базовы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6065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6065">
        <w:rPr>
          <w:rFonts w:ascii="Times New Roman" w:eastAsia="Times New Roman" w:hAnsi="Times New Roman" w:cs="Times New Roman"/>
          <w:sz w:val="28"/>
          <w:szCs w:val="28"/>
        </w:rPr>
        <w:t xml:space="preserve"> (индикатор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260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МП с учетом фактически достигнутых результатов по аналогичным мероприятиям в предыдущих периодах действия МП», содержащуюся в заключении КСП по 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 финансово-экономической экспертизы Программы (№11403-вх/6 от 06.10.2020), базов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87011">
        <w:rPr>
          <w:rFonts w:ascii="Times New Roman" w:eastAsia="Times New Roman" w:hAnsi="Times New Roman" w:cs="Times New Roman"/>
          <w:sz w:val="28"/>
          <w:szCs w:val="28"/>
        </w:rPr>
        <w:t xml:space="preserve">Таблице 3 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 xml:space="preserve">«Показатели конечного результата Муниципальной программы» и </w:t>
      </w:r>
      <w:r w:rsidR="00BF38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D16" w:rsidRPr="00426065">
        <w:rPr>
          <w:rFonts w:ascii="Times New Roman" w:eastAsia="Times New Roman" w:hAnsi="Times New Roman" w:cs="Times New Roman"/>
          <w:sz w:val="28"/>
          <w:szCs w:val="28"/>
        </w:rPr>
        <w:t>Приложении №2 изменен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6065" w:rsidRPr="00426065">
        <w:rPr>
          <w:rFonts w:ascii="Times New Roman" w:eastAsia="Times New Roman" w:hAnsi="Times New Roman" w:cs="Times New Roman"/>
          <w:sz w:val="28"/>
          <w:szCs w:val="28"/>
        </w:rPr>
        <w:t xml:space="preserve"> с фактическ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26065" w:rsidRPr="00426065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6065" w:rsidRPr="00426065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за 2019 год на фактическ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26065" w:rsidRPr="00426065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26065" w:rsidRPr="00426065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за 2020 год.</w:t>
      </w:r>
      <w:r w:rsidR="00242929">
        <w:rPr>
          <w:rFonts w:ascii="Times New Roman" w:eastAsia="Times New Roman" w:hAnsi="Times New Roman" w:cs="Times New Roman"/>
          <w:sz w:val="28"/>
          <w:szCs w:val="28"/>
        </w:rPr>
        <w:t xml:space="preserve"> В случаях отсутствия фактических показателей за 2020 год, в качестве базов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42929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F5301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2929">
        <w:rPr>
          <w:rFonts w:ascii="Times New Roman" w:eastAsia="Times New Roman" w:hAnsi="Times New Roman" w:cs="Times New Roman"/>
          <w:sz w:val="28"/>
          <w:szCs w:val="28"/>
        </w:rPr>
        <w:t xml:space="preserve"> указаны фактические значения показателя (индикатора) за предшествующие годы выполнения муниципальной программы </w:t>
      </w:r>
      <w:r w:rsidR="00242929" w:rsidRPr="00E24442">
        <w:rPr>
          <w:rFonts w:ascii="Times New Roman" w:hAnsi="Times New Roman" w:cs="Times New Roman"/>
          <w:sz w:val="28"/>
          <w:szCs w:val="28"/>
        </w:rPr>
        <w:t>«</w:t>
      </w:r>
      <w:r w:rsidR="00242929" w:rsidRPr="008B784B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организаций, содействие развитию некоммерческих организаций, территориального общественного самоуправления и общественных инициатив в городском округе Тольятти на 2015–2020 годы</w:t>
      </w:r>
      <w:r w:rsidR="00242929" w:rsidRPr="00E24442">
        <w:rPr>
          <w:rFonts w:ascii="Times New Roman" w:hAnsi="Times New Roman" w:cs="Times New Roman"/>
          <w:sz w:val="28"/>
          <w:szCs w:val="28"/>
        </w:rPr>
        <w:t>», утвержденной постановлением мэрии городского округа Тольятти от 19.09.2014 № 3510-п/1</w:t>
      </w:r>
      <w:r w:rsidR="00DF2F00">
        <w:rPr>
          <w:rFonts w:ascii="Times New Roman" w:hAnsi="Times New Roman" w:cs="Times New Roman"/>
          <w:sz w:val="28"/>
          <w:szCs w:val="28"/>
        </w:rPr>
        <w:t>: в качестве базового значения по мероприятию 1.1.</w:t>
      </w:r>
      <w:r w:rsidR="006938E5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DF2F00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за 2018 год</w:t>
      </w:r>
      <w:r w:rsidR="00384549">
        <w:rPr>
          <w:rFonts w:ascii="Times New Roman" w:hAnsi="Times New Roman" w:cs="Times New Roman"/>
          <w:sz w:val="28"/>
          <w:szCs w:val="28"/>
        </w:rPr>
        <w:t>;</w:t>
      </w:r>
      <w:r w:rsidR="00DF2F00">
        <w:rPr>
          <w:rFonts w:ascii="Times New Roman" w:hAnsi="Times New Roman" w:cs="Times New Roman"/>
          <w:sz w:val="28"/>
          <w:szCs w:val="28"/>
        </w:rPr>
        <w:t xml:space="preserve"> </w:t>
      </w:r>
      <w:r w:rsidR="006938E5">
        <w:rPr>
          <w:rFonts w:ascii="Times New Roman" w:hAnsi="Times New Roman" w:cs="Times New Roman"/>
          <w:sz w:val="28"/>
          <w:szCs w:val="28"/>
        </w:rPr>
        <w:t xml:space="preserve">по мероприятию 1.6 - фактическое значение показателя за 2019 год; базовым  значением по мероприятию 8.1. служит </w:t>
      </w:r>
      <w:r w:rsidR="00BD1FC2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6938E5">
        <w:rPr>
          <w:rFonts w:ascii="Times New Roman" w:hAnsi="Times New Roman" w:cs="Times New Roman"/>
          <w:sz w:val="28"/>
          <w:szCs w:val="28"/>
        </w:rPr>
        <w:t>показатель исполнения бюджета</w:t>
      </w:r>
      <w:r w:rsidR="00BD1FC2">
        <w:rPr>
          <w:rFonts w:ascii="Times New Roman" w:hAnsi="Times New Roman" w:cs="Times New Roman"/>
          <w:sz w:val="28"/>
          <w:szCs w:val="28"/>
        </w:rPr>
        <w:t xml:space="preserve">  по управлению взаимодействия с общественностью на 01.01.2021</w:t>
      </w:r>
      <w:r w:rsidR="00BD1FC2" w:rsidRPr="00BD1FC2">
        <w:rPr>
          <w:rFonts w:ascii="Times New Roman" w:hAnsi="Times New Roman"/>
          <w:sz w:val="28"/>
          <w:szCs w:val="28"/>
        </w:rPr>
        <w:t xml:space="preserve"> </w:t>
      </w:r>
      <w:r w:rsidR="00BD1FC2" w:rsidRPr="00426745">
        <w:rPr>
          <w:rFonts w:ascii="Times New Roman" w:hAnsi="Times New Roman"/>
          <w:sz w:val="28"/>
          <w:szCs w:val="28"/>
        </w:rPr>
        <w:t>по разделу 0113 «Другие общегосударственные вопросы</w:t>
      </w:r>
      <w:r w:rsidR="00BD1FC2" w:rsidRPr="000A7B1E">
        <w:rPr>
          <w:rFonts w:ascii="Times New Roman" w:hAnsi="Times New Roman"/>
          <w:sz w:val="28"/>
          <w:szCs w:val="28"/>
        </w:rPr>
        <w:t>»</w:t>
      </w:r>
      <w:r w:rsidR="00BD1FC2">
        <w:rPr>
          <w:rFonts w:ascii="Times New Roman" w:hAnsi="Times New Roman"/>
          <w:sz w:val="28"/>
          <w:szCs w:val="28"/>
        </w:rPr>
        <w:t>.</w:t>
      </w:r>
    </w:p>
    <w:p w14:paraId="0148FCA4" w14:textId="2A653946" w:rsidR="008E1248" w:rsidRDefault="008E1248" w:rsidP="00C73E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1248">
        <w:rPr>
          <w:rFonts w:ascii="Times New Roman" w:hAnsi="Times New Roman"/>
          <w:sz w:val="28"/>
          <w:szCs w:val="28"/>
        </w:rPr>
        <w:t>Показатель (индикатор) реализации программы «Количество соответствующих заключенных договоров» по мероприятию                                 1.</w:t>
      </w:r>
      <w:r>
        <w:rPr>
          <w:rFonts w:ascii="Times New Roman" w:hAnsi="Times New Roman"/>
          <w:sz w:val="28"/>
          <w:szCs w:val="28"/>
        </w:rPr>
        <w:t>6</w:t>
      </w:r>
      <w:r w:rsidRPr="008E1248">
        <w:rPr>
          <w:rFonts w:ascii="Times New Roman" w:hAnsi="Times New Roman"/>
          <w:sz w:val="28"/>
          <w:szCs w:val="28"/>
        </w:rPr>
        <w:t xml:space="preserve">. «Предоставление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 </w:t>
      </w:r>
      <w:r w:rsidR="00BF3882">
        <w:rPr>
          <w:rFonts w:ascii="Times New Roman" w:hAnsi="Times New Roman"/>
          <w:sz w:val="28"/>
          <w:szCs w:val="28"/>
        </w:rPr>
        <w:t xml:space="preserve">за 2021 год </w:t>
      </w:r>
      <w:r w:rsidRPr="008E1248">
        <w:rPr>
          <w:rFonts w:ascii="Times New Roman" w:hAnsi="Times New Roman"/>
          <w:sz w:val="28"/>
          <w:szCs w:val="28"/>
        </w:rPr>
        <w:t>изменился с «</w:t>
      </w:r>
      <w:r w:rsidR="004074E6">
        <w:rPr>
          <w:rFonts w:ascii="Times New Roman" w:hAnsi="Times New Roman"/>
          <w:sz w:val="28"/>
          <w:szCs w:val="28"/>
        </w:rPr>
        <w:t>15</w:t>
      </w:r>
      <w:r w:rsidRPr="008E1248">
        <w:rPr>
          <w:rFonts w:ascii="Times New Roman" w:hAnsi="Times New Roman"/>
          <w:sz w:val="28"/>
          <w:szCs w:val="28"/>
        </w:rPr>
        <w:t xml:space="preserve"> и более ед.» на «1</w:t>
      </w:r>
      <w:r w:rsidR="004074E6">
        <w:rPr>
          <w:rFonts w:ascii="Times New Roman" w:hAnsi="Times New Roman"/>
          <w:sz w:val="28"/>
          <w:szCs w:val="28"/>
        </w:rPr>
        <w:t>0</w:t>
      </w:r>
      <w:r w:rsidRPr="008E1248">
        <w:rPr>
          <w:rFonts w:ascii="Times New Roman" w:hAnsi="Times New Roman"/>
          <w:sz w:val="28"/>
          <w:szCs w:val="28"/>
        </w:rPr>
        <w:t xml:space="preserve"> ед.»</w:t>
      </w:r>
      <w:r w:rsidR="00690F95">
        <w:rPr>
          <w:rFonts w:ascii="Times New Roman" w:hAnsi="Times New Roman"/>
          <w:sz w:val="28"/>
          <w:szCs w:val="28"/>
        </w:rPr>
        <w:t xml:space="preserve">. </w:t>
      </w:r>
      <w:r w:rsidR="005C0866">
        <w:rPr>
          <w:rFonts w:ascii="Times New Roman" w:hAnsi="Times New Roman"/>
          <w:sz w:val="28"/>
          <w:szCs w:val="28"/>
        </w:rPr>
        <w:t>Изменение п</w:t>
      </w:r>
      <w:r w:rsidR="00690F95">
        <w:rPr>
          <w:rFonts w:ascii="Times New Roman" w:hAnsi="Times New Roman"/>
          <w:sz w:val="28"/>
          <w:szCs w:val="28"/>
        </w:rPr>
        <w:t>оказател</w:t>
      </w:r>
      <w:r w:rsidR="005C0866">
        <w:rPr>
          <w:rFonts w:ascii="Times New Roman" w:hAnsi="Times New Roman"/>
          <w:sz w:val="28"/>
          <w:szCs w:val="28"/>
        </w:rPr>
        <w:t>я</w:t>
      </w:r>
      <w:r w:rsidR="00690F95">
        <w:rPr>
          <w:rFonts w:ascii="Times New Roman" w:hAnsi="Times New Roman"/>
          <w:sz w:val="28"/>
          <w:szCs w:val="28"/>
        </w:rPr>
        <w:t xml:space="preserve"> </w:t>
      </w:r>
      <w:r w:rsidR="005C0866">
        <w:rPr>
          <w:rFonts w:ascii="Times New Roman" w:hAnsi="Times New Roman"/>
          <w:sz w:val="28"/>
          <w:szCs w:val="28"/>
        </w:rPr>
        <w:t>произведено</w:t>
      </w:r>
      <w:r w:rsidRPr="008E1248">
        <w:rPr>
          <w:rFonts w:ascii="Times New Roman" w:hAnsi="Times New Roman"/>
          <w:sz w:val="28"/>
          <w:szCs w:val="28"/>
        </w:rPr>
        <w:t xml:space="preserve"> </w:t>
      </w:r>
      <w:r w:rsidR="00690F95">
        <w:rPr>
          <w:rFonts w:ascii="Times New Roman" w:hAnsi="Times New Roman"/>
          <w:sz w:val="28"/>
          <w:szCs w:val="28"/>
        </w:rPr>
        <w:t xml:space="preserve">в соответствии с </w:t>
      </w:r>
      <w:r w:rsidR="00690F95" w:rsidRPr="00690F95">
        <w:rPr>
          <w:rFonts w:ascii="Times New Roman" w:hAnsi="Times New Roman"/>
          <w:sz w:val="28"/>
          <w:szCs w:val="28"/>
        </w:rPr>
        <w:t>Поряд</w:t>
      </w:r>
      <w:r w:rsidR="00690F95">
        <w:rPr>
          <w:rFonts w:ascii="Times New Roman" w:hAnsi="Times New Roman"/>
          <w:sz w:val="28"/>
          <w:szCs w:val="28"/>
        </w:rPr>
        <w:t>ком</w:t>
      </w:r>
      <w:r w:rsidR="00690F95" w:rsidRPr="00690F95">
        <w:rPr>
          <w:rFonts w:ascii="Times New Roman" w:hAnsi="Times New Roman"/>
          <w:sz w:val="28"/>
          <w:szCs w:val="28"/>
        </w:rP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</w:t>
      </w:r>
      <w:r w:rsidR="00690F95" w:rsidRPr="00690F95">
        <w:rPr>
          <w:rFonts w:ascii="Times New Roman" w:hAnsi="Times New Roman"/>
          <w:sz w:val="28"/>
          <w:szCs w:val="28"/>
        </w:rPr>
        <w:lastRenderedPageBreak/>
        <w:t>округа Тольятти</w:t>
      </w:r>
      <w:r w:rsidR="00690F95">
        <w:rPr>
          <w:rFonts w:ascii="Times New Roman" w:hAnsi="Times New Roman"/>
          <w:sz w:val="28"/>
          <w:szCs w:val="28"/>
        </w:rPr>
        <w:t>, утвержденным постановлением мэрии городского округа Тольятти от 20.08.2015г. №2703-п/1, исходя  из</w:t>
      </w:r>
      <w:r w:rsidR="004605AA">
        <w:rPr>
          <w:rFonts w:ascii="Times New Roman" w:hAnsi="Times New Roman"/>
          <w:sz w:val="28"/>
          <w:szCs w:val="28"/>
        </w:rPr>
        <w:t xml:space="preserve"> </w:t>
      </w:r>
      <w:r w:rsidR="004074E6">
        <w:rPr>
          <w:rFonts w:ascii="Times New Roman" w:hAnsi="Times New Roman"/>
          <w:sz w:val="28"/>
          <w:szCs w:val="28"/>
        </w:rPr>
        <w:t>размера финансирования на 2021 год</w:t>
      </w:r>
      <w:r w:rsidR="00690F95">
        <w:rPr>
          <w:rFonts w:ascii="Times New Roman" w:hAnsi="Times New Roman"/>
          <w:sz w:val="28"/>
          <w:szCs w:val="28"/>
        </w:rPr>
        <w:t xml:space="preserve">, </w:t>
      </w:r>
      <w:r w:rsidR="00BF3882">
        <w:rPr>
          <w:rFonts w:ascii="Times New Roman" w:hAnsi="Times New Roman"/>
          <w:sz w:val="28"/>
          <w:szCs w:val="28"/>
        </w:rPr>
        <w:t>уменьшившегося</w:t>
      </w:r>
      <w:r w:rsidR="00690F95">
        <w:rPr>
          <w:rFonts w:ascii="Times New Roman" w:hAnsi="Times New Roman"/>
          <w:sz w:val="28"/>
          <w:szCs w:val="28"/>
        </w:rPr>
        <w:t xml:space="preserve"> </w:t>
      </w:r>
      <w:r w:rsidR="004074E6">
        <w:rPr>
          <w:rFonts w:ascii="Times New Roman" w:hAnsi="Times New Roman"/>
          <w:sz w:val="28"/>
          <w:szCs w:val="28"/>
        </w:rPr>
        <w:t xml:space="preserve"> с</w:t>
      </w:r>
      <w:r w:rsidR="00D75B9F">
        <w:rPr>
          <w:rFonts w:ascii="Times New Roman" w:hAnsi="Times New Roman"/>
          <w:sz w:val="28"/>
          <w:szCs w:val="28"/>
        </w:rPr>
        <w:t xml:space="preserve"> </w:t>
      </w:r>
      <w:r w:rsidR="004605AA">
        <w:rPr>
          <w:rFonts w:ascii="Times New Roman" w:hAnsi="Times New Roman"/>
          <w:sz w:val="28"/>
          <w:szCs w:val="28"/>
        </w:rPr>
        <w:t>3 000 тыс. руб., изначально запланированн</w:t>
      </w:r>
      <w:r w:rsidR="00D75B9F">
        <w:rPr>
          <w:rFonts w:ascii="Times New Roman" w:hAnsi="Times New Roman"/>
          <w:sz w:val="28"/>
          <w:szCs w:val="28"/>
        </w:rPr>
        <w:t>ых</w:t>
      </w:r>
      <w:r w:rsidR="004605AA">
        <w:rPr>
          <w:rFonts w:ascii="Times New Roman" w:hAnsi="Times New Roman"/>
          <w:sz w:val="28"/>
          <w:szCs w:val="28"/>
        </w:rPr>
        <w:t xml:space="preserve"> в Программе, </w:t>
      </w:r>
      <w:r w:rsidR="00BF3882">
        <w:rPr>
          <w:rFonts w:ascii="Times New Roman" w:hAnsi="Times New Roman"/>
          <w:sz w:val="28"/>
          <w:szCs w:val="28"/>
        </w:rPr>
        <w:t>до</w:t>
      </w:r>
      <w:r w:rsidR="00D75B9F">
        <w:rPr>
          <w:rFonts w:ascii="Times New Roman" w:hAnsi="Times New Roman"/>
          <w:sz w:val="28"/>
          <w:szCs w:val="28"/>
        </w:rPr>
        <w:t xml:space="preserve"> сумм</w:t>
      </w:r>
      <w:r w:rsidR="00BF3882">
        <w:rPr>
          <w:rFonts w:ascii="Times New Roman" w:hAnsi="Times New Roman"/>
          <w:sz w:val="28"/>
          <w:szCs w:val="28"/>
        </w:rPr>
        <w:t>ы</w:t>
      </w:r>
      <w:r w:rsidR="004605AA">
        <w:rPr>
          <w:rFonts w:ascii="Times New Roman" w:hAnsi="Times New Roman"/>
          <w:sz w:val="28"/>
          <w:szCs w:val="28"/>
        </w:rPr>
        <w:t xml:space="preserve"> 1 000 тыс. руб., предусмотренн</w:t>
      </w:r>
      <w:r w:rsidR="00BF3882">
        <w:rPr>
          <w:rFonts w:ascii="Times New Roman" w:hAnsi="Times New Roman"/>
          <w:sz w:val="28"/>
          <w:szCs w:val="28"/>
        </w:rPr>
        <w:t>ой</w:t>
      </w:r>
      <w:r w:rsidR="004605AA">
        <w:rPr>
          <w:rFonts w:ascii="Times New Roman" w:hAnsi="Times New Roman"/>
          <w:sz w:val="28"/>
          <w:szCs w:val="28"/>
        </w:rPr>
        <w:t xml:space="preserve"> решением Думы </w:t>
      </w:r>
      <w:r w:rsidR="004605AA" w:rsidRPr="004605AA">
        <w:rPr>
          <w:rFonts w:ascii="Times New Roman" w:hAnsi="Times New Roman"/>
          <w:sz w:val="28"/>
          <w:szCs w:val="28"/>
        </w:rPr>
        <w:t>городского округа Тольятти от 24.03.2021 №876</w:t>
      </w:r>
      <w:r w:rsidR="004605AA">
        <w:rPr>
          <w:rFonts w:ascii="Times New Roman" w:hAnsi="Times New Roman"/>
          <w:sz w:val="28"/>
          <w:szCs w:val="28"/>
        </w:rPr>
        <w:t>.</w:t>
      </w:r>
    </w:p>
    <w:p w14:paraId="096D8CAF" w14:textId="77777777" w:rsidR="00DC573C" w:rsidRDefault="00BD1FC2" w:rsidP="00C73E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C59B7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9B7">
        <w:rPr>
          <w:rFonts w:ascii="Times New Roman" w:hAnsi="Times New Roman" w:cs="Times New Roman"/>
          <w:sz w:val="28"/>
          <w:szCs w:val="28"/>
        </w:rPr>
        <w:t xml:space="preserve"> </w:t>
      </w:r>
      <w:r w:rsidR="0036462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36462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 xml:space="preserve"> (индикатор</w:t>
      </w:r>
      <w:r w:rsidR="0036462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C59B7">
        <w:rPr>
          <w:rFonts w:ascii="Times New Roman" w:eastAsia="Times New Roman" w:hAnsi="Times New Roman" w:cs="Times New Roman"/>
          <w:sz w:val="28"/>
          <w:szCs w:val="28"/>
        </w:rPr>
        <w:t>) реализации программы</w:t>
      </w:r>
      <w:r w:rsidR="00364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62E" w:rsidRPr="0036462E">
        <w:rPr>
          <w:rFonts w:ascii="Times New Roman" w:eastAsia="Times New Roman" w:hAnsi="Times New Roman" w:cs="Times New Roman"/>
          <w:sz w:val="28"/>
          <w:szCs w:val="28"/>
        </w:rPr>
        <w:t>аннулируются</w:t>
      </w:r>
      <w:r w:rsidR="0036462E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финансирования:</w:t>
      </w:r>
      <w:r w:rsidR="00DC573C" w:rsidRPr="00DC5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4F81C7" w14:textId="48C58667" w:rsidR="00DC573C" w:rsidRDefault="00DC573C" w:rsidP="00C73E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462E">
        <w:rPr>
          <w:rFonts w:ascii="Times New Roman" w:eastAsia="Times New Roman" w:hAnsi="Times New Roman" w:cs="Times New Roman"/>
          <w:sz w:val="28"/>
          <w:szCs w:val="28"/>
        </w:rPr>
        <w:t>в 2021, 2022, 2023 годах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8B8">
        <w:rPr>
          <w:rFonts w:ascii="Times New Roman" w:eastAsia="Times New Roman" w:hAnsi="Times New Roman" w:cs="Times New Roman"/>
          <w:sz w:val="28"/>
          <w:szCs w:val="28"/>
        </w:rPr>
        <w:t>по мероприятиям 1.1., 1.2., 1.7., 8.6., 8.7., 8.8., 8.9., 8.10., 8.11., 8.12.</w:t>
      </w:r>
      <w:r w:rsidR="00C73E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97F4E" w14:textId="41DD8DDC" w:rsidR="00C428B8" w:rsidRPr="00426065" w:rsidRDefault="00DC573C" w:rsidP="00C73E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8B8" w:rsidRPr="00C428B8">
        <w:rPr>
          <w:rFonts w:ascii="Times New Roman" w:eastAsia="Times New Roman" w:hAnsi="Times New Roman" w:cs="Times New Roman"/>
          <w:sz w:val="28"/>
          <w:szCs w:val="28"/>
        </w:rPr>
        <w:t>в 2022, 2023 годах по мероприятиям 1.</w:t>
      </w:r>
      <w:r w:rsidR="00C428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28B8" w:rsidRPr="00C428B8">
        <w:rPr>
          <w:rFonts w:ascii="Times New Roman" w:eastAsia="Times New Roman" w:hAnsi="Times New Roman" w:cs="Times New Roman"/>
          <w:sz w:val="28"/>
          <w:szCs w:val="28"/>
        </w:rPr>
        <w:t>., 1.</w:t>
      </w:r>
      <w:r w:rsidR="00C428B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428B8" w:rsidRPr="00C42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1F4E5A" w14:textId="2A668FF2" w:rsidR="00283408" w:rsidRPr="00F5301B" w:rsidRDefault="00D95183" w:rsidP="00C73E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301B">
        <w:rPr>
          <w:rFonts w:ascii="Times New Roman" w:eastAsia="Calibri" w:hAnsi="Times New Roman" w:cs="Times New Roman"/>
          <w:sz w:val="28"/>
          <w:szCs w:val="28"/>
        </w:rPr>
        <w:t>Вносимые изменения не окажут влияния на</w:t>
      </w:r>
      <w:r w:rsidR="00F5301B" w:rsidRPr="00F5301B">
        <w:rPr>
          <w:rFonts w:ascii="Times New Roman" w:eastAsia="Calibri" w:hAnsi="Times New Roman" w:cs="Times New Roman"/>
          <w:sz w:val="28"/>
          <w:szCs w:val="28"/>
        </w:rPr>
        <w:t xml:space="preserve"> значения </w:t>
      </w:r>
      <w:r w:rsidRPr="00F5301B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F5301B" w:rsidRPr="00F5301B">
        <w:rPr>
          <w:rFonts w:ascii="Times New Roman" w:eastAsia="Calibri" w:hAnsi="Times New Roman" w:cs="Times New Roman"/>
          <w:sz w:val="28"/>
          <w:szCs w:val="28"/>
        </w:rPr>
        <w:t>ей</w:t>
      </w:r>
      <w:r w:rsidRPr="00F5301B">
        <w:rPr>
          <w:rFonts w:ascii="Times New Roman" w:eastAsia="Calibri" w:hAnsi="Times New Roman" w:cs="Times New Roman"/>
          <w:sz w:val="28"/>
          <w:szCs w:val="28"/>
        </w:rPr>
        <w:t xml:space="preserve"> конечного результата муниципальной программы.</w:t>
      </w:r>
    </w:p>
    <w:p w14:paraId="509CEF42" w14:textId="255D369B" w:rsidR="00DC573C" w:rsidRDefault="00DC573C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4B200" w14:textId="432D6DBC" w:rsidR="004605AA" w:rsidRDefault="004605AA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7A6EE" w14:textId="77777777" w:rsidR="004605AA" w:rsidRDefault="004605AA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C8ACC" w14:textId="1571FA53" w:rsidR="00F8330E" w:rsidRPr="00F8330E" w:rsidRDefault="00E24442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43D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управления</w:t>
      </w:r>
      <w:r w:rsidRPr="001943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43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1943D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Дыченкова</w:t>
      </w:r>
      <w:proofErr w:type="spellEnd"/>
    </w:p>
    <w:p w14:paraId="1B22CF07" w14:textId="77777777" w:rsidR="00C73E29" w:rsidRDefault="00C73E29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0A149B" w14:textId="3390445F" w:rsidR="00C73E29" w:rsidRDefault="00C73E29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9BCDA6" w14:textId="342D2AAE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CB12BA" w14:textId="609A4847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D3BC6A" w14:textId="6AEFE235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C5F1D6" w14:textId="37DB457B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055600" w14:textId="51C1216E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2C544C" w14:textId="34AAD18F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8362ECC" w14:textId="71AE0566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120A39" w14:textId="1B1F0367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D23FF7" w14:textId="0FECAD64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C493D2" w14:textId="6167A57F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44DA8B" w14:textId="4C80E56E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EE8C20" w14:textId="65824EF6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31C1B11" w14:textId="784743FF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1089242" w14:textId="20DFDB4D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ECCCF9" w14:textId="0580488C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6BDF67" w14:textId="36664344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96A067" w14:textId="47947A57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263D2A" w14:textId="77777777" w:rsidR="004605AA" w:rsidRDefault="004605AA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3A48DC" w14:textId="77777777" w:rsidR="00C73E29" w:rsidRDefault="00C73E29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555AFC" w14:textId="77777777" w:rsidR="004605AA" w:rsidRDefault="00E24442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573C">
        <w:rPr>
          <w:rFonts w:ascii="Times New Roman" w:hAnsi="Times New Roman" w:cs="Times New Roman"/>
        </w:rPr>
        <w:t>С.В.</w:t>
      </w:r>
      <w:r w:rsidR="00EB5DC4" w:rsidRPr="00DC573C">
        <w:rPr>
          <w:rFonts w:ascii="Times New Roman" w:hAnsi="Times New Roman" w:cs="Times New Roman"/>
        </w:rPr>
        <w:t xml:space="preserve"> </w:t>
      </w:r>
      <w:r w:rsidRPr="00DC573C">
        <w:rPr>
          <w:rFonts w:ascii="Times New Roman" w:hAnsi="Times New Roman" w:cs="Times New Roman"/>
        </w:rPr>
        <w:t>Русакова</w:t>
      </w:r>
      <w:r w:rsidR="00283408" w:rsidRPr="00DC573C">
        <w:rPr>
          <w:rFonts w:ascii="Times New Roman" w:hAnsi="Times New Roman" w:cs="Times New Roman"/>
        </w:rPr>
        <w:t>,</w:t>
      </w:r>
      <w:r w:rsidR="00DC573C" w:rsidRPr="00DC573C">
        <w:rPr>
          <w:rFonts w:ascii="Times New Roman" w:hAnsi="Times New Roman" w:cs="Times New Roman"/>
        </w:rPr>
        <w:t xml:space="preserve"> </w:t>
      </w:r>
    </w:p>
    <w:p w14:paraId="4B89E92F" w14:textId="2C2BC5F0" w:rsidR="00E1195E" w:rsidRPr="00DC573C" w:rsidRDefault="00E1195E" w:rsidP="00F8330E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573C">
        <w:rPr>
          <w:rFonts w:ascii="Times New Roman" w:hAnsi="Times New Roman" w:cs="Times New Roman"/>
        </w:rPr>
        <w:t>54-46-34 (5010)</w:t>
      </w:r>
    </w:p>
    <w:sectPr w:rsidR="00E1195E" w:rsidRPr="00DC573C" w:rsidSect="004605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622F3"/>
    <w:rsid w:val="00062F4F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F477C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50EAE"/>
    <w:rsid w:val="0015568B"/>
    <w:rsid w:val="001557F3"/>
    <w:rsid w:val="00155B6F"/>
    <w:rsid w:val="00155F27"/>
    <w:rsid w:val="00160F7D"/>
    <w:rsid w:val="00164651"/>
    <w:rsid w:val="00167607"/>
    <w:rsid w:val="001700A0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BE4"/>
    <w:rsid w:val="001D0BED"/>
    <w:rsid w:val="001D5221"/>
    <w:rsid w:val="001D6378"/>
    <w:rsid w:val="001D6691"/>
    <w:rsid w:val="001D78A8"/>
    <w:rsid w:val="001D7FC7"/>
    <w:rsid w:val="001E0E4F"/>
    <w:rsid w:val="001E27FC"/>
    <w:rsid w:val="001F21D2"/>
    <w:rsid w:val="001F2AAF"/>
    <w:rsid w:val="001F446B"/>
    <w:rsid w:val="001F74F7"/>
    <w:rsid w:val="00201D69"/>
    <w:rsid w:val="00211E03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B3A97"/>
    <w:rsid w:val="002B7723"/>
    <w:rsid w:val="002B7832"/>
    <w:rsid w:val="002B79A9"/>
    <w:rsid w:val="002C0BB5"/>
    <w:rsid w:val="002C1530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42B87"/>
    <w:rsid w:val="00343DE2"/>
    <w:rsid w:val="00343F12"/>
    <w:rsid w:val="00347303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477A"/>
    <w:rsid w:val="003D58B5"/>
    <w:rsid w:val="003D5DC8"/>
    <w:rsid w:val="003E0031"/>
    <w:rsid w:val="003E39E2"/>
    <w:rsid w:val="003F32BC"/>
    <w:rsid w:val="003F3FAD"/>
    <w:rsid w:val="004074E6"/>
    <w:rsid w:val="00411B62"/>
    <w:rsid w:val="00417576"/>
    <w:rsid w:val="00422D37"/>
    <w:rsid w:val="00425A90"/>
    <w:rsid w:val="00426065"/>
    <w:rsid w:val="004373AB"/>
    <w:rsid w:val="00437653"/>
    <w:rsid w:val="00441646"/>
    <w:rsid w:val="00443327"/>
    <w:rsid w:val="00443DA8"/>
    <w:rsid w:val="0045133C"/>
    <w:rsid w:val="00452270"/>
    <w:rsid w:val="00455464"/>
    <w:rsid w:val="004605AA"/>
    <w:rsid w:val="004676CB"/>
    <w:rsid w:val="00471826"/>
    <w:rsid w:val="004729B9"/>
    <w:rsid w:val="00472A0C"/>
    <w:rsid w:val="00473CAB"/>
    <w:rsid w:val="004806D8"/>
    <w:rsid w:val="0048158C"/>
    <w:rsid w:val="004854B6"/>
    <w:rsid w:val="0048567B"/>
    <w:rsid w:val="00494297"/>
    <w:rsid w:val="004C00D6"/>
    <w:rsid w:val="004C66D1"/>
    <w:rsid w:val="004E0593"/>
    <w:rsid w:val="004E4D61"/>
    <w:rsid w:val="004E5A22"/>
    <w:rsid w:val="004F3864"/>
    <w:rsid w:val="004F46E8"/>
    <w:rsid w:val="0050217D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F0350"/>
    <w:rsid w:val="005F6E32"/>
    <w:rsid w:val="00601FD7"/>
    <w:rsid w:val="00604F29"/>
    <w:rsid w:val="0061337E"/>
    <w:rsid w:val="0061551A"/>
    <w:rsid w:val="00616239"/>
    <w:rsid w:val="00621B55"/>
    <w:rsid w:val="006239AC"/>
    <w:rsid w:val="0063241A"/>
    <w:rsid w:val="00637914"/>
    <w:rsid w:val="00643C64"/>
    <w:rsid w:val="00644505"/>
    <w:rsid w:val="00651D16"/>
    <w:rsid w:val="0065796B"/>
    <w:rsid w:val="00657C7F"/>
    <w:rsid w:val="00657F37"/>
    <w:rsid w:val="00661D12"/>
    <w:rsid w:val="00661D23"/>
    <w:rsid w:val="00676E81"/>
    <w:rsid w:val="0068312D"/>
    <w:rsid w:val="00687011"/>
    <w:rsid w:val="00690F95"/>
    <w:rsid w:val="0069214F"/>
    <w:rsid w:val="0069255D"/>
    <w:rsid w:val="006938E5"/>
    <w:rsid w:val="00695E0C"/>
    <w:rsid w:val="006A4567"/>
    <w:rsid w:val="006B0312"/>
    <w:rsid w:val="006B3AE6"/>
    <w:rsid w:val="006B4485"/>
    <w:rsid w:val="006C067A"/>
    <w:rsid w:val="006C0D59"/>
    <w:rsid w:val="006C40C0"/>
    <w:rsid w:val="006C5806"/>
    <w:rsid w:val="006C59F0"/>
    <w:rsid w:val="006C5BA6"/>
    <w:rsid w:val="006D0E34"/>
    <w:rsid w:val="006E3255"/>
    <w:rsid w:val="006E4195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F1"/>
    <w:rsid w:val="00747D60"/>
    <w:rsid w:val="00750B17"/>
    <w:rsid w:val="007536A9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E0A1A"/>
    <w:rsid w:val="007E34F8"/>
    <w:rsid w:val="007E4861"/>
    <w:rsid w:val="007F4338"/>
    <w:rsid w:val="007F7A4F"/>
    <w:rsid w:val="00807121"/>
    <w:rsid w:val="0080725D"/>
    <w:rsid w:val="00812AF4"/>
    <w:rsid w:val="0081358F"/>
    <w:rsid w:val="00813F58"/>
    <w:rsid w:val="0081715C"/>
    <w:rsid w:val="00823EE2"/>
    <w:rsid w:val="00832D18"/>
    <w:rsid w:val="00835C04"/>
    <w:rsid w:val="00847DE4"/>
    <w:rsid w:val="00854BF9"/>
    <w:rsid w:val="0085616F"/>
    <w:rsid w:val="00862B22"/>
    <w:rsid w:val="00862ED1"/>
    <w:rsid w:val="008642AD"/>
    <w:rsid w:val="00870E9C"/>
    <w:rsid w:val="00872B27"/>
    <w:rsid w:val="0087451C"/>
    <w:rsid w:val="00876867"/>
    <w:rsid w:val="008770C8"/>
    <w:rsid w:val="00877562"/>
    <w:rsid w:val="008840EE"/>
    <w:rsid w:val="00886B93"/>
    <w:rsid w:val="0089428D"/>
    <w:rsid w:val="008A3772"/>
    <w:rsid w:val="008A5954"/>
    <w:rsid w:val="008A7F9A"/>
    <w:rsid w:val="008B6B19"/>
    <w:rsid w:val="008C1323"/>
    <w:rsid w:val="008C290D"/>
    <w:rsid w:val="008C34BC"/>
    <w:rsid w:val="008D4AC9"/>
    <w:rsid w:val="008E1248"/>
    <w:rsid w:val="008E2031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358D"/>
    <w:rsid w:val="00950544"/>
    <w:rsid w:val="00952F9E"/>
    <w:rsid w:val="0095742F"/>
    <w:rsid w:val="009650FE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73B2"/>
    <w:rsid w:val="009C156D"/>
    <w:rsid w:val="009C18AC"/>
    <w:rsid w:val="009D0996"/>
    <w:rsid w:val="009D500B"/>
    <w:rsid w:val="009D622C"/>
    <w:rsid w:val="009E5EC1"/>
    <w:rsid w:val="009F3111"/>
    <w:rsid w:val="009F526A"/>
    <w:rsid w:val="00A015BA"/>
    <w:rsid w:val="00A01DC9"/>
    <w:rsid w:val="00A04BC9"/>
    <w:rsid w:val="00A123E3"/>
    <w:rsid w:val="00A15191"/>
    <w:rsid w:val="00A3624F"/>
    <w:rsid w:val="00A4345F"/>
    <w:rsid w:val="00A44387"/>
    <w:rsid w:val="00A507CE"/>
    <w:rsid w:val="00A5317D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53E0"/>
    <w:rsid w:val="00AD6097"/>
    <w:rsid w:val="00AE2DB7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61F02"/>
    <w:rsid w:val="00B75435"/>
    <w:rsid w:val="00B808B3"/>
    <w:rsid w:val="00B938E5"/>
    <w:rsid w:val="00BA0EBB"/>
    <w:rsid w:val="00BA2CF5"/>
    <w:rsid w:val="00BA749E"/>
    <w:rsid w:val="00BC0823"/>
    <w:rsid w:val="00BC0B83"/>
    <w:rsid w:val="00BC4335"/>
    <w:rsid w:val="00BD1FC2"/>
    <w:rsid w:val="00BE3BA8"/>
    <w:rsid w:val="00BE6865"/>
    <w:rsid w:val="00BF350C"/>
    <w:rsid w:val="00BF3882"/>
    <w:rsid w:val="00BF69FC"/>
    <w:rsid w:val="00C0390B"/>
    <w:rsid w:val="00C16FBD"/>
    <w:rsid w:val="00C31193"/>
    <w:rsid w:val="00C31880"/>
    <w:rsid w:val="00C375D7"/>
    <w:rsid w:val="00C428B8"/>
    <w:rsid w:val="00C608E5"/>
    <w:rsid w:val="00C60E20"/>
    <w:rsid w:val="00C718FE"/>
    <w:rsid w:val="00C72E9F"/>
    <w:rsid w:val="00C73E29"/>
    <w:rsid w:val="00C7620B"/>
    <w:rsid w:val="00C81EB3"/>
    <w:rsid w:val="00C83F99"/>
    <w:rsid w:val="00C861A6"/>
    <w:rsid w:val="00C8748A"/>
    <w:rsid w:val="00C910CB"/>
    <w:rsid w:val="00CB4A8D"/>
    <w:rsid w:val="00CC28B7"/>
    <w:rsid w:val="00CC3938"/>
    <w:rsid w:val="00CD41ED"/>
    <w:rsid w:val="00CE0A55"/>
    <w:rsid w:val="00CE21B8"/>
    <w:rsid w:val="00CE2FBC"/>
    <w:rsid w:val="00CF678D"/>
    <w:rsid w:val="00CF7F9F"/>
    <w:rsid w:val="00D04DBE"/>
    <w:rsid w:val="00D06550"/>
    <w:rsid w:val="00D07987"/>
    <w:rsid w:val="00D162E0"/>
    <w:rsid w:val="00D167CC"/>
    <w:rsid w:val="00D17932"/>
    <w:rsid w:val="00D17D70"/>
    <w:rsid w:val="00D219FE"/>
    <w:rsid w:val="00D26728"/>
    <w:rsid w:val="00D319F8"/>
    <w:rsid w:val="00D40533"/>
    <w:rsid w:val="00D4342D"/>
    <w:rsid w:val="00D4759F"/>
    <w:rsid w:val="00D55101"/>
    <w:rsid w:val="00D72529"/>
    <w:rsid w:val="00D753E8"/>
    <w:rsid w:val="00D75B9F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C070F"/>
    <w:rsid w:val="00DC4985"/>
    <w:rsid w:val="00DC573C"/>
    <w:rsid w:val="00DC6141"/>
    <w:rsid w:val="00DE4173"/>
    <w:rsid w:val="00DE7741"/>
    <w:rsid w:val="00DF2F00"/>
    <w:rsid w:val="00E022BC"/>
    <w:rsid w:val="00E1195E"/>
    <w:rsid w:val="00E20AA9"/>
    <w:rsid w:val="00E24442"/>
    <w:rsid w:val="00E24493"/>
    <w:rsid w:val="00E3258C"/>
    <w:rsid w:val="00E33BCC"/>
    <w:rsid w:val="00E50113"/>
    <w:rsid w:val="00E51CE7"/>
    <w:rsid w:val="00E54320"/>
    <w:rsid w:val="00E5450D"/>
    <w:rsid w:val="00E65956"/>
    <w:rsid w:val="00E7079F"/>
    <w:rsid w:val="00E84BD0"/>
    <w:rsid w:val="00E92F6D"/>
    <w:rsid w:val="00EA0711"/>
    <w:rsid w:val="00EA53F3"/>
    <w:rsid w:val="00EA74B0"/>
    <w:rsid w:val="00EB3EFF"/>
    <w:rsid w:val="00EB5DC4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97A"/>
    <w:rsid w:val="00F240D3"/>
    <w:rsid w:val="00F241C8"/>
    <w:rsid w:val="00F24329"/>
    <w:rsid w:val="00F2699F"/>
    <w:rsid w:val="00F3517F"/>
    <w:rsid w:val="00F52E08"/>
    <w:rsid w:val="00F5301B"/>
    <w:rsid w:val="00F5416D"/>
    <w:rsid w:val="00F63FC9"/>
    <w:rsid w:val="00F66308"/>
    <w:rsid w:val="00F66D07"/>
    <w:rsid w:val="00F67785"/>
    <w:rsid w:val="00F76EDB"/>
    <w:rsid w:val="00F8330E"/>
    <w:rsid w:val="00F94FED"/>
    <w:rsid w:val="00FA2735"/>
    <w:rsid w:val="00FB1EB6"/>
    <w:rsid w:val="00FB668C"/>
    <w:rsid w:val="00FC042E"/>
    <w:rsid w:val="00FC2BB6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Русакова Светлана Вячеславовна</cp:lastModifiedBy>
  <cp:revision>43</cp:revision>
  <cp:lastPrinted>2021-03-30T07:58:00Z</cp:lastPrinted>
  <dcterms:created xsi:type="dcterms:W3CDTF">2020-02-11T08:58:00Z</dcterms:created>
  <dcterms:modified xsi:type="dcterms:W3CDTF">2021-03-30T07:59:00Z</dcterms:modified>
</cp:coreProperties>
</file>