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0B" w:rsidRDefault="0060260B" w:rsidP="006026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60260B" w:rsidRPr="004E1CE9" w:rsidRDefault="0060260B" w:rsidP="0060260B">
      <w:pPr>
        <w:jc w:val="center"/>
        <w:rPr>
          <w:sz w:val="28"/>
          <w:szCs w:val="28"/>
        </w:rPr>
      </w:pPr>
      <w:r w:rsidRPr="004E1CE9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0260B" w:rsidRPr="004E1CE9" w:rsidRDefault="0060260B" w:rsidP="0060260B">
      <w:pPr>
        <w:jc w:val="center"/>
        <w:rPr>
          <w:sz w:val="28"/>
          <w:szCs w:val="28"/>
        </w:rPr>
      </w:pPr>
      <w:r>
        <w:rPr>
          <w:sz w:val="28"/>
        </w:rPr>
        <w:t>«</w:t>
      </w:r>
      <w:r w:rsidRPr="00B133A1">
        <w:rPr>
          <w:sz w:val="28"/>
        </w:rPr>
        <w:t>О</w:t>
      </w:r>
      <w:r>
        <w:rPr>
          <w:sz w:val="28"/>
        </w:rPr>
        <w:t xml:space="preserve">б утверждении положения о порядке проведения электронного аукциона </w:t>
      </w:r>
      <w:r w:rsidRPr="00B133A1">
        <w:rPr>
          <w:sz w:val="28"/>
          <w:szCs w:val="28"/>
        </w:rPr>
        <w:t>на право размещени</w:t>
      </w:r>
      <w:r>
        <w:rPr>
          <w:sz w:val="28"/>
          <w:szCs w:val="28"/>
        </w:rPr>
        <w:t>я</w:t>
      </w:r>
      <w:r w:rsidRPr="00B133A1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>ого</w:t>
      </w:r>
      <w:r w:rsidRPr="00B133A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 xml:space="preserve">ого </w:t>
      </w:r>
      <w:r w:rsidRPr="00B133A1">
        <w:rPr>
          <w:sz w:val="28"/>
          <w:szCs w:val="28"/>
        </w:rPr>
        <w:t>объект</w:t>
      </w:r>
      <w:r>
        <w:rPr>
          <w:sz w:val="28"/>
          <w:szCs w:val="28"/>
        </w:rPr>
        <w:t>а н</w:t>
      </w:r>
      <w:r w:rsidRPr="00B133A1">
        <w:rPr>
          <w:sz w:val="28"/>
        </w:rPr>
        <w:t>а территории городского округа Тольятти</w:t>
      </w:r>
      <w:r>
        <w:rPr>
          <w:sz w:val="28"/>
        </w:rPr>
        <w:t>»</w:t>
      </w:r>
    </w:p>
    <w:p w:rsidR="0060260B" w:rsidRPr="00464151" w:rsidRDefault="0060260B" w:rsidP="0060260B">
      <w:pPr>
        <w:pStyle w:val="ae"/>
        <w:jc w:val="center"/>
        <w:rPr>
          <w:sz w:val="28"/>
          <w:szCs w:val="28"/>
        </w:rPr>
      </w:pPr>
    </w:p>
    <w:p w:rsidR="0060260B" w:rsidRDefault="0060260B" w:rsidP="006026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0260B" w:rsidRDefault="0060260B" w:rsidP="006026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п. 3.34 </w:t>
      </w:r>
      <w:r w:rsidRPr="00D369D4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D369D4">
        <w:rPr>
          <w:sz w:val="28"/>
          <w:szCs w:val="28"/>
        </w:rPr>
        <w:t xml:space="preserve"> заключения договора на размещение нестационарного торгового объекта по итогам аукциона</w:t>
      </w:r>
      <w:r>
        <w:rPr>
          <w:sz w:val="28"/>
          <w:szCs w:val="28"/>
        </w:rPr>
        <w:t>, утвержденного постановление Правительства Самарской области от 02.08.2016 № 426 «О реализации отдельных полномочий в области государственного регулирования торговой деятельности» по инициативе уполномоченного органа возможно проведение аукциона в электронной форме на выбранной им электронной площадке и в соответствии с регламентом, определенным оператором данной площадки.</w:t>
      </w:r>
      <w:proofErr w:type="gramEnd"/>
      <w:r>
        <w:rPr>
          <w:sz w:val="28"/>
          <w:szCs w:val="28"/>
        </w:rPr>
        <w:t xml:space="preserve"> 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в электронной форме оформляется правовым актом уполномоченного органа.</w:t>
      </w:r>
    </w:p>
    <w:p w:rsidR="0060260B" w:rsidRDefault="0060260B" w:rsidP="006026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основании изложенного, а также в соответствии с поручением главы городского округа Тольятти </w:t>
      </w:r>
      <w:proofErr w:type="spellStart"/>
      <w:r>
        <w:rPr>
          <w:sz w:val="28"/>
          <w:szCs w:val="28"/>
        </w:rPr>
        <w:t>Анташева</w:t>
      </w:r>
      <w:proofErr w:type="spellEnd"/>
      <w:r>
        <w:rPr>
          <w:sz w:val="28"/>
          <w:szCs w:val="28"/>
        </w:rPr>
        <w:t xml:space="preserve"> С.А., </w:t>
      </w:r>
      <w:r w:rsidRPr="00464151">
        <w:rPr>
          <w:sz w:val="28"/>
          <w:szCs w:val="28"/>
        </w:rPr>
        <w:t>подготовлен проект постановления администрации городского округа Тольятти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B133A1">
        <w:rPr>
          <w:sz w:val="28"/>
        </w:rPr>
        <w:t>О</w:t>
      </w:r>
      <w:r>
        <w:rPr>
          <w:sz w:val="28"/>
        </w:rPr>
        <w:t xml:space="preserve">б утверждении положения о порядке проведения электронного аукциона </w:t>
      </w:r>
      <w:r w:rsidRPr="00B133A1">
        <w:rPr>
          <w:sz w:val="28"/>
          <w:szCs w:val="28"/>
        </w:rPr>
        <w:t>на право размещени</w:t>
      </w:r>
      <w:r>
        <w:rPr>
          <w:sz w:val="28"/>
          <w:szCs w:val="28"/>
        </w:rPr>
        <w:t>я</w:t>
      </w:r>
      <w:r w:rsidRPr="00B133A1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>ого</w:t>
      </w:r>
      <w:r w:rsidRPr="00B133A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 xml:space="preserve">ого </w:t>
      </w:r>
      <w:r w:rsidRPr="00B133A1">
        <w:rPr>
          <w:sz w:val="28"/>
          <w:szCs w:val="28"/>
        </w:rPr>
        <w:t>объект</w:t>
      </w:r>
      <w:r>
        <w:rPr>
          <w:sz w:val="28"/>
          <w:szCs w:val="28"/>
        </w:rPr>
        <w:t>а н</w:t>
      </w:r>
      <w:r w:rsidRPr="00B133A1">
        <w:rPr>
          <w:sz w:val="28"/>
        </w:rPr>
        <w:t>а территории городского округа Тольятти</w:t>
      </w:r>
      <w:r>
        <w:rPr>
          <w:sz w:val="28"/>
        </w:rPr>
        <w:t>».</w:t>
      </w:r>
    </w:p>
    <w:p w:rsidR="008960B1" w:rsidRPr="008960B1" w:rsidRDefault="0060260B" w:rsidP="008960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</w:rPr>
        <w:t>Необходимо отметить, что п</w:t>
      </w:r>
      <w:r w:rsidRPr="0094762D">
        <w:rPr>
          <w:sz w:val="28"/>
          <w:szCs w:val="28"/>
        </w:rPr>
        <w:t>остановление мэрии городского округа Тольятти от 09.11.2016 № 3545-п/1 «Об определении уполномоченного органа мэрии на проведение аукционов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</w:t>
      </w:r>
      <w:r>
        <w:rPr>
          <w:sz w:val="28"/>
          <w:szCs w:val="28"/>
        </w:rPr>
        <w:t>, а также п</w:t>
      </w:r>
      <w:r w:rsidRPr="0094762D">
        <w:rPr>
          <w:sz w:val="28"/>
          <w:szCs w:val="28"/>
        </w:rPr>
        <w:t xml:space="preserve">остановление мэрии городского округа Тольятти </w:t>
      </w:r>
      <w:r>
        <w:rPr>
          <w:sz w:val="28"/>
          <w:szCs w:val="28"/>
        </w:rPr>
        <w:t>от 18.11.2016</w:t>
      </w:r>
      <w:r>
        <w:rPr>
          <w:sz w:val="28"/>
          <w:szCs w:val="28"/>
        </w:rPr>
        <w:br/>
      </w:r>
      <w:r w:rsidRPr="0094762D">
        <w:rPr>
          <w:sz w:val="28"/>
          <w:szCs w:val="28"/>
        </w:rPr>
        <w:t>№ 3648-п/1 «О создании комиссии по проведению аукциона</w:t>
      </w:r>
      <w:proofErr w:type="gramEnd"/>
      <w:r w:rsidRPr="0094762D">
        <w:rPr>
          <w:sz w:val="28"/>
          <w:szCs w:val="28"/>
        </w:rPr>
        <w:t xml:space="preserve"> на право заключения </w:t>
      </w:r>
      <w:proofErr w:type="gramStart"/>
      <w:r w:rsidRPr="0094762D">
        <w:rPr>
          <w:sz w:val="28"/>
          <w:szCs w:val="28"/>
        </w:rPr>
        <w:t>договора</w:t>
      </w:r>
      <w:proofErr w:type="gramEnd"/>
      <w:r w:rsidRPr="0094762D">
        <w:rPr>
          <w:sz w:val="28"/>
          <w:szCs w:val="28"/>
        </w:rPr>
        <w:t xml:space="preserve"> на размещение нестационарного торгового объекта на территории городского округа Тольятти»</w:t>
      </w:r>
      <w:r>
        <w:rPr>
          <w:sz w:val="28"/>
          <w:szCs w:val="28"/>
        </w:rPr>
        <w:t xml:space="preserve"> могут быть признаны утратившими силу только после утверждения </w:t>
      </w:r>
      <w:r w:rsidRPr="00464151">
        <w:rPr>
          <w:sz w:val="28"/>
          <w:szCs w:val="28"/>
        </w:rPr>
        <w:t>постановления администрации городского округа Тольятти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B133A1">
        <w:rPr>
          <w:sz w:val="28"/>
        </w:rPr>
        <w:t>О</w:t>
      </w:r>
      <w:r>
        <w:rPr>
          <w:sz w:val="28"/>
        </w:rPr>
        <w:t xml:space="preserve">б утверждении положения о порядке проведения </w:t>
      </w:r>
      <w:r>
        <w:rPr>
          <w:sz w:val="28"/>
        </w:rPr>
        <w:lastRenderedPageBreak/>
        <w:t xml:space="preserve">электронного аукциона </w:t>
      </w:r>
      <w:r w:rsidRPr="00B133A1">
        <w:rPr>
          <w:sz w:val="28"/>
          <w:szCs w:val="28"/>
        </w:rPr>
        <w:t>на право размещени</w:t>
      </w:r>
      <w:r>
        <w:rPr>
          <w:sz w:val="28"/>
          <w:szCs w:val="28"/>
        </w:rPr>
        <w:t>я</w:t>
      </w:r>
      <w:r w:rsidRPr="00B133A1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>ого</w:t>
      </w:r>
      <w:r w:rsidRPr="00B133A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 xml:space="preserve">ого </w:t>
      </w:r>
      <w:r w:rsidRPr="00B133A1">
        <w:rPr>
          <w:sz w:val="28"/>
          <w:szCs w:val="28"/>
        </w:rPr>
        <w:t>объект</w:t>
      </w:r>
      <w:r>
        <w:rPr>
          <w:sz w:val="28"/>
          <w:szCs w:val="28"/>
        </w:rPr>
        <w:t>а н</w:t>
      </w:r>
      <w:r w:rsidRPr="00B133A1">
        <w:rPr>
          <w:sz w:val="28"/>
        </w:rPr>
        <w:t>а территории городского округа Тольятти</w:t>
      </w:r>
      <w:r>
        <w:rPr>
          <w:sz w:val="28"/>
        </w:rPr>
        <w:t xml:space="preserve">». Причиной является </w:t>
      </w:r>
      <w:r w:rsidRPr="001A30B0">
        <w:rPr>
          <w:sz w:val="28"/>
          <w:szCs w:val="28"/>
        </w:rPr>
        <w:t xml:space="preserve">необходимость проведения </w:t>
      </w:r>
      <w:r w:rsidRPr="000212D5">
        <w:rPr>
          <w:sz w:val="28"/>
          <w:szCs w:val="28"/>
        </w:rPr>
        <w:t>аукцион</w:t>
      </w:r>
      <w:r>
        <w:rPr>
          <w:sz w:val="28"/>
          <w:szCs w:val="28"/>
        </w:rPr>
        <w:t>ов</w:t>
      </w:r>
      <w:r w:rsidRPr="000212D5">
        <w:rPr>
          <w:sz w:val="28"/>
          <w:szCs w:val="28"/>
        </w:rPr>
        <w:t xml:space="preserve"> </w:t>
      </w:r>
      <w:proofErr w:type="gramStart"/>
      <w:r w:rsidRPr="000212D5">
        <w:rPr>
          <w:sz w:val="28"/>
          <w:szCs w:val="28"/>
        </w:rPr>
        <w:t>на право заключения договор</w:t>
      </w:r>
      <w:r>
        <w:rPr>
          <w:sz w:val="28"/>
          <w:szCs w:val="28"/>
        </w:rPr>
        <w:t>ов</w:t>
      </w:r>
      <w:r w:rsidRPr="000212D5">
        <w:rPr>
          <w:sz w:val="28"/>
          <w:szCs w:val="28"/>
        </w:rPr>
        <w:t xml:space="preserve"> на размещение нестационарн</w:t>
      </w:r>
      <w:r>
        <w:rPr>
          <w:sz w:val="28"/>
          <w:szCs w:val="28"/>
        </w:rPr>
        <w:t>ых</w:t>
      </w:r>
      <w:r w:rsidRPr="000212D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0212D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на территории городского округа Тольятти в строгом соответствии со </w:t>
      </w:r>
      <w:r w:rsidRPr="001A30B0">
        <w:rPr>
          <w:sz w:val="28"/>
          <w:szCs w:val="28"/>
        </w:rPr>
        <w:t>срок</w:t>
      </w:r>
      <w:r>
        <w:rPr>
          <w:sz w:val="28"/>
          <w:szCs w:val="28"/>
        </w:rPr>
        <w:t>ами</w:t>
      </w:r>
      <w:proofErr w:type="gramEnd"/>
      <w:r w:rsidRPr="001A30B0">
        <w:rPr>
          <w:sz w:val="28"/>
          <w:szCs w:val="28"/>
        </w:rPr>
        <w:t xml:space="preserve"> размещения </w:t>
      </w:r>
      <w:r>
        <w:rPr>
          <w:sz w:val="28"/>
          <w:szCs w:val="28"/>
        </w:rPr>
        <w:t xml:space="preserve">сезонных </w:t>
      </w:r>
      <w:r w:rsidRPr="001A30B0">
        <w:rPr>
          <w:sz w:val="28"/>
          <w:szCs w:val="28"/>
        </w:rPr>
        <w:t>нестационарных торговых объектов, предусмотренны</w:t>
      </w:r>
      <w:r>
        <w:rPr>
          <w:sz w:val="28"/>
          <w:szCs w:val="28"/>
        </w:rPr>
        <w:t>ми</w:t>
      </w:r>
      <w:r w:rsidRPr="001A30B0">
        <w:rPr>
          <w:sz w:val="28"/>
          <w:szCs w:val="28"/>
        </w:rPr>
        <w:t xml:space="preserve"> Схемой размещения нестационарных торговых объектов на территории городского округа Тольятти, утвержденной постановлением администрации городского округа Тольятти от 11.04.2018 № 1142-п/1.</w:t>
      </w:r>
      <w:r w:rsidR="008960B1">
        <w:rPr>
          <w:sz w:val="28"/>
          <w:szCs w:val="28"/>
        </w:rPr>
        <w:t xml:space="preserve"> </w:t>
      </w:r>
      <w:proofErr w:type="gramStart"/>
      <w:r w:rsidR="008960B1">
        <w:rPr>
          <w:sz w:val="28"/>
          <w:szCs w:val="28"/>
        </w:rPr>
        <w:t xml:space="preserve">Так, 28.01.2021 г. отделом развития потребительского рынка </w:t>
      </w:r>
      <w:r w:rsidR="008960B1" w:rsidRPr="008960B1">
        <w:rPr>
          <w:sz w:val="28"/>
          <w:szCs w:val="28"/>
        </w:rPr>
        <w:t>на официальном портале администрации городского округа Тольятти размещено извещение</w:t>
      </w:r>
      <w:r w:rsidR="008960B1">
        <w:rPr>
          <w:sz w:val="28"/>
          <w:szCs w:val="28"/>
        </w:rPr>
        <w:t xml:space="preserve"> </w:t>
      </w:r>
      <w:r w:rsidR="008960B1" w:rsidRPr="008960B1">
        <w:rPr>
          <w:sz w:val="28"/>
          <w:szCs w:val="28"/>
        </w:rPr>
        <w:t>№ 1 о проведении аукциона на право заключения договоров на размещение нестационарных торговых объектов на</w:t>
      </w:r>
      <w:r w:rsidR="008960B1" w:rsidRPr="008960B1">
        <w:rPr>
          <w:rFonts w:eastAsia="Calibri"/>
          <w:sz w:val="28"/>
          <w:szCs w:val="28"/>
        </w:rPr>
        <w:t xml:space="preserve">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Тольятти, включающее</w:t>
      </w:r>
      <w:proofErr w:type="gramEnd"/>
      <w:r w:rsidR="008960B1">
        <w:rPr>
          <w:rFonts w:eastAsia="Calibri"/>
          <w:sz w:val="28"/>
          <w:szCs w:val="28"/>
        </w:rPr>
        <w:t xml:space="preserve"> </w:t>
      </w:r>
      <w:r w:rsidR="008960B1" w:rsidRPr="008960B1">
        <w:rPr>
          <w:rFonts w:eastAsia="Calibri"/>
          <w:sz w:val="28"/>
          <w:szCs w:val="28"/>
        </w:rPr>
        <w:t>139 мест размещения сезонных продовольственных кеговых установок по реализации кваса.</w:t>
      </w:r>
      <w:r w:rsidR="008960B1">
        <w:rPr>
          <w:rFonts w:eastAsia="Calibri"/>
          <w:sz w:val="28"/>
          <w:szCs w:val="28"/>
        </w:rPr>
        <w:t xml:space="preserve"> Д</w:t>
      </w:r>
      <w:r w:rsidR="008960B1" w:rsidRPr="008960B1">
        <w:rPr>
          <w:sz w:val="28"/>
          <w:szCs w:val="28"/>
        </w:rPr>
        <w:t xml:space="preserve">ата </w:t>
      </w:r>
      <w:r w:rsidR="008960B1">
        <w:rPr>
          <w:sz w:val="28"/>
          <w:szCs w:val="28"/>
        </w:rPr>
        <w:t>проведения аукциона -</w:t>
      </w:r>
      <w:r w:rsidR="008960B1">
        <w:rPr>
          <w:sz w:val="28"/>
          <w:szCs w:val="28"/>
        </w:rPr>
        <w:br/>
      </w:r>
      <w:r w:rsidR="008960B1" w:rsidRPr="008960B1">
        <w:rPr>
          <w:sz w:val="28"/>
          <w:szCs w:val="28"/>
        </w:rPr>
        <w:t>05.03.2021</w:t>
      </w:r>
      <w:r w:rsidR="008960B1">
        <w:rPr>
          <w:sz w:val="28"/>
          <w:szCs w:val="28"/>
        </w:rPr>
        <w:t xml:space="preserve"> г.</w:t>
      </w:r>
    </w:p>
    <w:p w:rsidR="0060260B" w:rsidRPr="008960B1" w:rsidRDefault="0060260B" w:rsidP="006026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0260B" w:rsidRDefault="0060260B" w:rsidP="0060260B">
      <w:pPr>
        <w:pStyle w:val="12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0260B" w:rsidRDefault="0060260B" w:rsidP="00602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отдела развития</w:t>
      </w:r>
    </w:p>
    <w:p w:rsidR="0060260B" w:rsidRDefault="0060260B" w:rsidP="00602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                                                                        Н.В. Трудова</w:t>
      </w:r>
    </w:p>
    <w:p w:rsidR="0060260B" w:rsidRDefault="0060260B" w:rsidP="0060260B">
      <w:pPr>
        <w:spacing w:line="276" w:lineRule="auto"/>
        <w:jc w:val="both"/>
        <w:rPr>
          <w:sz w:val="28"/>
          <w:szCs w:val="28"/>
        </w:rPr>
      </w:pPr>
    </w:p>
    <w:p w:rsidR="0060260B" w:rsidRDefault="0060260B" w:rsidP="0060260B">
      <w:pPr>
        <w:spacing w:line="276" w:lineRule="auto"/>
        <w:jc w:val="both"/>
        <w:rPr>
          <w:sz w:val="28"/>
          <w:szCs w:val="28"/>
        </w:rPr>
      </w:pPr>
    </w:p>
    <w:p w:rsidR="0060260B" w:rsidRDefault="0060260B" w:rsidP="0060260B">
      <w:pPr>
        <w:spacing w:line="276" w:lineRule="auto"/>
        <w:jc w:val="both"/>
        <w:rPr>
          <w:sz w:val="28"/>
          <w:szCs w:val="28"/>
        </w:rPr>
      </w:pPr>
    </w:p>
    <w:p w:rsidR="0060260B" w:rsidRDefault="0060260B" w:rsidP="0060260B">
      <w:pPr>
        <w:spacing w:line="276" w:lineRule="auto"/>
        <w:jc w:val="both"/>
        <w:rPr>
          <w:sz w:val="28"/>
          <w:szCs w:val="28"/>
        </w:rPr>
      </w:pPr>
    </w:p>
    <w:p w:rsidR="0060260B" w:rsidRDefault="0060260B" w:rsidP="0060260B">
      <w:pPr>
        <w:spacing w:line="276" w:lineRule="auto"/>
        <w:jc w:val="both"/>
        <w:rPr>
          <w:sz w:val="28"/>
          <w:szCs w:val="28"/>
        </w:rPr>
      </w:pPr>
    </w:p>
    <w:p w:rsidR="0060260B" w:rsidRDefault="0060260B" w:rsidP="0060260B">
      <w:pPr>
        <w:spacing w:line="276" w:lineRule="auto"/>
        <w:jc w:val="both"/>
        <w:rPr>
          <w:sz w:val="28"/>
          <w:szCs w:val="28"/>
        </w:rPr>
      </w:pPr>
    </w:p>
    <w:p w:rsidR="0060260B" w:rsidRDefault="0060260B" w:rsidP="0060260B">
      <w:pPr>
        <w:spacing w:line="276" w:lineRule="auto"/>
        <w:jc w:val="both"/>
        <w:rPr>
          <w:sz w:val="28"/>
          <w:szCs w:val="28"/>
        </w:rPr>
      </w:pPr>
    </w:p>
    <w:p w:rsidR="0060260B" w:rsidRDefault="0060260B" w:rsidP="0060260B">
      <w:pPr>
        <w:spacing w:line="276" w:lineRule="auto"/>
        <w:jc w:val="both"/>
        <w:rPr>
          <w:sz w:val="28"/>
          <w:szCs w:val="28"/>
        </w:rPr>
      </w:pPr>
    </w:p>
    <w:p w:rsidR="0060260B" w:rsidRDefault="0060260B" w:rsidP="0060260B">
      <w:pPr>
        <w:spacing w:line="276" w:lineRule="auto"/>
        <w:jc w:val="both"/>
        <w:rPr>
          <w:sz w:val="28"/>
          <w:szCs w:val="28"/>
        </w:rPr>
      </w:pPr>
    </w:p>
    <w:p w:rsidR="0060260B" w:rsidRDefault="0060260B" w:rsidP="0060260B">
      <w:pPr>
        <w:spacing w:line="276" w:lineRule="auto"/>
        <w:jc w:val="both"/>
        <w:rPr>
          <w:sz w:val="28"/>
          <w:szCs w:val="28"/>
        </w:rPr>
      </w:pPr>
    </w:p>
    <w:p w:rsidR="008960B1" w:rsidRDefault="008960B1" w:rsidP="0060260B">
      <w:pPr>
        <w:spacing w:line="276" w:lineRule="auto"/>
        <w:jc w:val="both"/>
        <w:rPr>
          <w:sz w:val="28"/>
          <w:szCs w:val="28"/>
        </w:rPr>
      </w:pPr>
    </w:p>
    <w:p w:rsidR="0060260B" w:rsidRPr="0094762D" w:rsidRDefault="0060260B" w:rsidP="0060260B">
      <w:pPr>
        <w:jc w:val="both"/>
        <w:rPr>
          <w:sz w:val="24"/>
          <w:szCs w:val="24"/>
        </w:rPr>
      </w:pPr>
      <w:r w:rsidRPr="0094762D">
        <w:rPr>
          <w:sz w:val="24"/>
          <w:szCs w:val="24"/>
        </w:rPr>
        <w:t>Балашова Д.М., 54-32-51</w:t>
      </w:r>
    </w:p>
    <w:p w:rsidR="00713DB1" w:rsidRDefault="0060260B" w:rsidP="00506887">
      <w:pPr>
        <w:jc w:val="both"/>
        <w:rPr>
          <w:sz w:val="28"/>
        </w:rPr>
      </w:pPr>
      <w:proofErr w:type="spellStart"/>
      <w:r w:rsidRPr="0094762D">
        <w:rPr>
          <w:sz w:val="24"/>
          <w:szCs w:val="24"/>
        </w:rPr>
        <w:t>Хикмиева</w:t>
      </w:r>
      <w:proofErr w:type="spellEnd"/>
      <w:r w:rsidRPr="0094762D">
        <w:rPr>
          <w:sz w:val="24"/>
          <w:szCs w:val="24"/>
        </w:rPr>
        <w:t xml:space="preserve"> А.П., 54-32-53</w:t>
      </w:r>
    </w:p>
    <w:sectPr w:rsidR="00713DB1" w:rsidSect="003F7A4D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C5131"/>
    <w:multiLevelType w:val="hybridMultilevel"/>
    <w:tmpl w:val="76E2161A"/>
    <w:lvl w:ilvl="0" w:tplc="A8D47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67077"/>
    <w:multiLevelType w:val="multilevel"/>
    <w:tmpl w:val="B52CF032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Calibri" w:hint="default"/>
      </w:rPr>
    </w:lvl>
  </w:abstractNum>
  <w:abstractNum w:abstractNumId="1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0F3A1A"/>
    <w:multiLevelType w:val="multilevel"/>
    <w:tmpl w:val="720E0DC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11"/>
    <w:rsid w:val="000151DE"/>
    <w:rsid w:val="000177A6"/>
    <w:rsid w:val="00044844"/>
    <w:rsid w:val="000529DD"/>
    <w:rsid w:val="00055EDD"/>
    <w:rsid w:val="00067582"/>
    <w:rsid w:val="0007342C"/>
    <w:rsid w:val="000824BC"/>
    <w:rsid w:val="00096851"/>
    <w:rsid w:val="000A426F"/>
    <w:rsid w:val="000A4DBE"/>
    <w:rsid w:val="000B0B5E"/>
    <w:rsid w:val="000B0E1D"/>
    <w:rsid w:val="000B68FF"/>
    <w:rsid w:val="000C1BEA"/>
    <w:rsid w:val="000C3815"/>
    <w:rsid w:val="000D0E9D"/>
    <w:rsid w:val="000D6440"/>
    <w:rsid w:val="000E089A"/>
    <w:rsid w:val="000E257B"/>
    <w:rsid w:val="0010060D"/>
    <w:rsid w:val="001115E4"/>
    <w:rsid w:val="0012271F"/>
    <w:rsid w:val="0012635A"/>
    <w:rsid w:val="00136D5F"/>
    <w:rsid w:val="00143185"/>
    <w:rsid w:val="0014573D"/>
    <w:rsid w:val="0015119E"/>
    <w:rsid w:val="00151F5A"/>
    <w:rsid w:val="00160B10"/>
    <w:rsid w:val="00162CCA"/>
    <w:rsid w:val="00163BE0"/>
    <w:rsid w:val="00166E66"/>
    <w:rsid w:val="00167680"/>
    <w:rsid w:val="00177A76"/>
    <w:rsid w:val="001818F6"/>
    <w:rsid w:val="00193C67"/>
    <w:rsid w:val="001A1502"/>
    <w:rsid w:val="001A30B0"/>
    <w:rsid w:val="001A48B8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44D"/>
    <w:rsid w:val="002235A3"/>
    <w:rsid w:val="0023148E"/>
    <w:rsid w:val="00232069"/>
    <w:rsid w:val="0023327B"/>
    <w:rsid w:val="002438D4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D56FE"/>
    <w:rsid w:val="002F418F"/>
    <w:rsid w:val="00302C3F"/>
    <w:rsid w:val="0030323D"/>
    <w:rsid w:val="0030359C"/>
    <w:rsid w:val="00310C1F"/>
    <w:rsid w:val="00334C8A"/>
    <w:rsid w:val="00344096"/>
    <w:rsid w:val="003738F7"/>
    <w:rsid w:val="00380464"/>
    <w:rsid w:val="003811BC"/>
    <w:rsid w:val="00384E81"/>
    <w:rsid w:val="00392898"/>
    <w:rsid w:val="003A2C24"/>
    <w:rsid w:val="003B0946"/>
    <w:rsid w:val="003B17D4"/>
    <w:rsid w:val="003B317E"/>
    <w:rsid w:val="003D2B41"/>
    <w:rsid w:val="003F7A4D"/>
    <w:rsid w:val="00402588"/>
    <w:rsid w:val="00412E4E"/>
    <w:rsid w:val="00413802"/>
    <w:rsid w:val="00415A4B"/>
    <w:rsid w:val="00417CEB"/>
    <w:rsid w:val="004300DD"/>
    <w:rsid w:val="00436473"/>
    <w:rsid w:val="00437B71"/>
    <w:rsid w:val="00454D28"/>
    <w:rsid w:val="00460789"/>
    <w:rsid w:val="00473442"/>
    <w:rsid w:val="004906B2"/>
    <w:rsid w:val="004B3651"/>
    <w:rsid w:val="004B5A43"/>
    <w:rsid w:val="004C12E9"/>
    <w:rsid w:val="004C1C20"/>
    <w:rsid w:val="004C606F"/>
    <w:rsid w:val="004E1CE9"/>
    <w:rsid w:val="004F1B7F"/>
    <w:rsid w:val="005002DA"/>
    <w:rsid w:val="00504A9A"/>
    <w:rsid w:val="00506887"/>
    <w:rsid w:val="00520DB1"/>
    <w:rsid w:val="00553297"/>
    <w:rsid w:val="005611D4"/>
    <w:rsid w:val="005733A0"/>
    <w:rsid w:val="00580D3F"/>
    <w:rsid w:val="0058551D"/>
    <w:rsid w:val="00591084"/>
    <w:rsid w:val="00595538"/>
    <w:rsid w:val="005A3BEE"/>
    <w:rsid w:val="005A6DF1"/>
    <w:rsid w:val="005A7ABC"/>
    <w:rsid w:val="005B0CFF"/>
    <w:rsid w:val="005C3798"/>
    <w:rsid w:val="005D48C8"/>
    <w:rsid w:val="005F29C3"/>
    <w:rsid w:val="0060260B"/>
    <w:rsid w:val="00602DA3"/>
    <w:rsid w:val="006411AF"/>
    <w:rsid w:val="00662029"/>
    <w:rsid w:val="0066599C"/>
    <w:rsid w:val="00675DAE"/>
    <w:rsid w:val="00680633"/>
    <w:rsid w:val="0068485F"/>
    <w:rsid w:val="0069078B"/>
    <w:rsid w:val="006961DD"/>
    <w:rsid w:val="006A48E8"/>
    <w:rsid w:val="006B1E87"/>
    <w:rsid w:val="006B7F98"/>
    <w:rsid w:val="006C5548"/>
    <w:rsid w:val="006C7E95"/>
    <w:rsid w:val="006E0416"/>
    <w:rsid w:val="006E1071"/>
    <w:rsid w:val="006E366B"/>
    <w:rsid w:val="006F0015"/>
    <w:rsid w:val="006F6624"/>
    <w:rsid w:val="006F74E7"/>
    <w:rsid w:val="006F792B"/>
    <w:rsid w:val="00701E4F"/>
    <w:rsid w:val="00703D3A"/>
    <w:rsid w:val="007110D0"/>
    <w:rsid w:val="00713DB1"/>
    <w:rsid w:val="007239D3"/>
    <w:rsid w:val="00750A03"/>
    <w:rsid w:val="00751D5E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4D4D"/>
    <w:rsid w:val="007D2268"/>
    <w:rsid w:val="007E5532"/>
    <w:rsid w:val="007F1557"/>
    <w:rsid w:val="007F15D2"/>
    <w:rsid w:val="007F76F8"/>
    <w:rsid w:val="00814BD2"/>
    <w:rsid w:val="00824A17"/>
    <w:rsid w:val="00851326"/>
    <w:rsid w:val="00852B14"/>
    <w:rsid w:val="00855D97"/>
    <w:rsid w:val="00856ACF"/>
    <w:rsid w:val="00861819"/>
    <w:rsid w:val="0087204F"/>
    <w:rsid w:val="00872D67"/>
    <w:rsid w:val="00881D2C"/>
    <w:rsid w:val="00884C91"/>
    <w:rsid w:val="00891315"/>
    <w:rsid w:val="00893571"/>
    <w:rsid w:val="008960B1"/>
    <w:rsid w:val="008A25CA"/>
    <w:rsid w:val="008A6A84"/>
    <w:rsid w:val="008A7AE9"/>
    <w:rsid w:val="008A7B11"/>
    <w:rsid w:val="008A7DC3"/>
    <w:rsid w:val="008B09F8"/>
    <w:rsid w:val="008C5C23"/>
    <w:rsid w:val="008E3C34"/>
    <w:rsid w:val="008E5ECC"/>
    <w:rsid w:val="008E6567"/>
    <w:rsid w:val="008F520D"/>
    <w:rsid w:val="00900EE8"/>
    <w:rsid w:val="00902A17"/>
    <w:rsid w:val="0091171B"/>
    <w:rsid w:val="009246FD"/>
    <w:rsid w:val="0093710E"/>
    <w:rsid w:val="0094762D"/>
    <w:rsid w:val="00947732"/>
    <w:rsid w:val="00951B75"/>
    <w:rsid w:val="00954C37"/>
    <w:rsid w:val="00957F23"/>
    <w:rsid w:val="00967295"/>
    <w:rsid w:val="00972B7F"/>
    <w:rsid w:val="00986991"/>
    <w:rsid w:val="00987668"/>
    <w:rsid w:val="009C0B7D"/>
    <w:rsid w:val="009D102A"/>
    <w:rsid w:val="009D23C5"/>
    <w:rsid w:val="00A0010B"/>
    <w:rsid w:val="00A138C3"/>
    <w:rsid w:val="00A15EB7"/>
    <w:rsid w:val="00A20558"/>
    <w:rsid w:val="00A225EF"/>
    <w:rsid w:val="00A27DA4"/>
    <w:rsid w:val="00A32847"/>
    <w:rsid w:val="00A32A43"/>
    <w:rsid w:val="00A53E1A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B2E80"/>
    <w:rsid w:val="00AB5D42"/>
    <w:rsid w:val="00AC77FB"/>
    <w:rsid w:val="00AD1041"/>
    <w:rsid w:val="00AD5870"/>
    <w:rsid w:val="00AE2012"/>
    <w:rsid w:val="00AE7380"/>
    <w:rsid w:val="00B00779"/>
    <w:rsid w:val="00B00B4E"/>
    <w:rsid w:val="00B0273D"/>
    <w:rsid w:val="00B24512"/>
    <w:rsid w:val="00B34275"/>
    <w:rsid w:val="00B46D8A"/>
    <w:rsid w:val="00B5429C"/>
    <w:rsid w:val="00B561D6"/>
    <w:rsid w:val="00B60CFB"/>
    <w:rsid w:val="00B734FA"/>
    <w:rsid w:val="00B86AC1"/>
    <w:rsid w:val="00B9264B"/>
    <w:rsid w:val="00B92AD9"/>
    <w:rsid w:val="00B975D8"/>
    <w:rsid w:val="00BA0577"/>
    <w:rsid w:val="00BA5F78"/>
    <w:rsid w:val="00BC3073"/>
    <w:rsid w:val="00BD2360"/>
    <w:rsid w:val="00BE6002"/>
    <w:rsid w:val="00BF26AA"/>
    <w:rsid w:val="00BF3F27"/>
    <w:rsid w:val="00C0224C"/>
    <w:rsid w:val="00C35E2D"/>
    <w:rsid w:val="00C47E0D"/>
    <w:rsid w:val="00C56E4E"/>
    <w:rsid w:val="00C62F99"/>
    <w:rsid w:val="00C66991"/>
    <w:rsid w:val="00C77D62"/>
    <w:rsid w:val="00C86423"/>
    <w:rsid w:val="00C869F4"/>
    <w:rsid w:val="00C93ADD"/>
    <w:rsid w:val="00CB3E97"/>
    <w:rsid w:val="00CB631E"/>
    <w:rsid w:val="00CE4807"/>
    <w:rsid w:val="00CE484D"/>
    <w:rsid w:val="00CF49E6"/>
    <w:rsid w:val="00D06543"/>
    <w:rsid w:val="00D168D5"/>
    <w:rsid w:val="00D254D4"/>
    <w:rsid w:val="00D369D4"/>
    <w:rsid w:val="00D574E7"/>
    <w:rsid w:val="00D6430B"/>
    <w:rsid w:val="00D66DD8"/>
    <w:rsid w:val="00D67BD9"/>
    <w:rsid w:val="00D8378C"/>
    <w:rsid w:val="00D84B1A"/>
    <w:rsid w:val="00DA4D46"/>
    <w:rsid w:val="00DC2CCF"/>
    <w:rsid w:val="00DC4EE5"/>
    <w:rsid w:val="00DD48E0"/>
    <w:rsid w:val="00DE6725"/>
    <w:rsid w:val="00DF18EE"/>
    <w:rsid w:val="00DF34A3"/>
    <w:rsid w:val="00DF4D45"/>
    <w:rsid w:val="00E13A66"/>
    <w:rsid w:val="00E20831"/>
    <w:rsid w:val="00E20CD7"/>
    <w:rsid w:val="00E359FB"/>
    <w:rsid w:val="00E40A9B"/>
    <w:rsid w:val="00E47D60"/>
    <w:rsid w:val="00E60D68"/>
    <w:rsid w:val="00E76DDA"/>
    <w:rsid w:val="00E8790A"/>
    <w:rsid w:val="00E962B3"/>
    <w:rsid w:val="00EA268A"/>
    <w:rsid w:val="00EA5164"/>
    <w:rsid w:val="00EB22FA"/>
    <w:rsid w:val="00EB55B4"/>
    <w:rsid w:val="00EB5818"/>
    <w:rsid w:val="00EC49C4"/>
    <w:rsid w:val="00EC49FC"/>
    <w:rsid w:val="00EC6CD2"/>
    <w:rsid w:val="00ED2045"/>
    <w:rsid w:val="00EE31DE"/>
    <w:rsid w:val="00F01F0C"/>
    <w:rsid w:val="00F01F36"/>
    <w:rsid w:val="00F02F5F"/>
    <w:rsid w:val="00F16711"/>
    <w:rsid w:val="00F4734D"/>
    <w:rsid w:val="00F5163E"/>
    <w:rsid w:val="00F670C8"/>
    <w:rsid w:val="00F7113C"/>
    <w:rsid w:val="00F8210A"/>
    <w:rsid w:val="00F9147A"/>
    <w:rsid w:val="00FD20E0"/>
    <w:rsid w:val="00FD2342"/>
    <w:rsid w:val="00FE0B4C"/>
    <w:rsid w:val="00FE4659"/>
    <w:rsid w:val="00FE4B3C"/>
    <w:rsid w:val="00FF513D"/>
    <w:rsid w:val="00FF6508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  <w:style w:type="paragraph" w:customStyle="1" w:styleId="ConsPlusTitle">
    <w:name w:val="ConsPlusTitle"/>
    <w:rsid w:val="00436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rsid w:val="008960B1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713DB1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paragraph" w:customStyle="1" w:styleId="Default">
    <w:name w:val="Default"/>
    <w:rsid w:val="00C864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  <w:style w:type="paragraph" w:customStyle="1" w:styleId="ConsPlusTitle">
    <w:name w:val="ConsPlusTitle"/>
    <w:rsid w:val="00436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rsid w:val="008960B1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713DB1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paragraph" w:customStyle="1" w:styleId="Default">
    <w:name w:val="Default"/>
    <w:rsid w:val="00C864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9F1A-EACA-43C4-9254-5E35E033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Трудова Наталья Владимировна</cp:lastModifiedBy>
  <cp:revision>2</cp:revision>
  <cp:lastPrinted>2018-01-30T06:21:00Z</cp:lastPrinted>
  <dcterms:created xsi:type="dcterms:W3CDTF">2021-02-18T10:33:00Z</dcterms:created>
  <dcterms:modified xsi:type="dcterms:W3CDTF">2021-02-18T10:33:00Z</dcterms:modified>
</cp:coreProperties>
</file>