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1A4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ПОЯСНИТЕЛЬНАЯ ЗАПИСКА</w:t>
      </w:r>
    </w:p>
    <w:p w14:paraId="29CA98BC" w14:textId="77777777" w:rsidR="00C55EF7" w:rsidRPr="001066D0" w:rsidRDefault="00C55EF7" w:rsidP="006B1E87">
      <w:pPr>
        <w:jc w:val="center"/>
        <w:rPr>
          <w:sz w:val="28"/>
          <w:szCs w:val="28"/>
        </w:rPr>
      </w:pPr>
    </w:p>
    <w:p w14:paraId="5C523B10" w14:textId="77777777" w:rsidR="006B1E87" w:rsidRDefault="006B1E87" w:rsidP="006B1E87">
      <w:pPr>
        <w:jc w:val="center"/>
        <w:rPr>
          <w:sz w:val="28"/>
          <w:szCs w:val="28"/>
        </w:rPr>
      </w:pPr>
      <w:r w:rsidRPr="001066D0"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59B0BBB0" w14:textId="77777777" w:rsidR="00CE4EF8" w:rsidRPr="001066D0" w:rsidRDefault="00CE4EF8" w:rsidP="006B1E87">
      <w:pPr>
        <w:jc w:val="center"/>
        <w:rPr>
          <w:sz w:val="28"/>
          <w:szCs w:val="28"/>
        </w:rPr>
      </w:pPr>
    </w:p>
    <w:p w14:paraId="6C1D37D6" w14:textId="2BA85BCE" w:rsidR="00C55EF7" w:rsidRPr="00EB2901" w:rsidRDefault="00C55EF7" w:rsidP="00C55EF7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«</w:t>
      </w:r>
      <w:r w:rsidR="004E201D">
        <w:rPr>
          <w:sz w:val="28"/>
          <w:szCs w:val="28"/>
        </w:rPr>
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</w:r>
    </w:p>
    <w:p w14:paraId="37F3F1F9" w14:textId="77777777" w:rsidR="00AD7EF9" w:rsidRPr="001066D0" w:rsidRDefault="00AD7EF9" w:rsidP="00AA251C">
      <w:pPr>
        <w:jc w:val="center"/>
        <w:rPr>
          <w:sz w:val="28"/>
          <w:szCs w:val="28"/>
        </w:rPr>
      </w:pPr>
    </w:p>
    <w:p w14:paraId="350327A8" w14:textId="70E309AD" w:rsidR="00122326" w:rsidRPr="00195655" w:rsidRDefault="00122326" w:rsidP="00323FDF">
      <w:pPr>
        <w:spacing w:line="276" w:lineRule="auto"/>
        <w:ind w:firstLine="709"/>
        <w:jc w:val="both"/>
        <w:rPr>
          <w:sz w:val="28"/>
          <w:szCs w:val="28"/>
        </w:rPr>
      </w:pPr>
      <w:r w:rsidRPr="001066D0">
        <w:rPr>
          <w:sz w:val="28"/>
          <w:szCs w:val="28"/>
        </w:rPr>
        <w:t xml:space="preserve">В целях упорядочения размещения нестационарных торговых объектов (далее – НТО) на территории городского округа Тольятти и повышения доступности товаров для населения, руководствуясь </w:t>
      </w:r>
      <w:r>
        <w:rPr>
          <w:sz w:val="28"/>
          <w:szCs w:val="28"/>
        </w:rPr>
        <w:t>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Pr="001066D0">
        <w:rPr>
          <w:sz w:val="28"/>
          <w:szCs w:val="28"/>
        </w:rPr>
        <w:t xml:space="preserve"> подготовлен проект постановления </w:t>
      </w: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15.08.2023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="004E201D">
        <w:rPr>
          <w:sz w:val="28"/>
          <w:szCs w:val="28"/>
        </w:rPr>
        <w:t>12</w:t>
      </w:r>
      <w:r w:rsidRPr="00EB2901">
        <w:rPr>
          <w:sz w:val="28"/>
          <w:szCs w:val="28"/>
        </w:rPr>
        <w:t xml:space="preserve">-п/1 «Об утверждении </w:t>
      </w:r>
      <w:r w:rsidRPr="004E201D">
        <w:rPr>
          <w:sz w:val="28"/>
          <w:szCs w:val="28"/>
        </w:rPr>
        <w:t>схемы размещения нестационарных торговых объектов на территории городского округа Тольятти» газета «Городские ведомости», 2023, 22 августа)</w:t>
      </w:r>
      <w:r w:rsidRPr="001066D0">
        <w:rPr>
          <w:sz w:val="28"/>
          <w:szCs w:val="28"/>
        </w:rPr>
        <w:t xml:space="preserve"> (далее – Схема), преду</w:t>
      </w:r>
      <w:r w:rsidRPr="00195655">
        <w:rPr>
          <w:sz w:val="28"/>
          <w:szCs w:val="28"/>
        </w:rPr>
        <w:t>сматривающий:</w:t>
      </w:r>
    </w:p>
    <w:p w14:paraId="551531DF" w14:textId="403E3DEC" w:rsidR="00122326" w:rsidRPr="004E201D" w:rsidRDefault="00122326" w:rsidP="00323FDF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1. Изменение характеристик мест размещения НТО в части изменения вида договора, статуса места расположения НТО, специализации НТО, площади НТО на основании расторгнутых договоров аренды и заключенными договорами на размещение НТО в пунктах </w:t>
      </w:r>
      <w:r w:rsidR="004E201D" w:rsidRPr="004E201D">
        <w:rPr>
          <w:sz w:val="28"/>
          <w:szCs w:val="28"/>
        </w:rPr>
        <w:t xml:space="preserve">33, </w:t>
      </w:r>
      <w:r w:rsidR="004E201D">
        <w:rPr>
          <w:sz w:val="28"/>
          <w:szCs w:val="28"/>
        </w:rPr>
        <w:t xml:space="preserve">671, </w:t>
      </w:r>
      <w:r w:rsidR="00323FDF">
        <w:rPr>
          <w:sz w:val="28"/>
          <w:szCs w:val="28"/>
        </w:rPr>
        <w:t>812, 1633</w:t>
      </w:r>
      <w:r w:rsidRPr="004E201D">
        <w:rPr>
          <w:sz w:val="28"/>
          <w:szCs w:val="28"/>
        </w:rPr>
        <w:t>.</w:t>
      </w:r>
    </w:p>
    <w:p w14:paraId="292709AF" w14:textId="6340AFD6" w:rsidR="00122326" w:rsidRDefault="00122326" w:rsidP="00323FDF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2. Исключение из Схемы мест размещения НТО </w:t>
      </w:r>
      <w:r w:rsidR="004E201D" w:rsidRPr="004E201D">
        <w:rPr>
          <w:sz w:val="28"/>
          <w:szCs w:val="28"/>
        </w:rPr>
        <w:t>1, 8, 35, 69, 81, 95, 102, 213, 216, 218, 224, 251, 254, 261, 376, 425, 456, 457, 459, 460, 465, 493, 499, 509, 537, 542, 546, 552, 554, 555, 558, 562, 564, 570, 581, 605, 610, 633, 637, 684, 685, 756, 771, 792, 801, 822, 833, 865, 908, 912, 926, 962, 968, 978, 992, 997, 1003, 1056, 1103, 1106, 1113, 1114, 1116, 1117, 1118, 1121, 1123, 1129, 1131, 1135, 1137, 1138, 1139, 1140, 1141, 1143, 1151, 1153, 1154, 1160, 1162, 1166, 1167, 1169, 1170, 1173, 1175, 1177, 1178, 1179, 1186, 1188, 1190, 1200, 1408, 1409, 1410, 1411, 1412, 1413,</w:t>
      </w:r>
      <w:r w:rsidR="00993A15">
        <w:rPr>
          <w:sz w:val="28"/>
          <w:szCs w:val="28"/>
        </w:rPr>
        <w:t xml:space="preserve"> 1414, </w:t>
      </w:r>
      <w:r w:rsidR="004E201D" w:rsidRPr="004E201D">
        <w:rPr>
          <w:sz w:val="28"/>
          <w:szCs w:val="28"/>
        </w:rPr>
        <w:t xml:space="preserve">1415, 1416, 1419, 1420, 1421, 1422, 1423, 1589, 1705, 1707, 1708, 1709 </w:t>
      </w:r>
      <w:r w:rsidRPr="004E201D">
        <w:rPr>
          <w:sz w:val="28"/>
          <w:szCs w:val="28"/>
        </w:rPr>
        <w:t xml:space="preserve"> на основании решений, принятых протоколом от </w:t>
      </w:r>
      <w:r w:rsidR="004E201D" w:rsidRPr="004E201D">
        <w:rPr>
          <w:sz w:val="28"/>
          <w:szCs w:val="28"/>
        </w:rPr>
        <w:t>04.08.2023</w:t>
      </w:r>
      <w:r w:rsidRPr="004E201D">
        <w:rPr>
          <w:sz w:val="28"/>
          <w:szCs w:val="28"/>
        </w:rPr>
        <w:t xml:space="preserve"> № </w:t>
      </w:r>
      <w:r w:rsidR="004E201D" w:rsidRPr="004E201D">
        <w:rPr>
          <w:sz w:val="28"/>
          <w:szCs w:val="28"/>
        </w:rPr>
        <w:t>65</w:t>
      </w:r>
      <w:r w:rsidRPr="004E201D">
        <w:rPr>
          <w:sz w:val="28"/>
          <w:szCs w:val="28"/>
        </w:rPr>
        <w:t>-прт/</w:t>
      </w:r>
      <w:r w:rsidR="004E201D" w:rsidRPr="004E201D">
        <w:rPr>
          <w:sz w:val="28"/>
          <w:szCs w:val="28"/>
        </w:rPr>
        <w:t>1</w:t>
      </w:r>
      <w:r w:rsidRPr="004E201D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</w:t>
      </w:r>
      <w:r w:rsidR="004E201D" w:rsidRPr="004E201D">
        <w:rPr>
          <w:sz w:val="28"/>
          <w:szCs w:val="28"/>
        </w:rPr>
        <w:t>19.01</w:t>
      </w:r>
      <w:r w:rsidRPr="004E201D">
        <w:rPr>
          <w:sz w:val="28"/>
          <w:szCs w:val="28"/>
        </w:rPr>
        <w:t>.20</w:t>
      </w:r>
      <w:r w:rsidR="004E201D" w:rsidRPr="004E201D">
        <w:rPr>
          <w:sz w:val="28"/>
          <w:szCs w:val="28"/>
        </w:rPr>
        <w:t>23</w:t>
      </w:r>
      <w:r w:rsidRPr="004E201D">
        <w:rPr>
          <w:sz w:val="28"/>
          <w:szCs w:val="28"/>
        </w:rPr>
        <w:t xml:space="preserve"> № 2</w:t>
      </w:r>
      <w:r w:rsidR="004E201D" w:rsidRPr="004E201D">
        <w:rPr>
          <w:sz w:val="28"/>
          <w:szCs w:val="28"/>
        </w:rPr>
        <w:t>1</w:t>
      </w:r>
      <w:r w:rsidRPr="004E201D">
        <w:rPr>
          <w:sz w:val="28"/>
          <w:szCs w:val="28"/>
        </w:rPr>
        <w:t>2-п/1.</w:t>
      </w:r>
    </w:p>
    <w:p w14:paraId="6EBEE02B" w14:textId="42098070" w:rsidR="004E201D" w:rsidRDefault="004E201D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Изменение характеристик места размещения НТО в части изменения в специализации НТО в пункте 214 на основании решения, принятого протоколом </w:t>
      </w:r>
      <w:r w:rsidRPr="004E201D">
        <w:rPr>
          <w:sz w:val="28"/>
          <w:szCs w:val="28"/>
        </w:rPr>
        <w:t xml:space="preserve">от 04.08.2023 № 65-прт/1 </w:t>
      </w:r>
      <w:r>
        <w:rPr>
          <w:sz w:val="28"/>
          <w:szCs w:val="28"/>
        </w:rPr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03C94A9E" w14:textId="3811D472" w:rsidR="004E201D" w:rsidRDefault="004E201D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Изменение характеристик мест размещения НТО в части изменения вида договора, статуса места расположения НТО, специализации НТО, на основании проведенных аукционов на право заключения договоров на размещение НТО в пунктах 472,</w:t>
      </w:r>
      <w:r w:rsidR="00323FDF">
        <w:rPr>
          <w:sz w:val="28"/>
          <w:szCs w:val="28"/>
        </w:rPr>
        <w:t xml:space="preserve"> 1349, 1698</w:t>
      </w:r>
      <w:r>
        <w:rPr>
          <w:sz w:val="28"/>
          <w:szCs w:val="28"/>
        </w:rPr>
        <w:t>.</w:t>
      </w:r>
    </w:p>
    <w:p w14:paraId="59AB57F6" w14:textId="313E2D39" w:rsidR="00122326" w:rsidRPr="00323FDF" w:rsidRDefault="00122326" w:rsidP="00323FDF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323FDF">
        <w:rPr>
          <w:sz w:val="28"/>
          <w:szCs w:val="28"/>
        </w:rPr>
        <w:t xml:space="preserve">3. Включение в Схему мест размещения НТО: № </w:t>
      </w:r>
      <w:r w:rsidR="00323FDF" w:rsidRPr="00323FDF">
        <w:rPr>
          <w:sz w:val="28"/>
          <w:szCs w:val="28"/>
        </w:rPr>
        <w:t>1786 - 1793</w:t>
      </w:r>
      <w:r w:rsidRPr="00323FDF">
        <w:rPr>
          <w:sz w:val="28"/>
          <w:szCs w:val="28"/>
        </w:rPr>
        <w:t xml:space="preserve"> на основании решени</w:t>
      </w:r>
      <w:r w:rsidR="00323FDF" w:rsidRPr="00323FDF">
        <w:rPr>
          <w:sz w:val="28"/>
          <w:szCs w:val="28"/>
        </w:rPr>
        <w:t>й</w:t>
      </w:r>
      <w:r w:rsidRPr="00323FDF">
        <w:rPr>
          <w:sz w:val="28"/>
          <w:szCs w:val="28"/>
        </w:rPr>
        <w:t>, принят</w:t>
      </w:r>
      <w:r w:rsidR="00323FDF" w:rsidRPr="00323FDF">
        <w:rPr>
          <w:sz w:val="28"/>
          <w:szCs w:val="28"/>
        </w:rPr>
        <w:t>ых</w:t>
      </w:r>
      <w:r w:rsidRPr="00323FDF">
        <w:rPr>
          <w:sz w:val="28"/>
          <w:szCs w:val="28"/>
        </w:rPr>
        <w:t xml:space="preserve"> протоколом </w:t>
      </w:r>
      <w:r w:rsidR="00323FDF" w:rsidRPr="004E201D">
        <w:rPr>
          <w:sz w:val="28"/>
          <w:szCs w:val="28"/>
        </w:rPr>
        <w:t xml:space="preserve">от 04.08.2023 № 65-прт/1 </w:t>
      </w:r>
      <w:r w:rsidR="00323FDF">
        <w:rPr>
          <w:sz w:val="28"/>
          <w:szCs w:val="28"/>
        </w:rPr>
        <w:t>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администрации городского округа Тольятти от 19.01.2023 № 212-п/1.</w:t>
      </w:r>
    </w:p>
    <w:p w14:paraId="1D5A6CF5" w14:textId="5EBFA215" w:rsidR="00122326" w:rsidRDefault="00122326" w:rsidP="00323FD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4. Изменение </w:t>
      </w:r>
      <w:r w:rsidR="004E201D" w:rsidRPr="004E201D">
        <w:rPr>
          <w:sz w:val="28"/>
          <w:szCs w:val="28"/>
        </w:rPr>
        <w:t>адреса</w:t>
      </w:r>
      <w:r w:rsidRPr="004E201D">
        <w:rPr>
          <w:sz w:val="28"/>
          <w:szCs w:val="28"/>
        </w:rPr>
        <w:t xml:space="preserve"> земельного участка, расположенного по адресу: </w:t>
      </w:r>
      <w:r w:rsidR="004E201D" w:rsidRPr="004E201D">
        <w:rPr>
          <w:sz w:val="28"/>
          <w:szCs w:val="28"/>
        </w:rPr>
        <w:t xml:space="preserve">Самарская область, </w:t>
      </w:r>
      <w:proofErr w:type="spellStart"/>
      <w:r w:rsidR="004E201D" w:rsidRPr="004E201D">
        <w:rPr>
          <w:sz w:val="28"/>
          <w:szCs w:val="28"/>
        </w:rPr>
        <w:t>г.Тольятти</w:t>
      </w:r>
      <w:proofErr w:type="spellEnd"/>
      <w:r w:rsidR="004E201D" w:rsidRPr="004E201D">
        <w:rPr>
          <w:sz w:val="28"/>
          <w:szCs w:val="28"/>
        </w:rPr>
        <w:t xml:space="preserve">, Центральный район, б-р 50 лет Октября у дома у дома № 27 </w:t>
      </w:r>
      <w:r w:rsidRPr="004E201D">
        <w:rPr>
          <w:sz w:val="28"/>
          <w:szCs w:val="28"/>
        </w:rPr>
        <w:t xml:space="preserve">с КН: </w:t>
      </w:r>
      <w:r w:rsidR="004E201D" w:rsidRPr="004E201D">
        <w:rPr>
          <w:sz w:val="28"/>
          <w:szCs w:val="28"/>
        </w:rPr>
        <w:t xml:space="preserve">63:09:0301138:25 </w:t>
      </w:r>
      <w:r w:rsidRPr="004E201D">
        <w:rPr>
          <w:sz w:val="28"/>
          <w:szCs w:val="28"/>
        </w:rPr>
        <w:t xml:space="preserve">в пункте </w:t>
      </w:r>
      <w:r w:rsidR="004E201D" w:rsidRPr="004E201D">
        <w:rPr>
          <w:sz w:val="28"/>
          <w:szCs w:val="28"/>
        </w:rPr>
        <w:t>161</w:t>
      </w:r>
      <w:r w:rsidRPr="004E201D">
        <w:rPr>
          <w:sz w:val="28"/>
          <w:szCs w:val="28"/>
        </w:rPr>
        <w:t xml:space="preserve">. </w:t>
      </w:r>
    </w:p>
    <w:p w14:paraId="3C1833F7" w14:textId="7840E7BB" w:rsidR="004E201D" w:rsidRPr="004E201D" w:rsidRDefault="004E201D" w:rsidP="00323FD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Информацию о заключивших дополнительные соглашения к договорам на размещение несезонных нестационарных торговых объектов   в соответствии с приложением № 15 «Особенности разрешительных режимов в сфере торговли» постановления от 12.03.2022 № 353 «Об особенностях разрешительной деятельности в Российской Федерации в 2022 и 2023 годах», предусматривающие продление срока действия договоров на 7 (семь) лет по пунктам 629, </w:t>
      </w:r>
      <w:r w:rsidR="00323FDF">
        <w:rPr>
          <w:sz w:val="28"/>
          <w:szCs w:val="28"/>
        </w:rPr>
        <w:t>1346, 1609.</w:t>
      </w:r>
    </w:p>
    <w:p w14:paraId="3112BEC2" w14:textId="77777777" w:rsidR="00122326" w:rsidRPr="001066D0" w:rsidRDefault="00122326" w:rsidP="00122326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9C82FE" w14:textId="74EE7F40" w:rsidR="00F6716A" w:rsidRPr="00195655" w:rsidRDefault="00F6716A" w:rsidP="00C3358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E480837" w14:textId="1F69A1C6" w:rsidR="00B9264B" w:rsidRPr="001066D0" w:rsidRDefault="00A93CC7" w:rsidP="00BD23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14:paraId="3C7001B1" w14:textId="167C16E3" w:rsidR="006B1E87" w:rsidRDefault="00B9264B" w:rsidP="00BD231D">
      <w:pPr>
        <w:spacing w:line="288" w:lineRule="auto"/>
        <w:jc w:val="both"/>
        <w:rPr>
          <w:sz w:val="28"/>
          <w:szCs w:val="28"/>
        </w:rPr>
      </w:pPr>
      <w:r w:rsidRPr="001066D0">
        <w:rPr>
          <w:sz w:val="28"/>
          <w:szCs w:val="28"/>
        </w:rPr>
        <w:t>потребительского рынка</w:t>
      </w:r>
      <w:r w:rsidR="003F19AF" w:rsidRPr="001066D0">
        <w:rPr>
          <w:sz w:val="28"/>
          <w:szCs w:val="28"/>
        </w:rPr>
        <w:t xml:space="preserve">                                                              </w:t>
      </w:r>
      <w:r w:rsidR="0099553E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   </w:t>
      </w:r>
      <w:r w:rsidR="003F19AF" w:rsidRPr="001066D0">
        <w:rPr>
          <w:sz w:val="28"/>
          <w:szCs w:val="28"/>
        </w:rPr>
        <w:t xml:space="preserve"> </w:t>
      </w:r>
      <w:r w:rsidR="009E399B">
        <w:rPr>
          <w:sz w:val="28"/>
          <w:szCs w:val="28"/>
        </w:rPr>
        <w:t xml:space="preserve"> </w:t>
      </w:r>
      <w:r w:rsidR="0099553E">
        <w:rPr>
          <w:sz w:val="28"/>
          <w:szCs w:val="28"/>
        </w:rPr>
        <w:t>Л.В. Петрова</w:t>
      </w:r>
    </w:p>
    <w:p w14:paraId="2FFDC9BB" w14:textId="77777777" w:rsidR="00E440F1" w:rsidRDefault="00E440F1" w:rsidP="006B1E87">
      <w:pPr>
        <w:spacing w:line="276" w:lineRule="auto"/>
        <w:jc w:val="both"/>
        <w:rPr>
          <w:sz w:val="28"/>
          <w:szCs w:val="28"/>
        </w:rPr>
      </w:pPr>
    </w:p>
    <w:p w14:paraId="3630CA06" w14:textId="77777777" w:rsidR="00C55EF7" w:rsidRDefault="00C55EF7" w:rsidP="006B1E87">
      <w:pPr>
        <w:spacing w:line="276" w:lineRule="auto"/>
        <w:jc w:val="both"/>
        <w:rPr>
          <w:sz w:val="28"/>
          <w:szCs w:val="28"/>
        </w:rPr>
      </w:pPr>
    </w:p>
    <w:p w14:paraId="08C31FC6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40A6AF5E" w14:textId="77777777" w:rsidR="00043FC2" w:rsidRDefault="00043FC2" w:rsidP="006B1E87">
      <w:pPr>
        <w:spacing w:line="276" w:lineRule="auto"/>
        <w:jc w:val="both"/>
        <w:rPr>
          <w:sz w:val="28"/>
          <w:szCs w:val="28"/>
        </w:rPr>
      </w:pPr>
    </w:p>
    <w:p w14:paraId="219DCE1E" w14:textId="3DF907A0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15A65DD8" w14:textId="2A6ADD58" w:rsidR="00FF3605" w:rsidRDefault="00FF3605" w:rsidP="006B1E87">
      <w:pPr>
        <w:spacing w:line="276" w:lineRule="auto"/>
        <w:jc w:val="both"/>
        <w:rPr>
          <w:sz w:val="28"/>
          <w:szCs w:val="28"/>
        </w:rPr>
      </w:pPr>
    </w:p>
    <w:p w14:paraId="7B4778FA" w14:textId="77777777" w:rsidR="00C55EF7" w:rsidRDefault="00C55EF7" w:rsidP="00C55EF7">
      <w:pPr>
        <w:jc w:val="both"/>
      </w:pPr>
      <w:r>
        <w:t>Зацепина К.А.</w:t>
      </w:r>
    </w:p>
    <w:p w14:paraId="03F5A689" w14:textId="3AE76DF6" w:rsidR="006B1E87" w:rsidRDefault="00C55EF7" w:rsidP="009E399B">
      <w:pPr>
        <w:jc w:val="both"/>
      </w:pPr>
      <w:r>
        <w:t>54-30-59</w:t>
      </w:r>
    </w:p>
    <w:sectPr w:rsidR="006B1E87" w:rsidSect="007D4DF6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3379271">
    <w:abstractNumId w:val="9"/>
  </w:num>
  <w:num w:numId="2" w16cid:durableId="1344744409">
    <w:abstractNumId w:val="2"/>
  </w:num>
  <w:num w:numId="3" w16cid:durableId="1330671281">
    <w:abstractNumId w:val="4"/>
  </w:num>
  <w:num w:numId="4" w16cid:durableId="121533685">
    <w:abstractNumId w:val="7"/>
  </w:num>
  <w:num w:numId="5" w16cid:durableId="1588803488">
    <w:abstractNumId w:val="8"/>
  </w:num>
  <w:num w:numId="6" w16cid:durableId="920404896">
    <w:abstractNumId w:val="3"/>
  </w:num>
  <w:num w:numId="7" w16cid:durableId="191916399">
    <w:abstractNumId w:val="0"/>
  </w:num>
  <w:num w:numId="8" w16cid:durableId="13638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3898810">
    <w:abstractNumId w:val="6"/>
  </w:num>
  <w:num w:numId="10" w16cid:durableId="769395298">
    <w:abstractNumId w:val="5"/>
  </w:num>
  <w:num w:numId="11" w16cid:durableId="38471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11"/>
    <w:rsid w:val="000151DE"/>
    <w:rsid w:val="0001680E"/>
    <w:rsid w:val="000177A6"/>
    <w:rsid w:val="00043FC2"/>
    <w:rsid w:val="000529DD"/>
    <w:rsid w:val="00055EDD"/>
    <w:rsid w:val="000613C3"/>
    <w:rsid w:val="000646A9"/>
    <w:rsid w:val="00065DAE"/>
    <w:rsid w:val="00067582"/>
    <w:rsid w:val="0007342C"/>
    <w:rsid w:val="000824BC"/>
    <w:rsid w:val="00096851"/>
    <w:rsid w:val="000A426F"/>
    <w:rsid w:val="000A4DBE"/>
    <w:rsid w:val="000B0B5E"/>
    <w:rsid w:val="000B0E1D"/>
    <w:rsid w:val="000B45C1"/>
    <w:rsid w:val="000B68FF"/>
    <w:rsid w:val="000C3815"/>
    <w:rsid w:val="000D0E9D"/>
    <w:rsid w:val="000E089A"/>
    <w:rsid w:val="000E257B"/>
    <w:rsid w:val="001066D0"/>
    <w:rsid w:val="001115E4"/>
    <w:rsid w:val="00122326"/>
    <w:rsid w:val="0012271F"/>
    <w:rsid w:val="0012635A"/>
    <w:rsid w:val="00133B23"/>
    <w:rsid w:val="00136D5F"/>
    <w:rsid w:val="0013701D"/>
    <w:rsid w:val="00143185"/>
    <w:rsid w:val="00144516"/>
    <w:rsid w:val="0014573D"/>
    <w:rsid w:val="0015119E"/>
    <w:rsid w:val="00151F5A"/>
    <w:rsid w:val="00160B10"/>
    <w:rsid w:val="00162CCA"/>
    <w:rsid w:val="00166E66"/>
    <w:rsid w:val="001747C6"/>
    <w:rsid w:val="00177A76"/>
    <w:rsid w:val="001818F6"/>
    <w:rsid w:val="00193C67"/>
    <w:rsid w:val="00195655"/>
    <w:rsid w:val="001A1502"/>
    <w:rsid w:val="001A2E42"/>
    <w:rsid w:val="001A729F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770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C7653"/>
    <w:rsid w:val="002D56FE"/>
    <w:rsid w:val="002E7B46"/>
    <w:rsid w:val="002F246C"/>
    <w:rsid w:val="002F418F"/>
    <w:rsid w:val="00302C3F"/>
    <w:rsid w:val="0030323D"/>
    <w:rsid w:val="0030359C"/>
    <w:rsid w:val="003060BA"/>
    <w:rsid w:val="00310C1F"/>
    <w:rsid w:val="00323E20"/>
    <w:rsid w:val="00323FDF"/>
    <w:rsid w:val="00334C8A"/>
    <w:rsid w:val="00344096"/>
    <w:rsid w:val="00350B7A"/>
    <w:rsid w:val="00362ECE"/>
    <w:rsid w:val="003738F7"/>
    <w:rsid w:val="00380464"/>
    <w:rsid w:val="003811BC"/>
    <w:rsid w:val="00384855"/>
    <w:rsid w:val="00384E81"/>
    <w:rsid w:val="00392898"/>
    <w:rsid w:val="00396AA0"/>
    <w:rsid w:val="00396B2B"/>
    <w:rsid w:val="003A2C24"/>
    <w:rsid w:val="003B0946"/>
    <w:rsid w:val="003B317E"/>
    <w:rsid w:val="003B78DE"/>
    <w:rsid w:val="003C1517"/>
    <w:rsid w:val="003D2B41"/>
    <w:rsid w:val="003F19AF"/>
    <w:rsid w:val="003F67D4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9385E"/>
    <w:rsid w:val="00496B2F"/>
    <w:rsid w:val="004B3651"/>
    <w:rsid w:val="004B5A43"/>
    <w:rsid w:val="004C12E9"/>
    <w:rsid w:val="004C1C20"/>
    <w:rsid w:val="004C606F"/>
    <w:rsid w:val="004E04C1"/>
    <w:rsid w:val="004E1CE9"/>
    <w:rsid w:val="004E201D"/>
    <w:rsid w:val="004F1B7F"/>
    <w:rsid w:val="004F2F2A"/>
    <w:rsid w:val="005002DA"/>
    <w:rsid w:val="00504A9A"/>
    <w:rsid w:val="00504D57"/>
    <w:rsid w:val="005171A2"/>
    <w:rsid w:val="00520DB1"/>
    <w:rsid w:val="005233D6"/>
    <w:rsid w:val="00553297"/>
    <w:rsid w:val="005611D4"/>
    <w:rsid w:val="005733A0"/>
    <w:rsid w:val="00580D3F"/>
    <w:rsid w:val="0058551D"/>
    <w:rsid w:val="00591084"/>
    <w:rsid w:val="005912EB"/>
    <w:rsid w:val="00595538"/>
    <w:rsid w:val="005A3BEE"/>
    <w:rsid w:val="005A6DF1"/>
    <w:rsid w:val="005A7ABC"/>
    <w:rsid w:val="005B0C66"/>
    <w:rsid w:val="005B0CFF"/>
    <w:rsid w:val="005C3798"/>
    <w:rsid w:val="005D48C8"/>
    <w:rsid w:val="005E7072"/>
    <w:rsid w:val="005F2382"/>
    <w:rsid w:val="005F29C3"/>
    <w:rsid w:val="005F7757"/>
    <w:rsid w:val="00602DA3"/>
    <w:rsid w:val="00613789"/>
    <w:rsid w:val="006306C0"/>
    <w:rsid w:val="006411AF"/>
    <w:rsid w:val="00654DB7"/>
    <w:rsid w:val="00660376"/>
    <w:rsid w:val="00662029"/>
    <w:rsid w:val="00663EB4"/>
    <w:rsid w:val="0066599C"/>
    <w:rsid w:val="00680633"/>
    <w:rsid w:val="0068485F"/>
    <w:rsid w:val="00686C75"/>
    <w:rsid w:val="0069078B"/>
    <w:rsid w:val="00691DFC"/>
    <w:rsid w:val="006961DD"/>
    <w:rsid w:val="006A48E8"/>
    <w:rsid w:val="006A5E30"/>
    <w:rsid w:val="006B1E87"/>
    <w:rsid w:val="006B7F98"/>
    <w:rsid w:val="006C5548"/>
    <w:rsid w:val="006C7E95"/>
    <w:rsid w:val="006E0416"/>
    <w:rsid w:val="006E1071"/>
    <w:rsid w:val="006E366B"/>
    <w:rsid w:val="006E6C07"/>
    <w:rsid w:val="006F4818"/>
    <w:rsid w:val="006F6624"/>
    <w:rsid w:val="00701E4F"/>
    <w:rsid w:val="007038A9"/>
    <w:rsid w:val="00703D3A"/>
    <w:rsid w:val="007110D0"/>
    <w:rsid w:val="00713050"/>
    <w:rsid w:val="00714E8B"/>
    <w:rsid w:val="007239D3"/>
    <w:rsid w:val="007311AD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3E0E"/>
    <w:rsid w:val="007B4D4D"/>
    <w:rsid w:val="007B631E"/>
    <w:rsid w:val="007D2268"/>
    <w:rsid w:val="007D2AAC"/>
    <w:rsid w:val="007D4DF6"/>
    <w:rsid w:val="007E5532"/>
    <w:rsid w:val="007E5DE1"/>
    <w:rsid w:val="007F1557"/>
    <w:rsid w:val="007F15D2"/>
    <w:rsid w:val="007F76F8"/>
    <w:rsid w:val="00813BE5"/>
    <w:rsid w:val="00814BD2"/>
    <w:rsid w:val="00824A17"/>
    <w:rsid w:val="00826655"/>
    <w:rsid w:val="00830AA9"/>
    <w:rsid w:val="00832386"/>
    <w:rsid w:val="00852B14"/>
    <w:rsid w:val="00855D97"/>
    <w:rsid w:val="00856ACF"/>
    <w:rsid w:val="00866255"/>
    <w:rsid w:val="0087204F"/>
    <w:rsid w:val="008755AA"/>
    <w:rsid w:val="00880E89"/>
    <w:rsid w:val="00881D2C"/>
    <w:rsid w:val="00884C91"/>
    <w:rsid w:val="00891315"/>
    <w:rsid w:val="00893571"/>
    <w:rsid w:val="008A6A84"/>
    <w:rsid w:val="008A75B1"/>
    <w:rsid w:val="008A7AE9"/>
    <w:rsid w:val="008A7B11"/>
    <w:rsid w:val="008A7DC3"/>
    <w:rsid w:val="008B09F8"/>
    <w:rsid w:val="008C776E"/>
    <w:rsid w:val="008D1F42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93A15"/>
    <w:rsid w:val="0099553E"/>
    <w:rsid w:val="009B2C76"/>
    <w:rsid w:val="009B683C"/>
    <w:rsid w:val="009C0B7D"/>
    <w:rsid w:val="009D102A"/>
    <w:rsid w:val="009D23C5"/>
    <w:rsid w:val="009E399B"/>
    <w:rsid w:val="00A0010B"/>
    <w:rsid w:val="00A138C3"/>
    <w:rsid w:val="00A15EB7"/>
    <w:rsid w:val="00A20558"/>
    <w:rsid w:val="00A225EF"/>
    <w:rsid w:val="00A25889"/>
    <w:rsid w:val="00A27DA4"/>
    <w:rsid w:val="00A32847"/>
    <w:rsid w:val="00A32A43"/>
    <w:rsid w:val="00A36DB4"/>
    <w:rsid w:val="00A41992"/>
    <w:rsid w:val="00A53E1A"/>
    <w:rsid w:val="00A55EDE"/>
    <w:rsid w:val="00A60CE9"/>
    <w:rsid w:val="00A67148"/>
    <w:rsid w:val="00A70D51"/>
    <w:rsid w:val="00A72A65"/>
    <w:rsid w:val="00A72D83"/>
    <w:rsid w:val="00A73D66"/>
    <w:rsid w:val="00A77090"/>
    <w:rsid w:val="00A77DD4"/>
    <w:rsid w:val="00A93CC7"/>
    <w:rsid w:val="00A94D76"/>
    <w:rsid w:val="00AA1F72"/>
    <w:rsid w:val="00AA251C"/>
    <w:rsid w:val="00AB2E80"/>
    <w:rsid w:val="00AD0409"/>
    <w:rsid w:val="00AD1041"/>
    <w:rsid w:val="00AD5870"/>
    <w:rsid w:val="00AD7EF9"/>
    <w:rsid w:val="00AE2012"/>
    <w:rsid w:val="00AE7380"/>
    <w:rsid w:val="00B00779"/>
    <w:rsid w:val="00B00B4E"/>
    <w:rsid w:val="00B0273D"/>
    <w:rsid w:val="00B145A4"/>
    <w:rsid w:val="00B16655"/>
    <w:rsid w:val="00B24512"/>
    <w:rsid w:val="00B34275"/>
    <w:rsid w:val="00B41811"/>
    <w:rsid w:val="00B46D8A"/>
    <w:rsid w:val="00B5279B"/>
    <w:rsid w:val="00B5429C"/>
    <w:rsid w:val="00B561D6"/>
    <w:rsid w:val="00B60CFB"/>
    <w:rsid w:val="00B630B4"/>
    <w:rsid w:val="00B734FA"/>
    <w:rsid w:val="00B7406E"/>
    <w:rsid w:val="00B86AC1"/>
    <w:rsid w:val="00B9264B"/>
    <w:rsid w:val="00B92AD9"/>
    <w:rsid w:val="00BA0577"/>
    <w:rsid w:val="00BA5F78"/>
    <w:rsid w:val="00BB0107"/>
    <w:rsid w:val="00BB4280"/>
    <w:rsid w:val="00BC3073"/>
    <w:rsid w:val="00BC55F6"/>
    <w:rsid w:val="00BD231D"/>
    <w:rsid w:val="00BD2360"/>
    <w:rsid w:val="00BD3B9D"/>
    <w:rsid w:val="00BE6002"/>
    <w:rsid w:val="00BF26AA"/>
    <w:rsid w:val="00BF3F27"/>
    <w:rsid w:val="00BF7B72"/>
    <w:rsid w:val="00C0224C"/>
    <w:rsid w:val="00C21D50"/>
    <w:rsid w:val="00C33586"/>
    <w:rsid w:val="00C35E2D"/>
    <w:rsid w:val="00C37009"/>
    <w:rsid w:val="00C47E0D"/>
    <w:rsid w:val="00C55EF7"/>
    <w:rsid w:val="00C56E4E"/>
    <w:rsid w:val="00C62F99"/>
    <w:rsid w:val="00C66991"/>
    <w:rsid w:val="00C77D62"/>
    <w:rsid w:val="00C859B5"/>
    <w:rsid w:val="00C869F4"/>
    <w:rsid w:val="00C93ADD"/>
    <w:rsid w:val="00CB28B7"/>
    <w:rsid w:val="00CB3E97"/>
    <w:rsid w:val="00CB631E"/>
    <w:rsid w:val="00CE4807"/>
    <w:rsid w:val="00CE484D"/>
    <w:rsid w:val="00CE4EF8"/>
    <w:rsid w:val="00CF49E6"/>
    <w:rsid w:val="00D06543"/>
    <w:rsid w:val="00D168D5"/>
    <w:rsid w:val="00D254D4"/>
    <w:rsid w:val="00D447EB"/>
    <w:rsid w:val="00D574E7"/>
    <w:rsid w:val="00D6430B"/>
    <w:rsid w:val="00D66DD8"/>
    <w:rsid w:val="00D67BD9"/>
    <w:rsid w:val="00D731FF"/>
    <w:rsid w:val="00D81BA6"/>
    <w:rsid w:val="00D8378C"/>
    <w:rsid w:val="00D84B1A"/>
    <w:rsid w:val="00D8500C"/>
    <w:rsid w:val="00DA4D46"/>
    <w:rsid w:val="00DA7F05"/>
    <w:rsid w:val="00DC2CCF"/>
    <w:rsid w:val="00DC4EE5"/>
    <w:rsid w:val="00DD48E0"/>
    <w:rsid w:val="00DF18EE"/>
    <w:rsid w:val="00DF34A3"/>
    <w:rsid w:val="00DF41E7"/>
    <w:rsid w:val="00DF4D45"/>
    <w:rsid w:val="00E07887"/>
    <w:rsid w:val="00E118FF"/>
    <w:rsid w:val="00E137C6"/>
    <w:rsid w:val="00E13A66"/>
    <w:rsid w:val="00E20831"/>
    <w:rsid w:val="00E20CD7"/>
    <w:rsid w:val="00E33225"/>
    <w:rsid w:val="00E40A9B"/>
    <w:rsid w:val="00E440F1"/>
    <w:rsid w:val="00E47D60"/>
    <w:rsid w:val="00E60D68"/>
    <w:rsid w:val="00E76DDA"/>
    <w:rsid w:val="00E8790A"/>
    <w:rsid w:val="00E962B3"/>
    <w:rsid w:val="00E9771E"/>
    <w:rsid w:val="00EA268A"/>
    <w:rsid w:val="00EB22FA"/>
    <w:rsid w:val="00EB2BA9"/>
    <w:rsid w:val="00EB5818"/>
    <w:rsid w:val="00EC3E89"/>
    <w:rsid w:val="00EC49FC"/>
    <w:rsid w:val="00EC6CD2"/>
    <w:rsid w:val="00EC704D"/>
    <w:rsid w:val="00ED2045"/>
    <w:rsid w:val="00ED28B1"/>
    <w:rsid w:val="00EE31DE"/>
    <w:rsid w:val="00F01F0C"/>
    <w:rsid w:val="00F01F36"/>
    <w:rsid w:val="00F02F5F"/>
    <w:rsid w:val="00F16711"/>
    <w:rsid w:val="00F16C5D"/>
    <w:rsid w:val="00F37A45"/>
    <w:rsid w:val="00F426CA"/>
    <w:rsid w:val="00F4734D"/>
    <w:rsid w:val="00F5163E"/>
    <w:rsid w:val="00F57A79"/>
    <w:rsid w:val="00F642BF"/>
    <w:rsid w:val="00F670C8"/>
    <w:rsid w:val="00F6716A"/>
    <w:rsid w:val="00F7113C"/>
    <w:rsid w:val="00F80E09"/>
    <w:rsid w:val="00F8210A"/>
    <w:rsid w:val="00F86779"/>
    <w:rsid w:val="00F95932"/>
    <w:rsid w:val="00F95A09"/>
    <w:rsid w:val="00FC2B98"/>
    <w:rsid w:val="00FD20E0"/>
    <w:rsid w:val="00FD2342"/>
    <w:rsid w:val="00FD7943"/>
    <w:rsid w:val="00FE0B4C"/>
    <w:rsid w:val="00FE4295"/>
    <w:rsid w:val="00FE4B3C"/>
    <w:rsid w:val="00FF3605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6B1"/>
  <w15:docId w15:val="{FCF3872A-342E-48E7-8A4A-7AC0AA6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D684-D355-415F-B486-EC7E672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Зацепина Ксения Александровна</cp:lastModifiedBy>
  <cp:revision>48</cp:revision>
  <cp:lastPrinted>2023-08-23T11:51:00Z</cp:lastPrinted>
  <dcterms:created xsi:type="dcterms:W3CDTF">2019-05-20T06:04:00Z</dcterms:created>
  <dcterms:modified xsi:type="dcterms:W3CDTF">2023-08-23T11:51:00Z</dcterms:modified>
</cp:coreProperties>
</file>