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61A4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ПОЯСНИТЕЛЬНАЯ ЗАПИСКА</w:t>
      </w:r>
    </w:p>
    <w:p w14:paraId="29CA98BC" w14:textId="77777777" w:rsidR="00C55EF7" w:rsidRPr="00F22981" w:rsidRDefault="00C55EF7" w:rsidP="006B1E87">
      <w:pPr>
        <w:jc w:val="center"/>
        <w:rPr>
          <w:sz w:val="28"/>
          <w:szCs w:val="28"/>
        </w:rPr>
      </w:pPr>
    </w:p>
    <w:p w14:paraId="5C523B10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59B0BBB0" w14:textId="77777777" w:rsidR="00CE4EF8" w:rsidRPr="00F22981" w:rsidRDefault="00CE4EF8" w:rsidP="006B1E87">
      <w:pPr>
        <w:jc w:val="center"/>
        <w:rPr>
          <w:sz w:val="28"/>
          <w:szCs w:val="28"/>
        </w:rPr>
      </w:pPr>
    </w:p>
    <w:p w14:paraId="6C1D37D6" w14:textId="2BA85BCE" w:rsidR="00C55EF7" w:rsidRPr="00F22981" w:rsidRDefault="00C55EF7" w:rsidP="00C55EF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«</w:t>
      </w:r>
      <w:r w:rsidR="004E201D" w:rsidRPr="00F22981">
        <w:rPr>
          <w:sz w:val="28"/>
          <w:szCs w:val="28"/>
        </w:rPr>
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</w:r>
    </w:p>
    <w:p w14:paraId="37F3F1F9" w14:textId="77777777" w:rsidR="00AD7EF9" w:rsidRPr="00F22981" w:rsidRDefault="00AD7EF9" w:rsidP="00C30AB9">
      <w:pPr>
        <w:spacing w:line="360" w:lineRule="auto"/>
        <w:jc w:val="center"/>
        <w:rPr>
          <w:sz w:val="28"/>
          <w:szCs w:val="28"/>
        </w:rPr>
      </w:pPr>
    </w:p>
    <w:p w14:paraId="350327A8" w14:textId="4C2E84D1" w:rsidR="00122326" w:rsidRPr="00431ACC" w:rsidRDefault="00122326" w:rsidP="007028A6">
      <w:pPr>
        <w:spacing w:line="276" w:lineRule="auto"/>
        <w:ind w:firstLine="709"/>
        <w:jc w:val="both"/>
        <w:rPr>
          <w:sz w:val="28"/>
          <w:szCs w:val="28"/>
        </w:rPr>
      </w:pPr>
      <w:r w:rsidRPr="007028A6">
        <w:rPr>
          <w:sz w:val="28"/>
          <w:szCs w:val="28"/>
        </w:rPr>
        <w:t>В целях упорядочения размещения нестационарных торговых объектов (далее – НТО) на территории городского округа Тольятти и повышения доступности товаров для населения, руководствуясь приказом министерства промышленности и торговли Самарской области 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области» подготовлен проект постановления «О внесении изменений в постановление администрации городского округа Тольятти от 15.08.2023 № 25</w:t>
      </w:r>
      <w:r w:rsidR="004E201D" w:rsidRPr="007028A6">
        <w:rPr>
          <w:sz w:val="28"/>
          <w:szCs w:val="28"/>
        </w:rPr>
        <w:t>12</w:t>
      </w:r>
      <w:r w:rsidRPr="007028A6">
        <w:rPr>
          <w:sz w:val="28"/>
          <w:szCs w:val="28"/>
        </w:rPr>
        <w:t>-п/1 «Об утверждении схемы размещения нестационарных торговых объектов на территории городского округа Тольятти» газета «Городские ведомости», 2023, 22 августа</w:t>
      </w:r>
      <w:r w:rsidR="00A43A06" w:rsidRPr="007028A6">
        <w:rPr>
          <w:sz w:val="28"/>
          <w:szCs w:val="28"/>
        </w:rPr>
        <w:t>, 6 октября</w:t>
      </w:r>
      <w:r w:rsidR="00F37F7F" w:rsidRPr="007028A6">
        <w:rPr>
          <w:sz w:val="28"/>
          <w:szCs w:val="28"/>
        </w:rPr>
        <w:t>, 1 декабря</w:t>
      </w:r>
      <w:r w:rsidR="000F00D1" w:rsidRPr="007028A6">
        <w:rPr>
          <w:sz w:val="28"/>
          <w:szCs w:val="28"/>
        </w:rPr>
        <w:t>; 2024, 9 апреля</w:t>
      </w:r>
      <w:r w:rsidR="00852925" w:rsidRPr="007028A6">
        <w:rPr>
          <w:sz w:val="28"/>
          <w:szCs w:val="28"/>
        </w:rPr>
        <w:t>, 28 мая</w:t>
      </w:r>
      <w:r w:rsidR="00756816" w:rsidRPr="007028A6">
        <w:rPr>
          <w:sz w:val="28"/>
          <w:szCs w:val="28"/>
        </w:rPr>
        <w:t>, 2 июля</w:t>
      </w:r>
      <w:r w:rsidR="009C5EAC" w:rsidRPr="007028A6">
        <w:rPr>
          <w:sz w:val="28"/>
          <w:szCs w:val="28"/>
        </w:rPr>
        <w:t xml:space="preserve">, </w:t>
      </w:r>
      <w:r w:rsidR="003B4D72" w:rsidRPr="007028A6">
        <w:rPr>
          <w:sz w:val="28"/>
          <w:szCs w:val="28"/>
        </w:rPr>
        <w:t>13</w:t>
      </w:r>
      <w:r w:rsidR="009C5EAC" w:rsidRPr="007028A6">
        <w:rPr>
          <w:sz w:val="28"/>
          <w:szCs w:val="28"/>
        </w:rPr>
        <w:t xml:space="preserve"> августа</w:t>
      </w:r>
      <w:r w:rsidR="005D007B" w:rsidRPr="007028A6">
        <w:rPr>
          <w:sz w:val="28"/>
          <w:szCs w:val="28"/>
        </w:rPr>
        <w:t>,                 1 октября</w:t>
      </w:r>
      <w:r w:rsidR="00CC6C70" w:rsidRPr="007028A6">
        <w:rPr>
          <w:sz w:val="28"/>
          <w:szCs w:val="28"/>
        </w:rPr>
        <w:t xml:space="preserve">, </w:t>
      </w:r>
      <w:r w:rsidR="007F3331" w:rsidRPr="007028A6">
        <w:rPr>
          <w:sz w:val="28"/>
          <w:szCs w:val="28"/>
        </w:rPr>
        <w:t>8</w:t>
      </w:r>
      <w:r w:rsidR="00CC6C70" w:rsidRPr="007028A6">
        <w:rPr>
          <w:sz w:val="28"/>
          <w:szCs w:val="28"/>
        </w:rPr>
        <w:t xml:space="preserve"> ноября</w:t>
      </w:r>
      <w:r w:rsidR="00A8209C" w:rsidRPr="007028A6">
        <w:rPr>
          <w:sz w:val="28"/>
          <w:szCs w:val="28"/>
        </w:rPr>
        <w:t xml:space="preserve">, </w:t>
      </w:r>
      <w:r w:rsidR="00821339" w:rsidRPr="007028A6">
        <w:rPr>
          <w:sz w:val="28"/>
          <w:szCs w:val="28"/>
        </w:rPr>
        <w:t>6</w:t>
      </w:r>
      <w:r w:rsidR="00A8209C" w:rsidRPr="007028A6">
        <w:rPr>
          <w:sz w:val="28"/>
          <w:szCs w:val="28"/>
        </w:rPr>
        <w:t xml:space="preserve"> декабря</w:t>
      </w:r>
      <w:r w:rsidR="000E620D" w:rsidRPr="007028A6">
        <w:rPr>
          <w:sz w:val="28"/>
          <w:szCs w:val="28"/>
        </w:rPr>
        <w:t>; 2025, 1</w:t>
      </w:r>
      <w:r w:rsidR="00680A21" w:rsidRPr="007028A6">
        <w:rPr>
          <w:sz w:val="28"/>
          <w:szCs w:val="28"/>
        </w:rPr>
        <w:t>8</w:t>
      </w:r>
      <w:r w:rsidR="000E620D" w:rsidRPr="007028A6">
        <w:rPr>
          <w:sz w:val="28"/>
          <w:szCs w:val="28"/>
        </w:rPr>
        <w:t xml:space="preserve"> февраля</w:t>
      </w:r>
      <w:r w:rsidR="00EC6B0B" w:rsidRPr="007028A6">
        <w:rPr>
          <w:sz w:val="28"/>
          <w:szCs w:val="28"/>
        </w:rPr>
        <w:t xml:space="preserve">, </w:t>
      </w:r>
      <w:r w:rsidR="00921803" w:rsidRPr="007028A6">
        <w:rPr>
          <w:sz w:val="28"/>
          <w:szCs w:val="28"/>
        </w:rPr>
        <w:t>21</w:t>
      </w:r>
      <w:r w:rsidR="00EC6B0B" w:rsidRPr="007028A6">
        <w:rPr>
          <w:sz w:val="28"/>
          <w:szCs w:val="28"/>
        </w:rPr>
        <w:t xml:space="preserve"> марта</w:t>
      </w:r>
      <w:r w:rsidR="008C7AE6" w:rsidRPr="007028A6">
        <w:rPr>
          <w:sz w:val="28"/>
          <w:szCs w:val="28"/>
        </w:rPr>
        <w:t xml:space="preserve">, </w:t>
      </w:r>
      <w:r w:rsidR="00097430" w:rsidRPr="007028A6">
        <w:rPr>
          <w:sz w:val="28"/>
          <w:szCs w:val="28"/>
        </w:rPr>
        <w:t>2</w:t>
      </w:r>
      <w:r w:rsidR="00E56165" w:rsidRPr="007028A6">
        <w:rPr>
          <w:sz w:val="28"/>
          <w:szCs w:val="28"/>
        </w:rPr>
        <w:t>5</w:t>
      </w:r>
      <w:r w:rsidR="008C7AE6" w:rsidRPr="007028A6">
        <w:rPr>
          <w:sz w:val="28"/>
          <w:szCs w:val="28"/>
        </w:rPr>
        <w:t xml:space="preserve"> апреля</w:t>
      </w:r>
      <w:r w:rsidR="00CB5503" w:rsidRPr="007028A6">
        <w:rPr>
          <w:sz w:val="28"/>
          <w:szCs w:val="28"/>
        </w:rPr>
        <w:t xml:space="preserve">, </w:t>
      </w:r>
      <w:r w:rsidR="00C30AB9" w:rsidRPr="007028A6">
        <w:rPr>
          <w:sz w:val="28"/>
          <w:szCs w:val="28"/>
        </w:rPr>
        <w:t>6</w:t>
      </w:r>
      <w:r w:rsidR="00CB5503" w:rsidRPr="007028A6">
        <w:rPr>
          <w:sz w:val="28"/>
          <w:szCs w:val="28"/>
        </w:rPr>
        <w:t xml:space="preserve"> июня</w:t>
      </w:r>
      <w:r w:rsidR="00267119" w:rsidRPr="007028A6">
        <w:rPr>
          <w:sz w:val="28"/>
          <w:szCs w:val="28"/>
        </w:rPr>
        <w:t>, 25 июля</w:t>
      </w:r>
      <w:r w:rsidR="00867AF4" w:rsidRPr="007028A6">
        <w:rPr>
          <w:sz w:val="28"/>
          <w:szCs w:val="28"/>
        </w:rPr>
        <w:t xml:space="preserve">, </w:t>
      </w:r>
      <w:r w:rsidR="00C22A9F" w:rsidRPr="007028A6">
        <w:rPr>
          <w:sz w:val="28"/>
          <w:szCs w:val="28"/>
        </w:rPr>
        <w:t>12</w:t>
      </w:r>
      <w:r w:rsidR="007574CB" w:rsidRPr="007028A6">
        <w:rPr>
          <w:sz w:val="28"/>
          <w:szCs w:val="28"/>
        </w:rPr>
        <w:t xml:space="preserve"> сентября</w:t>
      </w:r>
      <w:r w:rsidR="001E0DFD" w:rsidRPr="007028A6">
        <w:rPr>
          <w:sz w:val="28"/>
          <w:szCs w:val="28"/>
        </w:rPr>
        <w:t>, 31 октября</w:t>
      </w:r>
      <w:r w:rsidR="00FB1036" w:rsidRPr="007028A6">
        <w:rPr>
          <w:sz w:val="28"/>
          <w:szCs w:val="28"/>
        </w:rPr>
        <w:t>, 2</w:t>
      </w:r>
      <w:r w:rsidR="001C37A1" w:rsidRPr="007028A6">
        <w:rPr>
          <w:sz w:val="28"/>
          <w:szCs w:val="28"/>
        </w:rPr>
        <w:t>8</w:t>
      </w:r>
      <w:r w:rsidR="00FB1036" w:rsidRPr="007028A6">
        <w:rPr>
          <w:sz w:val="28"/>
          <w:szCs w:val="28"/>
        </w:rPr>
        <w:t xml:space="preserve"> ноября</w:t>
      </w:r>
      <w:r w:rsidR="001358B2">
        <w:rPr>
          <w:sz w:val="28"/>
          <w:szCs w:val="28"/>
        </w:rPr>
        <w:t>, 26 декабря</w:t>
      </w:r>
      <w:r w:rsidR="00557BED" w:rsidRPr="00431ACC">
        <w:rPr>
          <w:sz w:val="28"/>
          <w:szCs w:val="28"/>
          <w:highlight w:val="yellow"/>
        </w:rPr>
        <w:t xml:space="preserve">, </w:t>
      </w:r>
      <w:r w:rsidR="00A654CC" w:rsidRPr="00431ACC">
        <w:rPr>
          <w:sz w:val="28"/>
          <w:szCs w:val="28"/>
          <w:highlight w:val="yellow"/>
        </w:rPr>
        <w:t>13</w:t>
      </w:r>
      <w:r w:rsidR="00557BED" w:rsidRPr="00431ACC">
        <w:rPr>
          <w:sz w:val="28"/>
          <w:szCs w:val="28"/>
          <w:highlight w:val="yellow"/>
        </w:rPr>
        <w:t xml:space="preserve"> февраля</w:t>
      </w:r>
      <w:r w:rsidRPr="007028A6">
        <w:rPr>
          <w:sz w:val="28"/>
          <w:szCs w:val="28"/>
        </w:rPr>
        <w:t xml:space="preserve">) (далее – </w:t>
      </w:r>
      <w:r w:rsidRPr="00431ACC">
        <w:rPr>
          <w:sz w:val="28"/>
          <w:szCs w:val="28"/>
        </w:rPr>
        <w:t>Схема), предусматривающий:</w:t>
      </w:r>
    </w:p>
    <w:p w14:paraId="02B60BBC" w14:textId="538347E5" w:rsidR="00FB1036" w:rsidRPr="00431ACC" w:rsidRDefault="00FB1036" w:rsidP="007028A6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431ACC">
        <w:rPr>
          <w:sz w:val="28"/>
          <w:szCs w:val="28"/>
        </w:rPr>
        <w:t xml:space="preserve">Информацию о заключенных дополнительных соглашениях к договорам на размещение несезонных нестационарных торговых объектов в соответствии с приложением № 15 «Особенности разрешительных режимов в сфере торговли» постановления от 12.03.2022 № 353 «Об особенностях разрешительной деятельности в Российской Федерации», предусматривающие продление срока действия договоров на 7 (семь) лет по пункту </w:t>
      </w:r>
      <w:r w:rsidR="00557BED" w:rsidRPr="00431ACC">
        <w:rPr>
          <w:sz w:val="28"/>
          <w:szCs w:val="28"/>
        </w:rPr>
        <w:t>14, 19, 29,</w:t>
      </w:r>
      <w:r w:rsidR="004B1B6E" w:rsidRPr="00431ACC">
        <w:rPr>
          <w:sz w:val="28"/>
          <w:szCs w:val="28"/>
        </w:rPr>
        <w:t xml:space="preserve"> 46, 124, 189, 230, 236, </w:t>
      </w:r>
      <w:r w:rsidR="00AE32AA" w:rsidRPr="00431ACC">
        <w:rPr>
          <w:sz w:val="28"/>
          <w:szCs w:val="28"/>
        </w:rPr>
        <w:t>264, 266, 277</w:t>
      </w:r>
      <w:r w:rsidR="004B1B6E" w:rsidRPr="00431ACC">
        <w:rPr>
          <w:sz w:val="28"/>
          <w:szCs w:val="28"/>
        </w:rPr>
        <w:t>,</w:t>
      </w:r>
      <w:r w:rsidR="00AE32AA" w:rsidRPr="00431ACC">
        <w:rPr>
          <w:sz w:val="28"/>
          <w:szCs w:val="28"/>
        </w:rPr>
        <w:t xml:space="preserve"> 279, 501, </w:t>
      </w:r>
      <w:r w:rsidR="00B95821" w:rsidRPr="00431ACC">
        <w:rPr>
          <w:sz w:val="28"/>
          <w:szCs w:val="28"/>
        </w:rPr>
        <w:t xml:space="preserve">559, 561, 574, 702, 703, 704, 740, 819, 942, 943, 1029, 1038, 1039, 1068, </w:t>
      </w:r>
      <w:r w:rsidR="00431ACC" w:rsidRPr="00431ACC">
        <w:rPr>
          <w:sz w:val="28"/>
          <w:szCs w:val="28"/>
        </w:rPr>
        <w:t>1112.</w:t>
      </w:r>
    </w:p>
    <w:p w14:paraId="1665F0EC" w14:textId="4124E4B9" w:rsidR="00557BED" w:rsidRDefault="00557BED" w:rsidP="00557BED">
      <w:pPr>
        <w:pStyle w:val="a9"/>
        <w:numPr>
          <w:ilvl w:val="0"/>
          <w:numId w:val="16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028A6">
        <w:rPr>
          <w:sz w:val="28"/>
          <w:szCs w:val="28"/>
        </w:rPr>
        <w:t>Изменение характеристик места размещения НТО в части изменения статуса места расположения НТО на основании расторгнутых договоров аренды и заключенными договорами на размещение НТО в соответствии с решени</w:t>
      </w:r>
      <w:r w:rsidR="004B1B6E">
        <w:rPr>
          <w:sz w:val="28"/>
          <w:szCs w:val="28"/>
        </w:rPr>
        <w:t>ем</w:t>
      </w:r>
      <w:r w:rsidRPr="007028A6">
        <w:rPr>
          <w:sz w:val="28"/>
          <w:szCs w:val="28"/>
        </w:rPr>
        <w:t xml:space="preserve"> суда в пункт</w:t>
      </w:r>
      <w:r>
        <w:rPr>
          <w:sz w:val="28"/>
          <w:szCs w:val="28"/>
        </w:rPr>
        <w:t>е</w:t>
      </w:r>
      <w:r w:rsidRPr="007028A6">
        <w:rPr>
          <w:sz w:val="28"/>
          <w:szCs w:val="28"/>
        </w:rPr>
        <w:t xml:space="preserve"> </w:t>
      </w:r>
      <w:r>
        <w:rPr>
          <w:sz w:val="28"/>
          <w:szCs w:val="28"/>
        </w:rPr>
        <w:t>44</w:t>
      </w:r>
      <w:r w:rsidRPr="007028A6">
        <w:rPr>
          <w:sz w:val="28"/>
          <w:szCs w:val="28"/>
        </w:rPr>
        <w:t>.</w:t>
      </w:r>
    </w:p>
    <w:p w14:paraId="7E4B0F3F" w14:textId="475AD624" w:rsidR="00AE32AA" w:rsidRPr="00AE32AA" w:rsidRDefault="00AE32AA" w:rsidP="00AE32AA">
      <w:pPr>
        <w:pStyle w:val="a9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характеристик мест размещения НТО в части статуса места расположения НТО, на основании проведенных аукционов на право заключения договоров на размещение НТО в пунктах </w:t>
      </w:r>
      <w:r>
        <w:rPr>
          <w:sz w:val="28"/>
          <w:szCs w:val="28"/>
        </w:rPr>
        <w:t>244, 250</w:t>
      </w:r>
      <w:r w:rsidR="00431ACC">
        <w:rPr>
          <w:sz w:val="28"/>
          <w:szCs w:val="28"/>
        </w:rPr>
        <w:t>, 1939</w:t>
      </w:r>
      <w:r>
        <w:rPr>
          <w:sz w:val="28"/>
          <w:szCs w:val="28"/>
        </w:rPr>
        <w:t>.</w:t>
      </w:r>
    </w:p>
    <w:p w14:paraId="30D4DC2B" w14:textId="55056A0B" w:rsidR="001C37A1" w:rsidRPr="00B95821" w:rsidRDefault="001C37A1" w:rsidP="007028A6">
      <w:pPr>
        <w:pStyle w:val="a9"/>
        <w:numPr>
          <w:ilvl w:val="0"/>
          <w:numId w:val="16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557BED">
        <w:rPr>
          <w:sz w:val="28"/>
          <w:szCs w:val="28"/>
        </w:rPr>
        <w:lastRenderedPageBreak/>
        <w:t xml:space="preserve">Исключение из Схемы мест размещения НТО №№ </w:t>
      </w:r>
      <w:r w:rsidR="00557BED" w:rsidRPr="00557BED">
        <w:rPr>
          <w:sz w:val="28"/>
          <w:szCs w:val="28"/>
        </w:rPr>
        <w:t>59, 105, 112, 114, 122, 137, 168, 177, 196, 206, 225, 232, 235, 255, 274, 289, 290, 415, 458, 461, 489, 495, 505, 512, 527, 536, 543, 551, 566, 568, 577, 579, 596, 597, 628, 640, 672, 676, 692, 732, 739, 753, 760, 762, 769, 775, 779, 789, 856, 870, 876, 878, 886, 905, 909, 927, 936, 939, 975, 994, 1012, 1025, 1035, 1075, 1090, 1097, 1100, 1101, 1608, 1635, 1640, 1644, 1648, 1651, 1655, 1675, 1703, 1912, 1917, 1937 в связи с прекращением договоров аренды земельных участков, либо договоров на размещение нестационарных торговых объектов (</w:t>
      </w:r>
      <w:r w:rsidRPr="00557BED">
        <w:rPr>
          <w:sz w:val="28"/>
          <w:szCs w:val="28"/>
        </w:rPr>
        <w:t>в связи с их освобождением и подписанием актов приемки-передачи земельных участков</w:t>
      </w:r>
      <w:r w:rsidR="00557BED" w:rsidRPr="00557BED">
        <w:rPr>
          <w:sz w:val="28"/>
          <w:szCs w:val="28"/>
        </w:rPr>
        <w:t xml:space="preserve">) </w:t>
      </w:r>
      <w:r w:rsidRPr="00557BED">
        <w:rPr>
          <w:sz w:val="28"/>
          <w:szCs w:val="28"/>
        </w:rPr>
        <w:t xml:space="preserve">и невозможностью использования в дальнейшем ввиду нарушения </w:t>
      </w:r>
      <w:r w:rsidRPr="00557BED">
        <w:rPr>
          <w:bCs/>
          <w:sz w:val="28"/>
          <w:szCs w:val="28"/>
          <w:lang w:bidi="ru-RU"/>
        </w:rPr>
        <w:t xml:space="preserve">статьи 11 решения Думы городского округа Тольятти от 04.07.2018 № 1789 «О правилах благоустройства территории городского округа Тольятти» (не допускается размещение нестационарных торговых объектов в нарушение требований действующего законодательства (санитарных, градостроительных, противопожарных и других норм и правил), в том числе: в арках зданий, на тротуарах, газонах, цветниках, клумбах,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а также ближе 20 метров от окон жилых и общественных зданий и витрин стационарных торговых объектов, 3 метров от ствола дерева, 1,5 метров от внешней границы кроны кустарника; на инженерных сетях и коммуникациях и в охранных зонах инженерных сетей (водопроводных, канализационных, электрических, кабелей сетей-связи, трубопроводов), </w:t>
      </w:r>
      <w:r w:rsidRPr="00557BED">
        <w:rPr>
          <w:sz w:val="28"/>
          <w:szCs w:val="28"/>
        </w:rPr>
        <w:t xml:space="preserve">на </w:t>
      </w:r>
      <w:r w:rsidRPr="00B95821">
        <w:rPr>
          <w:sz w:val="28"/>
          <w:szCs w:val="28"/>
        </w:rPr>
        <w:t>основании решени</w:t>
      </w:r>
      <w:r w:rsidR="004B1B6E" w:rsidRPr="00B95821">
        <w:rPr>
          <w:sz w:val="28"/>
          <w:szCs w:val="28"/>
        </w:rPr>
        <w:t>й</w:t>
      </w:r>
      <w:r w:rsidRPr="00B95821">
        <w:rPr>
          <w:sz w:val="28"/>
          <w:szCs w:val="28"/>
        </w:rPr>
        <w:t>, принят</w:t>
      </w:r>
      <w:r w:rsidR="004B1B6E" w:rsidRPr="00B95821">
        <w:rPr>
          <w:sz w:val="28"/>
          <w:szCs w:val="28"/>
        </w:rPr>
        <w:t>ых</w:t>
      </w:r>
      <w:r w:rsidRPr="00B95821">
        <w:rPr>
          <w:sz w:val="28"/>
          <w:szCs w:val="28"/>
        </w:rPr>
        <w:t xml:space="preserve"> протокол</w:t>
      </w:r>
      <w:r w:rsidR="004B1B6E" w:rsidRPr="00B95821">
        <w:rPr>
          <w:sz w:val="28"/>
          <w:szCs w:val="28"/>
        </w:rPr>
        <w:t>ами</w:t>
      </w:r>
      <w:r w:rsidRPr="00B95821">
        <w:rPr>
          <w:sz w:val="28"/>
          <w:szCs w:val="28"/>
        </w:rPr>
        <w:t xml:space="preserve"> </w:t>
      </w:r>
      <w:r w:rsidR="007058A5" w:rsidRPr="00B95821">
        <w:rPr>
          <w:sz w:val="28"/>
          <w:szCs w:val="28"/>
        </w:rPr>
        <w:t>от 11.12.2025 №94-прт/2</w:t>
      </w:r>
      <w:r w:rsidR="004B1B6E" w:rsidRPr="00B95821">
        <w:rPr>
          <w:sz w:val="28"/>
          <w:szCs w:val="28"/>
        </w:rPr>
        <w:t>, от 23.01.2026 №</w:t>
      </w:r>
      <w:r w:rsidR="00B95821" w:rsidRPr="00B95821">
        <w:rPr>
          <w:sz w:val="28"/>
          <w:szCs w:val="28"/>
        </w:rPr>
        <w:t>2-</w:t>
      </w:r>
      <w:r w:rsidR="004B1B6E" w:rsidRPr="00B95821">
        <w:rPr>
          <w:sz w:val="28"/>
          <w:szCs w:val="28"/>
        </w:rPr>
        <w:t>прт/2</w:t>
      </w:r>
      <w:r w:rsidR="007058A5" w:rsidRPr="00557BED">
        <w:rPr>
          <w:sz w:val="28"/>
          <w:szCs w:val="28"/>
        </w:rPr>
        <w:t xml:space="preserve"> </w:t>
      </w:r>
      <w:r w:rsidRPr="00557BED">
        <w:rPr>
          <w:sz w:val="28"/>
          <w:szCs w:val="28"/>
        </w:rPr>
        <w:t>заседания Комиссии по разработке Схемы размещения нестационарных торговых объектов на территории городского округа Тольятти, действующей на основании постановления администрации городского округа Тольятти от 19.01.2023 № 212-</w:t>
      </w:r>
      <w:r w:rsidRPr="00B95821">
        <w:rPr>
          <w:sz w:val="28"/>
          <w:szCs w:val="28"/>
        </w:rPr>
        <w:t>п/1.</w:t>
      </w:r>
    </w:p>
    <w:p w14:paraId="34E94AC8" w14:textId="4E98C7DA" w:rsidR="001358B2" w:rsidRPr="00B95821" w:rsidRDefault="001358B2" w:rsidP="007028A6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95821">
        <w:rPr>
          <w:sz w:val="28"/>
          <w:szCs w:val="28"/>
        </w:rPr>
        <w:t xml:space="preserve">Изменение характеристик места размещения НТО в пункте </w:t>
      </w:r>
      <w:r w:rsidR="00AE32AA" w:rsidRPr="00B95821">
        <w:rPr>
          <w:sz w:val="28"/>
          <w:szCs w:val="28"/>
        </w:rPr>
        <w:t>510</w:t>
      </w:r>
      <w:r w:rsidRPr="00B95821">
        <w:rPr>
          <w:sz w:val="28"/>
          <w:szCs w:val="28"/>
        </w:rPr>
        <w:t xml:space="preserve"> в части изменения «</w:t>
      </w:r>
      <w:r w:rsidR="00AE32AA" w:rsidRPr="00B95821">
        <w:rPr>
          <w:sz w:val="28"/>
          <w:szCs w:val="28"/>
        </w:rPr>
        <w:t>Специализация НТО</w:t>
      </w:r>
      <w:r w:rsidRPr="00B95821">
        <w:rPr>
          <w:sz w:val="28"/>
          <w:szCs w:val="28"/>
        </w:rPr>
        <w:t xml:space="preserve">» места размещения НТО на основании решения заседания Комиссии по разработке Схемы размещения нестационарных торговых объектов на территории городского округа Тольятти, действующей на основании постановления администрации городского округа Тольятти от 19.01.2023 № 212-п/1, принятого протоколом от </w:t>
      </w:r>
      <w:r w:rsidR="00B95821" w:rsidRPr="00B95821">
        <w:rPr>
          <w:sz w:val="28"/>
          <w:szCs w:val="28"/>
        </w:rPr>
        <w:t>23.01</w:t>
      </w:r>
      <w:r w:rsidRPr="00B95821">
        <w:rPr>
          <w:sz w:val="28"/>
          <w:szCs w:val="28"/>
        </w:rPr>
        <w:t>.202</w:t>
      </w:r>
      <w:r w:rsidR="00B95821" w:rsidRPr="00B95821">
        <w:rPr>
          <w:sz w:val="28"/>
          <w:szCs w:val="28"/>
        </w:rPr>
        <w:t>6</w:t>
      </w:r>
      <w:r w:rsidRPr="00B95821">
        <w:rPr>
          <w:sz w:val="28"/>
          <w:szCs w:val="28"/>
        </w:rPr>
        <w:t xml:space="preserve"> № </w:t>
      </w:r>
      <w:r w:rsidR="00B95821" w:rsidRPr="00B95821">
        <w:rPr>
          <w:sz w:val="28"/>
          <w:szCs w:val="28"/>
        </w:rPr>
        <w:t>2</w:t>
      </w:r>
      <w:r w:rsidRPr="00B95821">
        <w:rPr>
          <w:sz w:val="28"/>
          <w:szCs w:val="28"/>
        </w:rPr>
        <w:t>-прт/2</w:t>
      </w:r>
      <w:r w:rsidR="000A2DFA" w:rsidRPr="00B95821">
        <w:rPr>
          <w:sz w:val="28"/>
          <w:szCs w:val="28"/>
        </w:rPr>
        <w:t>.</w:t>
      </w:r>
    </w:p>
    <w:p w14:paraId="7F84ACEE" w14:textId="5930C804" w:rsidR="00AE32AA" w:rsidRPr="00B95821" w:rsidRDefault="00AE32AA" w:rsidP="00AE32AA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95821">
        <w:rPr>
          <w:sz w:val="28"/>
          <w:szCs w:val="28"/>
        </w:rPr>
        <w:t xml:space="preserve">Изменение характеристик места размещения НТО в пункте </w:t>
      </w:r>
      <w:r w:rsidR="00B95821" w:rsidRPr="00B95821">
        <w:rPr>
          <w:sz w:val="28"/>
          <w:szCs w:val="28"/>
        </w:rPr>
        <w:t>729</w:t>
      </w:r>
      <w:r w:rsidRPr="00B95821">
        <w:rPr>
          <w:sz w:val="28"/>
          <w:szCs w:val="28"/>
        </w:rPr>
        <w:t xml:space="preserve"> в части изменения «Тип НТО» места размещения НТО на основании решения заседания Комиссии по разработке Схемы размещения нестационарных </w:t>
      </w:r>
      <w:r w:rsidRPr="00B95821">
        <w:rPr>
          <w:sz w:val="28"/>
          <w:szCs w:val="28"/>
        </w:rPr>
        <w:lastRenderedPageBreak/>
        <w:t xml:space="preserve">торговых объектов на территории городского округа Тольятти, действующей на основании постановления администрации городского округа Тольятти от 19.01.2023 № 212-п/1, принятого протоколом </w:t>
      </w:r>
      <w:r w:rsidR="00B95821" w:rsidRPr="00B95821">
        <w:rPr>
          <w:sz w:val="28"/>
          <w:szCs w:val="28"/>
        </w:rPr>
        <w:t>от 23.01.2026 № 2-прт/2.</w:t>
      </w:r>
    </w:p>
    <w:p w14:paraId="0984777F" w14:textId="103C8983" w:rsidR="000A2DFA" w:rsidRPr="004B1B6E" w:rsidRDefault="000A2DFA" w:rsidP="000A2DFA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4B1B6E">
        <w:rPr>
          <w:sz w:val="28"/>
          <w:szCs w:val="28"/>
        </w:rPr>
        <w:t xml:space="preserve">Изменение характеристик места размещения НТО в пункте </w:t>
      </w:r>
      <w:r w:rsidR="00431ACC">
        <w:rPr>
          <w:sz w:val="28"/>
          <w:szCs w:val="28"/>
        </w:rPr>
        <w:t>1653</w:t>
      </w:r>
      <w:r w:rsidRPr="004B1B6E">
        <w:rPr>
          <w:sz w:val="28"/>
          <w:szCs w:val="28"/>
        </w:rPr>
        <w:t xml:space="preserve"> в части изменения столбца «Адрес нестационарного торгового объекта (далее - НТО) (при его наличии) или адресное обозначение места возможного размещения НТО с указанием границ улиц, дорог, проездов, иных ориентиров (при наличии)» в соответствии с </w:t>
      </w:r>
      <w:r w:rsidR="004B1B6E" w:rsidRPr="004B1B6E">
        <w:rPr>
          <w:sz w:val="28"/>
          <w:szCs w:val="28"/>
        </w:rPr>
        <w:t>заключенным дополнительным соглашением к договору от 17.04.2024 №10СР-БА/2024 в соответствии с решением Арбитражного суда по делу №А55-25128/2024.</w:t>
      </w:r>
    </w:p>
    <w:p w14:paraId="4D5A597F" w14:textId="160C8CF5" w:rsidR="0017251E" w:rsidRPr="00557BED" w:rsidRDefault="0017251E" w:rsidP="00815047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557BED">
        <w:rPr>
          <w:sz w:val="28"/>
          <w:szCs w:val="28"/>
        </w:rPr>
        <w:t>Включение в Схему места размещения НТО в пункт</w:t>
      </w:r>
      <w:r w:rsidR="00557BED" w:rsidRPr="00557BED">
        <w:rPr>
          <w:sz w:val="28"/>
          <w:szCs w:val="28"/>
        </w:rPr>
        <w:t>е 1972</w:t>
      </w:r>
      <w:r w:rsidRPr="00557BED">
        <w:rPr>
          <w:sz w:val="28"/>
          <w:szCs w:val="28"/>
        </w:rPr>
        <w:t xml:space="preserve"> на основании согласования на основании согласования с департаментом по управлению муниципальным имуществом включения в Схему НТО, размещаемых в зданиях, находящихся в муниципальной собственности (постановление администрации городского округа Тольятти от 14.11.2025 </w:t>
      </w:r>
      <w:r w:rsidRPr="00557BED">
        <w:rPr>
          <w:sz w:val="28"/>
          <w:szCs w:val="28"/>
        </w:rPr>
        <w:br/>
        <w:t>№ 2269-п/1 «О внесении изменений в постановление администрации городского округа Тольятти от 19.01.2023 № 212-п/1 «О комиссии по разработке схемы размещения нестационарных торговых объектов на территории  городского округа Тольятти», распоряжение администрации городского округа Тольятти от 18.11.2025 № 9469-р/1 «Об утверждении регламента взаимодействия органов администрации городского округа Тольятти при рассмотрении предложений о включении места размещения нестационарного торгового объекта в схему размещения нестационарных торговых объектов на территории городского округа Тольятти»).</w:t>
      </w:r>
    </w:p>
    <w:p w14:paraId="668B4BA1" w14:textId="77777777" w:rsidR="007028A6" w:rsidRPr="00557BED" w:rsidRDefault="007028A6" w:rsidP="007028A6">
      <w:pPr>
        <w:pStyle w:val="a9"/>
        <w:tabs>
          <w:tab w:val="left" w:pos="709"/>
        </w:tabs>
        <w:autoSpaceDE w:val="0"/>
        <w:autoSpaceDN w:val="0"/>
        <w:adjustRightInd w:val="0"/>
        <w:ind w:left="709"/>
        <w:jc w:val="both"/>
        <w:rPr>
          <w:color w:val="FF0000"/>
          <w:sz w:val="28"/>
          <w:szCs w:val="28"/>
        </w:rPr>
      </w:pPr>
    </w:p>
    <w:p w14:paraId="2106968A" w14:textId="77777777" w:rsidR="001C37A1" w:rsidRPr="007028A6" w:rsidRDefault="001C37A1" w:rsidP="007028A6">
      <w:pPr>
        <w:pStyle w:val="a9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71E608B7" w14:textId="639520BD" w:rsidR="00F457A1" w:rsidRPr="00C4570A" w:rsidRDefault="00F457A1" w:rsidP="00C4570A">
      <w:pPr>
        <w:jc w:val="both"/>
        <w:rPr>
          <w:bCs/>
          <w:color w:val="000000" w:themeColor="text1"/>
          <w:sz w:val="28"/>
          <w:szCs w:val="28"/>
          <w:lang w:bidi="ru-RU"/>
        </w:rPr>
      </w:pPr>
    </w:p>
    <w:p w14:paraId="7E66B284" w14:textId="77777777" w:rsidR="00097430" w:rsidRPr="002B04C6" w:rsidRDefault="00097430" w:rsidP="00A10804">
      <w:pPr>
        <w:jc w:val="both"/>
        <w:rPr>
          <w:sz w:val="28"/>
          <w:szCs w:val="28"/>
        </w:rPr>
      </w:pPr>
    </w:p>
    <w:p w14:paraId="4E480837" w14:textId="29590F9C" w:rsidR="00B9264B" w:rsidRPr="00F22981" w:rsidRDefault="00A10804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F333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93CC7" w:rsidRPr="00F22981">
        <w:rPr>
          <w:sz w:val="28"/>
          <w:szCs w:val="28"/>
        </w:rPr>
        <w:t xml:space="preserve"> управления</w:t>
      </w:r>
    </w:p>
    <w:p w14:paraId="3C7001B1" w14:textId="5BEF3B58" w:rsidR="006B1E87" w:rsidRPr="00F22981" w:rsidRDefault="00B9264B" w:rsidP="00BD231D">
      <w:pPr>
        <w:spacing w:line="288" w:lineRule="auto"/>
        <w:jc w:val="both"/>
        <w:rPr>
          <w:sz w:val="28"/>
          <w:szCs w:val="28"/>
        </w:rPr>
      </w:pPr>
      <w:r w:rsidRPr="00F22981">
        <w:rPr>
          <w:sz w:val="28"/>
          <w:szCs w:val="28"/>
        </w:rPr>
        <w:t>потребительского рынка</w:t>
      </w:r>
      <w:r w:rsidR="003F19AF" w:rsidRPr="00F22981">
        <w:rPr>
          <w:sz w:val="28"/>
          <w:szCs w:val="28"/>
        </w:rPr>
        <w:t xml:space="preserve">                                                         </w:t>
      </w:r>
      <w:r w:rsidR="0099553E" w:rsidRPr="00F22981">
        <w:rPr>
          <w:sz w:val="28"/>
          <w:szCs w:val="28"/>
        </w:rPr>
        <w:t xml:space="preserve"> </w:t>
      </w:r>
      <w:r w:rsidR="009E399B" w:rsidRPr="00F22981">
        <w:rPr>
          <w:sz w:val="28"/>
          <w:szCs w:val="28"/>
        </w:rPr>
        <w:t xml:space="preserve">    </w:t>
      </w:r>
      <w:r w:rsidR="003F19AF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 xml:space="preserve">    </w:t>
      </w:r>
      <w:r w:rsidR="009E399B" w:rsidRPr="00F22981">
        <w:rPr>
          <w:sz w:val="28"/>
          <w:szCs w:val="28"/>
        </w:rPr>
        <w:t xml:space="preserve"> </w:t>
      </w:r>
      <w:r w:rsidR="00A10804">
        <w:rPr>
          <w:sz w:val="28"/>
          <w:szCs w:val="28"/>
        </w:rPr>
        <w:t>И.П. Куркин</w:t>
      </w:r>
    </w:p>
    <w:p w14:paraId="2FFDC9BB" w14:textId="77777777" w:rsidR="00E440F1" w:rsidRPr="00F22981" w:rsidRDefault="00E440F1" w:rsidP="006B1E87">
      <w:pPr>
        <w:spacing w:line="276" w:lineRule="auto"/>
        <w:jc w:val="both"/>
        <w:rPr>
          <w:sz w:val="28"/>
          <w:szCs w:val="28"/>
        </w:rPr>
      </w:pPr>
    </w:p>
    <w:p w14:paraId="0BDA5CE2" w14:textId="77777777" w:rsidR="001E0DFD" w:rsidRDefault="001E0DFD" w:rsidP="006B1E87">
      <w:pPr>
        <w:spacing w:line="276" w:lineRule="auto"/>
        <w:jc w:val="both"/>
        <w:rPr>
          <w:sz w:val="28"/>
          <w:szCs w:val="28"/>
        </w:rPr>
      </w:pPr>
    </w:p>
    <w:p w14:paraId="7FF9EC26" w14:textId="77777777" w:rsidR="007028A6" w:rsidRDefault="007028A6" w:rsidP="006B1E87">
      <w:pPr>
        <w:spacing w:line="276" w:lineRule="auto"/>
        <w:jc w:val="both"/>
        <w:rPr>
          <w:sz w:val="28"/>
          <w:szCs w:val="28"/>
        </w:rPr>
      </w:pPr>
    </w:p>
    <w:p w14:paraId="493B9A2A" w14:textId="77777777" w:rsidR="007028A6" w:rsidRDefault="007028A6" w:rsidP="006B1E87">
      <w:pPr>
        <w:spacing w:line="276" w:lineRule="auto"/>
        <w:jc w:val="both"/>
        <w:rPr>
          <w:sz w:val="28"/>
          <w:szCs w:val="28"/>
        </w:rPr>
      </w:pPr>
    </w:p>
    <w:p w14:paraId="2E68929C" w14:textId="77777777" w:rsidR="007028A6" w:rsidRDefault="007028A6" w:rsidP="006B1E87">
      <w:pPr>
        <w:spacing w:line="276" w:lineRule="auto"/>
        <w:jc w:val="both"/>
        <w:rPr>
          <w:sz w:val="28"/>
          <w:szCs w:val="28"/>
        </w:rPr>
      </w:pPr>
    </w:p>
    <w:p w14:paraId="440CAFBE" w14:textId="77777777" w:rsidR="00352D04" w:rsidRDefault="00352D04" w:rsidP="006B1E87">
      <w:pPr>
        <w:spacing w:line="276" w:lineRule="auto"/>
        <w:jc w:val="both"/>
        <w:rPr>
          <w:sz w:val="28"/>
          <w:szCs w:val="28"/>
        </w:rPr>
      </w:pPr>
    </w:p>
    <w:p w14:paraId="7B4778FA" w14:textId="77777777" w:rsidR="00C55EF7" w:rsidRPr="00F22981" w:rsidRDefault="00C55EF7" w:rsidP="00C55EF7">
      <w:pPr>
        <w:jc w:val="both"/>
      </w:pPr>
      <w:r w:rsidRPr="00F22981">
        <w:t>Зацепина К.А.</w:t>
      </w:r>
    </w:p>
    <w:p w14:paraId="03F5A689" w14:textId="3AE76DF6" w:rsidR="006B1E87" w:rsidRDefault="00C55EF7" w:rsidP="009E399B">
      <w:pPr>
        <w:jc w:val="both"/>
      </w:pPr>
      <w:r w:rsidRPr="00F22981">
        <w:t>54-30-59</w:t>
      </w:r>
    </w:p>
    <w:sectPr w:rsidR="006B1E87" w:rsidSect="00352D04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6AAB" w14:textId="77777777" w:rsidR="00557BED" w:rsidRDefault="00557BED" w:rsidP="00557BED">
      <w:r>
        <w:separator/>
      </w:r>
    </w:p>
  </w:endnote>
  <w:endnote w:type="continuationSeparator" w:id="0">
    <w:p w14:paraId="21F32DEA" w14:textId="77777777" w:rsidR="00557BED" w:rsidRDefault="00557BED" w:rsidP="0055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E08B" w14:textId="77777777" w:rsidR="00557BED" w:rsidRDefault="00557BED" w:rsidP="00557BED">
      <w:r>
        <w:separator/>
      </w:r>
    </w:p>
  </w:footnote>
  <w:footnote w:type="continuationSeparator" w:id="0">
    <w:p w14:paraId="720F2CD3" w14:textId="77777777" w:rsidR="00557BED" w:rsidRDefault="00557BED" w:rsidP="0055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F9"/>
    <w:multiLevelType w:val="multilevel"/>
    <w:tmpl w:val="F73AECB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AA9"/>
    <w:multiLevelType w:val="hybridMultilevel"/>
    <w:tmpl w:val="9028C684"/>
    <w:lvl w:ilvl="0" w:tplc="F27E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C2AF3"/>
    <w:multiLevelType w:val="multilevel"/>
    <w:tmpl w:val="DECCC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FA53C3"/>
    <w:multiLevelType w:val="hybridMultilevel"/>
    <w:tmpl w:val="4BC05D76"/>
    <w:lvl w:ilvl="0" w:tplc="F27E8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AD20DB"/>
    <w:multiLevelType w:val="hybridMultilevel"/>
    <w:tmpl w:val="B5BA4FD4"/>
    <w:lvl w:ilvl="0" w:tplc="F7AA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4B2B5D"/>
    <w:multiLevelType w:val="hybridMultilevel"/>
    <w:tmpl w:val="58BA38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759D2"/>
    <w:multiLevelType w:val="multilevel"/>
    <w:tmpl w:val="7F36A0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29129F"/>
    <w:multiLevelType w:val="hybridMultilevel"/>
    <w:tmpl w:val="C6E84576"/>
    <w:lvl w:ilvl="0" w:tplc="E33C37C4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0533F"/>
    <w:multiLevelType w:val="hybridMultilevel"/>
    <w:tmpl w:val="C4D6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A39"/>
    <w:multiLevelType w:val="hybridMultilevel"/>
    <w:tmpl w:val="A5C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D16"/>
    <w:multiLevelType w:val="hybridMultilevel"/>
    <w:tmpl w:val="5D6A0A16"/>
    <w:lvl w:ilvl="0" w:tplc="76C048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2C0A4C"/>
    <w:multiLevelType w:val="hybridMultilevel"/>
    <w:tmpl w:val="9470FEA8"/>
    <w:lvl w:ilvl="0" w:tplc="07B06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637D1"/>
    <w:multiLevelType w:val="hybridMultilevel"/>
    <w:tmpl w:val="3680454E"/>
    <w:lvl w:ilvl="0" w:tplc="4CD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7375B07"/>
    <w:multiLevelType w:val="hybridMultilevel"/>
    <w:tmpl w:val="B5BA4FD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1749076">
    <w:abstractNumId w:val="11"/>
  </w:num>
  <w:num w:numId="2" w16cid:durableId="147744956">
    <w:abstractNumId w:val="2"/>
  </w:num>
  <w:num w:numId="3" w16cid:durableId="463934989">
    <w:abstractNumId w:val="4"/>
  </w:num>
  <w:num w:numId="4" w16cid:durableId="474682112">
    <w:abstractNumId w:val="9"/>
  </w:num>
  <w:num w:numId="5" w16cid:durableId="1326861259">
    <w:abstractNumId w:val="10"/>
  </w:num>
  <w:num w:numId="6" w16cid:durableId="1815180298">
    <w:abstractNumId w:val="3"/>
  </w:num>
  <w:num w:numId="7" w16cid:durableId="1714186645">
    <w:abstractNumId w:val="0"/>
  </w:num>
  <w:num w:numId="8" w16cid:durableId="148324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707266">
    <w:abstractNumId w:val="8"/>
  </w:num>
  <w:num w:numId="10" w16cid:durableId="182523803">
    <w:abstractNumId w:val="7"/>
  </w:num>
  <w:num w:numId="11" w16cid:durableId="962271180">
    <w:abstractNumId w:val="14"/>
  </w:num>
  <w:num w:numId="12" w16cid:durableId="713387227">
    <w:abstractNumId w:val="5"/>
  </w:num>
  <w:num w:numId="13" w16cid:durableId="2037730284">
    <w:abstractNumId w:val="15"/>
  </w:num>
  <w:num w:numId="14" w16cid:durableId="1311054738">
    <w:abstractNumId w:val="6"/>
  </w:num>
  <w:num w:numId="15" w16cid:durableId="1404796569">
    <w:abstractNumId w:val="12"/>
  </w:num>
  <w:num w:numId="16" w16cid:durableId="672954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1"/>
    <w:rsid w:val="000146C1"/>
    <w:rsid w:val="000151DE"/>
    <w:rsid w:val="0001680E"/>
    <w:rsid w:val="000177A6"/>
    <w:rsid w:val="0003751D"/>
    <w:rsid w:val="00043FC2"/>
    <w:rsid w:val="000529DD"/>
    <w:rsid w:val="00055EDD"/>
    <w:rsid w:val="000564F3"/>
    <w:rsid w:val="0006075F"/>
    <w:rsid w:val="000613C3"/>
    <w:rsid w:val="000646A9"/>
    <w:rsid w:val="00065DAE"/>
    <w:rsid w:val="00067582"/>
    <w:rsid w:val="0007342C"/>
    <w:rsid w:val="000824BC"/>
    <w:rsid w:val="00083BFB"/>
    <w:rsid w:val="00093BFE"/>
    <w:rsid w:val="00096851"/>
    <w:rsid w:val="00097430"/>
    <w:rsid w:val="000A2DFA"/>
    <w:rsid w:val="000A426F"/>
    <w:rsid w:val="000A4DBE"/>
    <w:rsid w:val="000B0B5E"/>
    <w:rsid w:val="000B0E1D"/>
    <w:rsid w:val="000B12D0"/>
    <w:rsid w:val="000B45C1"/>
    <w:rsid w:val="000B68FF"/>
    <w:rsid w:val="000C07CC"/>
    <w:rsid w:val="000C3815"/>
    <w:rsid w:val="000C6C01"/>
    <w:rsid w:val="000D0E9D"/>
    <w:rsid w:val="000E002E"/>
    <w:rsid w:val="000E089A"/>
    <w:rsid w:val="000E252B"/>
    <w:rsid w:val="000E257B"/>
    <w:rsid w:val="000E620D"/>
    <w:rsid w:val="000E7AF3"/>
    <w:rsid w:val="000F00D1"/>
    <w:rsid w:val="000F75D1"/>
    <w:rsid w:val="00103479"/>
    <w:rsid w:val="001066D0"/>
    <w:rsid w:val="001115E4"/>
    <w:rsid w:val="00122326"/>
    <w:rsid w:val="0012271F"/>
    <w:rsid w:val="0012635A"/>
    <w:rsid w:val="00133B23"/>
    <w:rsid w:val="00134648"/>
    <w:rsid w:val="001356BD"/>
    <w:rsid w:val="001358B2"/>
    <w:rsid w:val="00136D5F"/>
    <w:rsid w:val="0013701D"/>
    <w:rsid w:val="001376ED"/>
    <w:rsid w:val="00143185"/>
    <w:rsid w:val="00144516"/>
    <w:rsid w:val="0014573D"/>
    <w:rsid w:val="0015119E"/>
    <w:rsid w:val="00151F5A"/>
    <w:rsid w:val="00160B10"/>
    <w:rsid w:val="00162CCA"/>
    <w:rsid w:val="00166E66"/>
    <w:rsid w:val="0017251E"/>
    <w:rsid w:val="001747C6"/>
    <w:rsid w:val="001761A5"/>
    <w:rsid w:val="00177A76"/>
    <w:rsid w:val="001818F6"/>
    <w:rsid w:val="001905B0"/>
    <w:rsid w:val="00193C67"/>
    <w:rsid w:val="00195655"/>
    <w:rsid w:val="001A1502"/>
    <w:rsid w:val="001A2055"/>
    <w:rsid w:val="001A2E42"/>
    <w:rsid w:val="001A729F"/>
    <w:rsid w:val="001C37A1"/>
    <w:rsid w:val="001C6D5D"/>
    <w:rsid w:val="001D018D"/>
    <w:rsid w:val="001D230E"/>
    <w:rsid w:val="001D395B"/>
    <w:rsid w:val="001D4380"/>
    <w:rsid w:val="001D6465"/>
    <w:rsid w:val="001E0DFD"/>
    <w:rsid w:val="001E183A"/>
    <w:rsid w:val="001E1DEE"/>
    <w:rsid w:val="001E268F"/>
    <w:rsid w:val="001E49B4"/>
    <w:rsid w:val="001E6255"/>
    <w:rsid w:val="001F05FC"/>
    <w:rsid w:val="001F7F2F"/>
    <w:rsid w:val="00200D18"/>
    <w:rsid w:val="00205734"/>
    <w:rsid w:val="00210698"/>
    <w:rsid w:val="00213EF6"/>
    <w:rsid w:val="002157B5"/>
    <w:rsid w:val="002159CF"/>
    <w:rsid w:val="00221125"/>
    <w:rsid w:val="002235A3"/>
    <w:rsid w:val="002273DA"/>
    <w:rsid w:val="0023148E"/>
    <w:rsid w:val="00232069"/>
    <w:rsid w:val="0023327B"/>
    <w:rsid w:val="00241FE6"/>
    <w:rsid w:val="00243193"/>
    <w:rsid w:val="0024321E"/>
    <w:rsid w:val="00251770"/>
    <w:rsid w:val="00251F7D"/>
    <w:rsid w:val="00252490"/>
    <w:rsid w:val="002524B8"/>
    <w:rsid w:val="002526E1"/>
    <w:rsid w:val="00262FC3"/>
    <w:rsid w:val="00266B92"/>
    <w:rsid w:val="00267119"/>
    <w:rsid w:val="00267731"/>
    <w:rsid w:val="00267B41"/>
    <w:rsid w:val="00277D5F"/>
    <w:rsid w:val="00286369"/>
    <w:rsid w:val="002906E8"/>
    <w:rsid w:val="002A3F1B"/>
    <w:rsid w:val="002A56BF"/>
    <w:rsid w:val="002B04C6"/>
    <w:rsid w:val="002B0DC7"/>
    <w:rsid w:val="002C28E9"/>
    <w:rsid w:val="002C3875"/>
    <w:rsid w:val="002C7653"/>
    <w:rsid w:val="002D56FE"/>
    <w:rsid w:val="002E2668"/>
    <w:rsid w:val="002E7B46"/>
    <w:rsid w:val="002F246C"/>
    <w:rsid w:val="002F418F"/>
    <w:rsid w:val="00302C3F"/>
    <w:rsid w:val="0030323D"/>
    <w:rsid w:val="0030359C"/>
    <w:rsid w:val="003060BA"/>
    <w:rsid w:val="00310C1F"/>
    <w:rsid w:val="00320648"/>
    <w:rsid w:val="00323E20"/>
    <w:rsid w:val="00323FDF"/>
    <w:rsid w:val="00324639"/>
    <w:rsid w:val="00334C8A"/>
    <w:rsid w:val="00344096"/>
    <w:rsid w:val="00350B7A"/>
    <w:rsid w:val="00352D04"/>
    <w:rsid w:val="00362611"/>
    <w:rsid w:val="00362ECE"/>
    <w:rsid w:val="003663BB"/>
    <w:rsid w:val="003675A7"/>
    <w:rsid w:val="003738F7"/>
    <w:rsid w:val="00376649"/>
    <w:rsid w:val="00380464"/>
    <w:rsid w:val="003811BC"/>
    <w:rsid w:val="00384855"/>
    <w:rsid w:val="00384E81"/>
    <w:rsid w:val="003860F4"/>
    <w:rsid w:val="00392898"/>
    <w:rsid w:val="00396AA0"/>
    <w:rsid w:val="00396B2B"/>
    <w:rsid w:val="003A0921"/>
    <w:rsid w:val="003A19F3"/>
    <w:rsid w:val="003A265D"/>
    <w:rsid w:val="003A2C24"/>
    <w:rsid w:val="003A2ECB"/>
    <w:rsid w:val="003B0946"/>
    <w:rsid w:val="003B317E"/>
    <w:rsid w:val="003B4D72"/>
    <w:rsid w:val="003B78DE"/>
    <w:rsid w:val="003C1517"/>
    <w:rsid w:val="003D2B41"/>
    <w:rsid w:val="003F08E0"/>
    <w:rsid w:val="003F19AF"/>
    <w:rsid w:val="003F2364"/>
    <w:rsid w:val="003F67D4"/>
    <w:rsid w:val="003F7A4D"/>
    <w:rsid w:val="00402588"/>
    <w:rsid w:val="00413802"/>
    <w:rsid w:val="00413A21"/>
    <w:rsid w:val="00415A4B"/>
    <w:rsid w:val="00417CEB"/>
    <w:rsid w:val="00421254"/>
    <w:rsid w:val="00421FCB"/>
    <w:rsid w:val="00425E73"/>
    <w:rsid w:val="004300DD"/>
    <w:rsid w:val="00431ACC"/>
    <w:rsid w:val="00433FBF"/>
    <w:rsid w:val="00437B71"/>
    <w:rsid w:val="00442F4A"/>
    <w:rsid w:val="00454D28"/>
    <w:rsid w:val="00460789"/>
    <w:rsid w:val="00473442"/>
    <w:rsid w:val="00475CF6"/>
    <w:rsid w:val="00477A9B"/>
    <w:rsid w:val="00482D26"/>
    <w:rsid w:val="004906B2"/>
    <w:rsid w:val="0049385E"/>
    <w:rsid w:val="00496B2F"/>
    <w:rsid w:val="004A0D18"/>
    <w:rsid w:val="004A64D1"/>
    <w:rsid w:val="004B1B6E"/>
    <w:rsid w:val="004B3651"/>
    <w:rsid w:val="004B5A43"/>
    <w:rsid w:val="004B6243"/>
    <w:rsid w:val="004C12E9"/>
    <w:rsid w:val="004C1C20"/>
    <w:rsid w:val="004C606F"/>
    <w:rsid w:val="004C650B"/>
    <w:rsid w:val="004C74B0"/>
    <w:rsid w:val="004D5767"/>
    <w:rsid w:val="004E04C1"/>
    <w:rsid w:val="004E1CE9"/>
    <w:rsid w:val="004E201D"/>
    <w:rsid w:val="004F1B7F"/>
    <w:rsid w:val="004F2F2A"/>
    <w:rsid w:val="005002DA"/>
    <w:rsid w:val="00504A9A"/>
    <w:rsid w:val="00504D57"/>
    <w:rsid w:val="005171A2"/>
    <w:rsid w:val="00520DB1"/>
    <w:rsid w:val="005233D6"/>
    <w:rsid w:val="0052375E"/>
    <w:rsid w:val="00530751"/>
    <w:rsid w:val="00530822"/>
    <w:rsid w:val="00532FBC"/>
    <w:rsid w:val="00553297"/>
    <w:rsid w:val="00557BED"/>
    <w:rsid w:val="005611D4"/>
    <w:rsid w:val="005700E9"/>
    <w:rsid w:val="005733A0"/>
    <w:rsid w:val="00573520"/>
    <w:rsid w:val="00580D3F"/>
    <w:rsid w:val="00583CBF"/>
    <w:rsid w:val="0058551D"/>
    <w:rsid w:val="00591084"/>
    <w:rsid w:val="005912EB"/>
    <w:rsid w:val="00595538"/>
    <w:rsid w:val="005A04ED"/>
    <w:rsid w:val="005A3BEE"/>
    <w:rsid w:val="005A6DF1"/>
    <w:rsid w:val="005A7ABC"/>
    <w:rsid w:val="005B0C66"/>
    <w:rsid w:val="005B0CFF"/>
    <w:rsid w:val="005B2DCA"/>
    <w:rsid w:val="005C24A6"/>
    <w:rsid w:val="005C347B"/>
    <w:rsid w:val="005C3798"/>
    <w:rsid w:val="005C46E5"/>
    <w:rsid w:val="005D007B"/>
    <w:rsid w:val="005D48C8"/>
    <w:rsid w:val="005E7072"/>
    <w:rsid w:val="005F2382"/>
    <w:rsid w:val="005F29C3"/>
    <w:rsid w:val="005F7757"/>
    <w:rsid w:val="005F7CEE"/>
    <w:rsid w:val="00602DA3"/>
    <w:rsid w:val="00613789"/>
    <w:rsid w:val="00614A84"/>
    <w:rsid w:val="0061761D"/>
    <w:rsid w:val="006214FE"/>
    <w:rsid w:val="00624CE9"/>
    <w:rsid w:val="006306C0"/>
    <w:rsid w:val="006411AF"/>
    <w:rsid w:val="00654DB7"/>
    <w:rsid w:val="00660376"/>
    <w:rsid w:val="00662029"/>
    <w:rsid w:val="00663EB4"/>
    <w:rsid w:val="0066599C"/>
    <w:rsid w:val="00680633"/>
    <w:rsid w:val="00680A21"/>
    <w:rsid w:val="0068485F"/>
    <w:rsid w:val="00686C75"/>
    <w:rsid w:val="0069078B"/>
    <w:rsid w:val="00691DFC"/>
    <w:rsid w:val="006961DD"/>
    <w:rsid w:val="006A48E8"/>
    <w:rsid w:val="006A5E30"/>
    <w:rsid w:val="006B1E87"/>
    <w:rsid w:val="006B7F98"/>
    <w:rsid w:val="006C5548"/>
    <w:rsid w:val="006C7E95"/>
    <w:rsid w:val="006D5E5B"/>
    <w:rsid w:val="006D5F85"/>
    <w:rsid w:val="006E0416"/>
    <w:rsid w:val="006E1071"/>
    <w:rsid w:val="006E366B"/>
    <w:rsid w:val="006E6C07"/>
    <w:rsid w:val="006F4818"/>
    <w:rsid w:val="006F6624"/>
    <w:rsid w:val="00701E4F"/>
    <w:rsid w:val="007028A6"/>
    <w:rsid w:val="007038A9"/>
    <w:rsid w:val="00703D3A"/>
    <w:rsid w:val="007058A5"/>
    <w:rsid w:val="00710079"/>
    <w:rsid w:val="007110D0"/>
    <w:rsid w:val="00713050"/>
    <w:rsid w:val="00714E8B"/>
    <w:rsid w:val="007239D3"/>
    <w:rsid w:val="007311AD"/>
    <w:rsid w:val="007376AF"/>
    <w:rsid w:val="00750A03"/>
    <w:rsid w:val="00753FE2"/>
    <w:rsid w:val="00756816"/>
    <w:rsid w:val="007574CB"/>
    <w:rsid w:val="007644AD"/>
    <w:rsid w:val="007701F0"/>
    <w:rsid w:val="007712E9"/>
    <w:rsid w:val="0077202A"/>
    <w:rsid w:val="007722CD"/>
    <w:rsid w:val="007743CC"/>
    <w:rsid w:val="007774ED"/>
    <w:rsid w:val="00781F3B"/>
    <w:rsid w:val="007850A4"/>
    <w:rsid w:val="00790251"/>
    <w:rsid w:val="007944FD"/>
    <w:rsid w:val="007A4ABE"/>
    <w:rsid w:val="007B06BB"/>
    <w:rsid w:val="007B0FDC"/>
    <w:rsid w:val="007B28B2"/>
    <w:rsid w:val="007B372E"/>
    <w:rsid w:val="007B3E0E"/>
    <w:rsid w:val="007B4931"/>
    <w:rsid w:val="007B4D4D"/>
    <w:rsid w:val="007B631E"/>
    <w:rsid w:val="007B6A17"/>
    <w:rsid w:val="007D2268"/>
    <w:rsid w:val="007D2AAC"/>
    <w:rsid w:val="007D3819"/>
    <w:rsid w:val="007D4DF6"/>
    <w:rsid w:val="007E5532"/>
    <w:rsid w:val="007E5DE1"/>
    <w:rsid w:val="007F1557"/>
    <w:rsid w:val="007F15D2"/>
    <w:rsid w:val="007F3331"/>
    <w:rsid w:val="007F76F8"/>
    <w:rsid w:val="0081346B"/>
    <w:rsid w:val="00813BE5"/>
    <w:rsid w:val="00814BD2"/>
    <w:rsid w:val="00821339"/>
    <w:rsid w:val="00824A17"/>
    <w:rsid w:val="00826655"/>
    <w:rsid w:val="00830AA9"/>
    <w:rsid w:val="00832386"/>
    <w:rsid w:val="008517B3"/>
    <w:rsid w:val="00852925"/>
    <w:rsid w:val="00852B14"/>
    <w:rsid w:val="00855D97"/>
    <w:rsid w:val="00856ACF"/>
    <w:rsid w:val="00860BD7"/>
    <w:rsid w:val="00866255"/>
    <w:rsid w:val="00867AF4"/>
    <w:rsid w:val="0087204F"/>
    <w:rsid w:val="008755AA"/>
    <w:rsid w:val="00880E89"/>
    <w:rsid w:val="00881D2C"/>
    <w:rsid w:val="008827A8"/>
    <w:rsid w:val="00884C91"/>
    <w:rsid w:val="00891315"/>
    <w:rsid w:val="00893571"/>
    <w:rsid w:val="008A23F0"/>
    <w:rsid w:val="008A6A84"/>
    <w:rsid w:val="008A75B1"/>
    <w:rsid w:val="008A7AE9"/>
    <w:rsid w:val="008A7B11"/>
    <w:rsid w:val="008A7DC3"/>
    <w:rsid w:val="008B09F8"/>
    <w:rsid w:val="008B21A4"/>
    <w:rsid w:val="008B2CE2"/>
    <w:rsid w:val="008C0940"/>
    <w:rsid w:val="008C776E"/>
    <w:rsid w:val="008C7AE6"/>
    <w:rsid w:val="008D1F42"/>
    <w:rsid w:val="008D7A4E"/>
    <w:rsid w:val="008E3C34"/>
    <w:rsid w:val="008E5ECC"/>
    <w:rsid w:val="008E6567"/>
    <w:rsid w:val="008E7F44"/>
    <w:rsid w:val="008F44E5"/>
    <w:rsid w:val="008F520D"/>
    <w:rsid w:val="00900EE8"/>
    <w:rsid w:val="00902A17"/>
    <w:rsid w:val="0091171B"/>
    <w:rsid w:val="0091431D"/>
    <w:rsid w:val="00915062"/>
    <w:rsid w:val="00920F13"/>
    <w:rsid w:val="00921030"/>
    <w:rsid w:val="00921803"/>
    <w:rsid w:val="009246FD"/>
    <w:rsid w:val="00947732"/>
    <w:rsid w:val="00954C37"/>
    <w:rsid w:val="00957F23"/>
    <w:rsid w:val="00965379"/>
    <w:rsid w:val="00967295"/>
    <w:rsid w:val="00972B7F"/>
    <w:rsid w:val="009730D9"/>
    <w:rsid w:val="00981F59"/>
    <w:rsid w:val="00986991"/>
    <w:rsid w:val="00987668"/>
    <w:rsid w:val="009900AC"/>
    <w:rsid w:val="00993A15"/>
    <w:rsid w:val="0099553E"/>
    <w:rsid w:val="009B2C76"/>
    <w:rsid w:val="009B683C"/>
    <w:rsid w:val="009C0B7D"/>
    <w:rsid w:val="009C5EAC"/>
    <w:rsid w:val="009D102A"/>
    <w:rsid w:val="009D23C5"/>
    <w:rsid w:val="009D63EA"/>
    <w:rsid w:val="009E399B"/>
    <w:rsid w:val="009E56B5"/>
    <w:rsid w:val="00A0010B"/>
    <w:rsid w:val="00A10804"/>
    <w:rsid w:val="00A138C3"/>
    <w:rsid w:val="00A15EB7"/>
    <w:rsid w:val="00A20558"/>
    <w:rsid w:val="00A225EF"/>
    <w:rsid w:val="00A25889"/>
    <w:rsid w:val="00A27184"/>
    <w:rsid w:val="00A27DA4"/>
    <w:rsid w:val="00A32847"/>
    <w:rsid w:val="00A32A43"/>
    <w:rsid w:val="00A36DB4"/>
    <w:rsid w:val="00A41992"/>
    <w:rsid w:val="00A43A06"/>
    <w:rsid w:val="00A53E1A"/>
    <w:rsid w:val="00A55EDE"/>
    <w:rsid w:val="00A60CE9"/>
    <w:rsid w:val="00A654CC"/>
    <w:rsid w:val="00A67148"/>
    <w:rsid w:val="00A70D51"/>
    <w:rsid w:val="00A72A65"/>
    <w:rsid w:val="00A72D83"/>
    <w:rsid w:val="00A73D66"/>
    <w:rsid w:val="00A77090"/>
    <w:rsid w:val="00A77DD4"/>
    <w:rsid w:val="00A8209C"/>
    <w:rsid w:val="00A93CC7"/>
    <w:rsid w:val="00A94D76"/>
    <w:rsid w:val="00AA1F72"/>
    <w:rsid w:val="00AA251C"/>
    <w:rsid w:val="00AB2E80"/>
    <w:rsid w:val="00AC7E2A"/>
    <w:rsid w:val="00AD0409"/>
    <w:rsid w:val="00AD1041"/>
    <w:rsid w:val="00AD1B19"/>
    <w:rsid w:val="00AD5870"/>
    <w:rsid w:val="00AD7EF9"/>
    <w:rsid w:val="00AE2012"/>
    <w:rsid w:val="00AE32AA"/>
    <w:rsid w:val="00AE5D39"/>
    <w:rsid w:val="00AE7380"/>
    <w:rsid w:val="00AF3E81"/>
    <w:rsid w:val="00AF4AB1"/>
    <w:rsid w:val="00B00779"/>
    <w:rsid w:val="00B00B4E"/>
    <w:rsid w:val="00B0273D"/>
    <w:rsid w:val="00B145A4"/>
    <w:rsid w:val="00B14E0C"/>
    <w:rsid w:val="00B16655"/>
    <w:rsid w:val="00B24512"/>
    <w:rsid w:val="00B34275"/>
    <w:rsid w:val="00B41811"/>
    <w:rsid w:val="00B44D85"/>
    <w:rsid w:val="00B46D8A"/>
    <w:rsid w:val="00B5279B"/>
    <w:rsid w:val="00B53E78"/>
    <w:rsid w:val="00B5429C"/>
    <w:rsid w:val="00B561D6"/>
    <w:rsid w:val="00B60CFB"/>
    <w:rsid w:val="00B60F65"/>
    <w:rsid w:val="00B630B4"/>
    <w:rsid w:val="00B70A1D"/>
    <w:rsid w:val="00B734FA"/>
    <w:rsid w:val="00B7406E"/>
    <w:rsid w:val="00B74DA2"/>
    <w:rsid w:val="00B8670D"/>
    <w:rsid w:val="00B86AC1"/>
    <w:rsid w:val="00B87A0A"/>
    <w:rsid w:val="00B9264B"/>
    <w:rsid w:val="00B92AD9"/>
    <w:rsid w:val="00B953D3"/>
    <w:rsid w:val="00B95821"/>
    <w:rsid w:val="00BA0577"/>
    <w:rsid w:val="00BA5F78"/>
    <w:rsid w:val="00BA71C9"/>
    <w:rsid w:val="00BB0107"/>
    <w:rsid w:val="00BB4280"/>
    <w:rsid w:val="00BC104D"/>
    <w:rsid w:val="00BC3073"/>
    <w:rsid w:val="00BC55F6"/>
    <w:rsid w:val="00BD231D"/>
    <w:rsid w:val="00BD2360"/>
    <w:rsid w:val="00BD3B9D"/>
    <w:rsid w:val="00BE36B4"/>
    <w:rsid w:val="00BE6002"/>
    <w:rsid w:val="00BF26AA"/>
    <w:rsid w:val="00BF3F27"/>
    <w:rsid w:val="00BF7B72"/>
    <w:rsid w:val="00C0224C"/>
    <w:rsid w:val="00C04849"/>
    <w:rsid w:val="00C16A60"/>
    <w:rsid w:val="00C21D50"/>
    <w:rsid w:val="00C22A9F"/>
    <w:rsid w:val="00C266F2"/>
    <w:rsid w:val="00C30AB9"/>
    <w:rsid w:val="00C33586"/>
    <w:rsid w:val="00C35E2D"/>
    <w:rsid w:val="00C37009"/>
    <w:rsid w:val="00C43E75"/>
    <w:rsid w:val="00C4570A"/>
    <w:rsid w:val="00C47E0D"/>
    <w:rsid w:val="00C55EF7"/>
    <w:rsid w:val="00C56E4E"/>
    <w:rsid w:val="00C571DF"/>
    <w:rsid w:val="00C62F99"/>
    <w:rsid w:val="00C66991"/>
    <w:rsid w:val="00C7268A"/>
    <w:rsid w:val="00C77D62"/>
    <w:rsid w:val="00C859B5"/>
    <w:rsid w:val="00C869F4"/>
    <w:rsid w:val="00C93ADD"/>
    <w:rsid w:val="00CB28B7"/>
    <w:rsid w:val="00CB3E97"/>
    <w:rsid w:val="00CB5503"/>
    <w:rsid w:val="00CB631E"/>
    <w:rsid w:val="00CB7A77"/>
    <w:rsid w:val="00CC6C70"/>
    <w:rsid w:val="00CC6F3A"/>
    <w:rsid w:val="00CE4807"/>
    <w:rsid w:val="00CE484D"/>
    <w:rsid w:val="00CE4EF8"/>
    <w:rsid w:val="00CE6CC3"/>
    <w:rsid w:val="00CF49E6"/>
    <w:rsid w:val="00D06543"/>
    <w:rsid w:val="00D15FB5"/>
    <w:rsid w:val="00D168D5"/>
    <w:rsid w:val="00D254D4"/>
    <w:rsid w:val="00D26F8F"/>
    <w:rsid w:val="00D35107"/>
    <w:rsid w:val="00D447EB"/>
    <w:rsid w:val="00D45BB3"/>
    <w:rsid w:val="00D53183"/>
    <w:rsid w:val="00D55AF1"/>
    <w:rsid w:val="00D574E7"/>
    <w:rsid w:val="00D6430B"/>
    <w:rsid w:val="00D65FD2"/>
    <w:rsid w:val="00D66DD8"/>
    <w:rsid w:val="00D67BD9"/>
    <w:rsid w:val="00D731FF"/>
    <w:rsid w:val="00D81572"/>
    <w:rsid w:val="00D81BA6"/>
    <w:rsid w:val="00D8378C"/>
    <w:rsid w:val="00D84B1A"/>
    <w:rsid w:val="00D8500C"/>
    <w:rsid w:val="00D906AF"/>
    <w:rsid w:val="00D9733E"/>
    <w:rsid w:val="00DA4D46"/>
    <w:rsid w:val="00DA7F05"/>
    <w:rsid w:val="00DB1F53"/>
    <w:rsid w:val="00DC2CCF"/>
    <w:rsid w:val="00DC4EE5"/>
    <w:rsid w:val="00DD48E0"/>
    <w:rsid w:val="00DE0C04"/>
    <w:rsid w:val="00DE20FF"/>
    <w:rsid w:val="00DF18EE"/>
    <w:rsid w:val="00DF34A3"/>
    <w:rsid w:val="00DF41E7"/>
    <w:rsid w:val="00DF4D45"/>
    <w:rsid w:val="00DF6AEC"/>
    <w:rsid w:val="00E06E4B"/>
    <w:rsid w:val="00E07887"/>
    <w:rsid w:val="00E118FF"/>
    <w:rsid w:val="00E137C6"/>
    <w:rsid w:val="00E13A66"/>
    <w:rsid w:val="00E1513B"/>
    <w:rsid w:val="00E15B7E"/>
    <w:rsid w:val="00E20831"/>
    <w:rsid w:val="00E20CD7"/>
    <w:rsid w:val="00E33225"/>
    <w:rsid w:val="00E338F0"/>
    <w:rsid w:val="00E34E2D"/>
    <w:rsid w:val="00E40A9B"/>
    <w:rsid w:val="00E419CB"/>
    <w:rsid w:val="00E440F1"/>
    <w:rsid w:val="00E47D60"/>
    <w:rsid w:val="00E50A71"/>
    <w:rsid w:val="00E54E6D"/>
    <w:rsid w:val="00E56165"/>
    <w:rsid w:val="00E60D68"/>
    <w:rsid w:val="00E6129E"/>
    <w:rsid w:val="00E76DDA"/>
    <w:rsid w:val="00E82DCD"/>
    <w:rsid w:val="00E8790A"/>
    <w:rsid w:val="00E87E1D"/>
    <w:rsid w:val="00E962B3"/>
    <w:rsid w:val="00E9771E"/>
    <w:rsid w:val="00EA0ABE"/>
    <w:rsid w:val="00EA268A"/>
    <w:rsid w:val="00EA3BF7"/>
    <w:rsid w:val="00EB22FA"/>
    <w:rsid w:val="00EB2BA9"/>
    <w:rsid w:val="00EB5818"/>
    <w:rsid w:val="00EC3E89"/>
    <w:rsid w:val="00EC49FC"/>
    <w:rsid w:val="00EC6B0B"/>
    <w:rsid w:val="00EC6CD2"/>
    <w:rsid w:val="00EC704D"/>
    <w:rsid w:val="00ED2045"/>
    <w:rsid w:val="00ED28B1"/>
    <w:rsid w:val="00EE1CBF"/>
    <w:rsid w:val="00EE31DE"/>
    <w:rsid w:val="00EF3040"/>
    <w:rsid w:val="00F01F0C"/>
    <w:rsid w:val="00F01F36"/>
    <w:rsid w:val="00F02F5F"/>
    <w:rsid w:val="00F06295"/>
    <w:rsid w:val="00F063A9"/>
    <w:rsid w:val="00F16711"/>
    <w:rsid w:val="00F16C5D"/>
    <w:rsid w:val="00F21E3B"/>
    <w:rsid w:val="00F22981"/>
    <w:rsid w:val="00F26FDA"/>
    <w:rsid w:val="00F37A45"/>
    <w:rsid w:val="00F37F7F"/>
    <w:rsid w:val="00F41C72"/>
    <w:rsid w:val="00F426CA"/>
    <w:rsid w:val="00F457A1"/>
    <w:rsid w:val="00F4734D"/>
    <w:rsid w:val="00F5163E"/>
    <w:rsid w:val="00F57A79"/>
    <w:rsid w:val="00F642BF"/>
    <w:rsid w:val="00F670C8"/>
    <w:rsid w:val="00F6716A"/>
    <w:rsid w:val="00F7113C"/>
    <w:rsid w:val="00F80E09"/>
    <w:rsid w:val="00F8210A"/>
    <w:rsid w:val="00F86779"/>
    <w:rsid w:val="00F949EE"/>
    <w:rsid w:val="00F95932"/>
    <w:rsid w:val="00F95A09"/>
    <w:rsid w:val="00FB1036"/>
    <w:rsid w:val="00FC2B98"/>
    <w:rsid w:val="00FD20E0"/>
    <w:rsid w:val="00FD2342"/>
    <w:rsid w:val="00FD7943"/>
    <w:rsid w:val="00FE0B4C"/>
    <w:rsid w:val="00FE4295"/>
    <w:rsid w:val="00FE4B3C"/>
    <w:rsid w:val="00FF3605"/>
    <w:rsid w:val="00FF513D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6B1"/>
  <w15:docId w15:val="{FCF3872A-342E-48E7-8A4A-7AC0AA6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11"/>
  </w:style>
  <w:style w:type="paragraph" w:styleId="1">
    <w:name w:val="heading 1"/>
    <w:basedOn w:val="a"/>
    <w:next w:val="a"/>
    <w:link w:val="10"/>
    <w:qFormat/>
    <w:rsid w:val="00520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77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7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77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773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77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7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77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77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267731"/>
    <w:rPr>
      <w:b/>
      <w:bCs/>
    </w:rPr>
  </w:style>
  <w:style w:type="paragraph" w:styleId="a4">
    <w:name w:val="Title"/>
    <w:basedOn w:val="a"/>
    <w:next w:val="a"/>
    <w:link w:val="a5"/>
    <w:qFormat/>
    <w:rsid w:val="00520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20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520DB1"/>
    <w:rPr>
      <w:i/>
      <w:iCs/>
    </w:rPr>
  </w:style>
  <w:style w:type="paragraph" w:customStyle="1" w:styleId="ConsPlusNormal">
    <w:name w:val="ConsPlusNormal"/>
    <w:rsid w:val="00777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6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54C37"/>
    <w:pPr>
      <w:ind w:left="720"/>
      <w:contextualSpacing/>
    </w:pPr>
  </w:style>
  <w:style w:type="table" w:styleId="aa">
    <w:name w:val="Table Grid"/>
    <w:basedOn w:val="a1"/>
    <w:uiPriority w:val="59"/>
    <w:rsid w:val="00C4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ubtle Emphasis"/>
    <w:basedOn w:val="a0"/>
    <w:uiPriority w:val="19"/>
    <w:qFormat/>
    <w:rsid w:val="0023327B"/>
    <w:rPr>
      <w:i/>
      <w:iCs/>
      <w:color w:val="808080" w:themeColor="text1" w:themeTint="7F"/>
    </w:rPr>
  </w:style>
  <w:style w:type="paragraph" w:customStyle="1" w:styleId="ConsPlusCell">
    <w:name w:val="ConsPlusCell"/>
    <w:uiPriority w:val="99"/>
    <w:rsid w:val="0023327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aliases w:val="Знак4 Знак"/>
    <w:basedOn w:val="a0"/>
    <w:link w:val="ad"/>
    <w:locked/>
    <w:rsid w:val="00D6430B"/>
  </w:style>
  <w:style w:type="paragraph" w:styleId="ad">
    <w:name w:val="header"/>
    <w:aliases w:val="Знак4"/>
    <w:basedOn w:val="a"/>
    <w:link w:val="ac"/>
    <w:unhideWhenUsed/>
    <w:rsid w:val="00D6430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6430B"/>
  </w:style>
  <w:style w:type="paragraph" w:customStyle="1" w:styleId="12">
    <w:name w:val="Абзац списка1"/>
    <w:basedOn w:val="a"/>
    <w:rsid w:val="006B1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B1E87"/>
  </w:style>
  <w:style w:type="paragraph" w:styleId="af">
    <w:name w:val="footer"/>
    <w:basedOn w:val="a"/>
    <w:link w:val="af0"/>
    <w:uiPriority w:val="99"/>
    <w:unhideWhenUsed/>
    <w:rsid w:val="00557B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5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22D6-5697-47C7-8CDF-417E1DD9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Зацепина Ксения Александровна</cp:lastModifiedBy>
  <cp:revision>51</cp:revision>
  <cp:lastPrinted>2026-01-19T10:29:00Z</cp:lastPrinted>
  <dcterms:created xsi:type="dcterms:W3CDTF">2024-04-18T11:21:00Z</dcterms:created>
  <dcterms:modified xsi:type="dcterms:W3CDTF">2026-02-09T10:35:00Z</dcterms:modified>
</cp:coreProperties>
</file>