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80" w:rsidRDefault="007E4880" w:rsidP="00736C77"/>
    <w:p w:rsidR="002E6510" w:rsidRDefault="001635CC" w:rsidP="00736C77">
      <w:r>
        <w:rPr>
          <w:noProof/>
        </w:rPr>
        <w:pict>
          <v:group id="Группа 6" o:spid="_x0000_s1036" style="position:absolute;margin-left:231.65pt;margin-top:8.2pt;width:212.65pt;height:39.4pt;z-index:251666432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81C93" w:rsidRDefault="00881C93" w:rsidP="00881C93">
                    <w:r>
                      <w:t xml:space="preserve">Регистрационный </w:t>
                    </w:r>
                  </w:p>
                  <w:p w:rsidR="00881C93" w:rsidRDefault="00881C93" w:rsidP="00881C93">
                    <w:r>
                      <w:t xml:space="preserve">номер проекта: </w:t>
                    </w:r>
                  </w:p>
                  <w:p w:rsidR="00881C93" w:rsidRDefault="00881C93" w:rsidP="00881C93"/>
                </w:txbxContent>
              </v:textbox>
            </v:shape>
            <v:rect id="Rectangle 9" o:spid="_x0000_s103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2E6510" w:rsidRDefault="002E6510" w:rsidP="00736C77"/>
    <w:p w:rsidR="00660B79" w:rsidRDefault="00660B79" w:rsidP="00736C77"/>
    <w:p w:rsidR="00660B79" w:rsidRDefault="00660B79" w:rsidP="00736C77"/>
    <w:p w:rsidR="00745556" w:rsidRDefault="00745556" w:rsidP="00745556">
      <w:pPr>
        <w:ind w:left="5812"/>
        <w:jc w:val="center"/>
        <w:rPr>
          <w:sz w:val="22"/>
          <w:szCs w:val="22"/>
        </w:rPr>
      </w:pPr>
    </w:p>
    <w:p w:rsidR="00AF3AF1" w:rsidRDefault="00AF3AF1" w:rsidP="00745556">
      <w:pPr>
        <w:spacing w:line="276" w:lineRule="auto"/>
        <w:jc w:val="center"/>
        <w:rPr>
          <w:sz w:val="26"/>
          <w:szCs w:val="26"/>
        </w:rPr>
      </w:pPr>
    </w:p>
    <w:p w:rsidR="00745556" w:rsidRPr="00FC41B8" w:rsidRDefault="00745556" w:rsidP="00745556">
      <w:pPr>
        <w:spacing w:line="276" w:lineRule="auto"/>
        <w:jc w:val="center"/>
        <w:rPr>
          <w:sz w:val="28"/>
          <w:szCs w:val="28"/>
        </w:rPr>
      </w:pPr>
      <w:r w:rsidRPr="00FC41B8">
        <w:rPr>
          <w:sz w:val="28"/>
          <w:szCs w:val="28"/>
        </w:rPr>
        <w:t>ПОЯСНИТЕЛЬНАЯ ЗАПИСКА</w:t>
      </w:r>
    </w:p>
    <w:p w:rsidR="00881C93" w:rsidRPr="00FC41B8" w:rsidRDefault="00881C93" w:rsidP="00881C93">
      <w:pPr>
        <w:spacing w:line="216" w:lineRule="auto"/>
        <w:jc w:val="center"/>
        <w:rPr>
          <w:sz w:val="28"/>
          <w:szCs w:val="28"/>
        </w:rPr>
      </w:pPr>
      <w:r w:rsidRPr="00FC41B8">
        <w:rPr>
          <w:sz w:val="28"/>
          <w:szCs w:val="28"/>
        </w:rPr>
        <w:t xml:space="preserve">к  проекту постановления </w:t>
      </w:r>
      <w:r w:rsidR="00391742">
        <w:rPr>
          <w:sz w:val="28"/>
          <w:szCs w:val="28"/>
        </w:rPr>
        <w:t>администрации</w:t>
      </w:r>
      <w:r w:rsidRPr="00FC41B8">
        <w:rPr>
          <w:sz w:val="28"/>
          <w:szCs w:val="28"/>
        </w:rPr>
        <w:t xml:space="preserve"> </w:t>
      </w:r>
    </w:p>
    <w:p w:rsidR="006F0042" w:rsidRPr="006F0042" w:rsidRDefault="006F0042" w:rsidP="006F004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6F0042">
        <w:rPr>
          <w:bCs/>
          <w:sz w:val="28"/>
          <w:szCs w:val="28"/>
          <w:u w:val="single"/>
        </w:rPr>
        <w:t xml:space="preserve">О внесении изменений в постановление мэрии городского округа Тольятти от 28.12.2015 г. № 4204-п/1 «Об утверждении Порядка установления, изменения, отмены муниципального маршрута регулярных перевозок </w:t>
      </w:r>
    </w:p>
    <w:p w:rsidR="006F0042" w:rsidRPr="006F0042" w:rsidRDefault="006F0042" w:rsidP="006F004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6F0042">
        <w:rPr>
          <w:bCs/>
          <w:sz w:val="28"/>
          <w:szCs w:val="28"/>
          <w:u w:val="single"/>
        </w:rPr>
        <w:t>в городском округе Тольятти»</w:t>
      </w:r>
    </w:p>
    <w:p w:rsidR="00745556" w:rsidRDefault="00180CB1" w:rsidP="003B13E0">
      <w:pPr>
        <w:jc w:val="center"/>
      </w:pPr>
      <w:r>
        <w:rPr>
          <w:sz w:val="16"/>
          <w:szCs w:val="16"/>
        </w:rPr>
        <w:t xml:space="preserve"> (наименование правового акта)</w:t>
      </w:r>
    </w:p>
    <w:p w:rsidR="00881C93" w:rsidRPr="00881C93" w:rsidRDefault="00881C93" w:rsidP="00881C93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ab/>
      </w:r>
    </w:p>
    <w:p w:rsidR="00495CF4" w:rsidRDefault="00391742" w:rsidP="00580DBF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F0F3D">
        <w:rPr>
          <w:sz w:val="28"/>
          <w:szCs w:val="28"/>
        </w:rPr>
        <w:t xml:space="preserve">Настоящее постановление разработано во исполнение требований </w:t>
      </w:r>
      <w:r w:rsidR="00495CF4">
        <w:rPr>
          <w:sz w:val="28"/>
          <w:szCs w:val="28"/>
        </w:rPr>
        <w:t>Постановления Правительства Самарской области от 23.11.2021 г. № 912 «Об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имеющего два или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</w:t>
      </w:r>
      <w:r w:rsidR="001D760D">
        <w:rPr>
          <w:sz w:val="28"/>
          <w:szCs w:val="28"/>
        </w:rPr>
        <w:t>»</w:t>
      </w:r>
      <w:r w:rsidR="00495CF4">
        <w:rPr>
          <w:sz w:val="28"/>
          <w:szCs w:val="28"/>
        </w:rPr>
        <w:t>.</w:t>
      </w:r>
      <w:proofErr w:type="gramEnd"/>
    </w:p>
    <w:p w:rsidR="001D760D" w:rsidRDefault="001D760D" w:rsidP="001D760D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требованиями, установленными в Порядке</w:t>
      </w:r>
      <w:r>
        <w:rPr>
          <w:sz w:val="28"/>
          <w:szCs w:val="28"/>
        </w:rPr>
        <w:t xml:space="preserve"> согласования установления или изменения муниципального маршрута регулярных перевозок либо межмуниципального маршрута регулярных перевозок, имеющего два или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</w:t>
      </w:r>
      <w:r>
        <w:rPr>
          <w:sz w:val="28"/>
          <w:szCs w:val="28"/>
        </w:rPr>
        <w:t xml:space="preserve">, </w:t>
      </w:r>
      <w:r w:rsidR="007A0C2D">
        <w:rPr>
          <w:sz w:val="28"/>
          <w:szCs w:val="28"/>
        </w:rPr>
        <w:t xml:space="preserve">процедуру согласования </w:t>
      </w:r>
      <w:r w:rsidR="007A0C2D">
        <w:rPr>
          <w:sz w:val="28"/>
          <w:szCs w:val="28"/>
        </w:rPr>
        <w:t>установления или изменения муниципального маршрута регулярных перевозок</w:t>
      </w:r>
      <w:r w:rsidR="007A0C2D">
        <w:rPr>
          <w:sz w:val="28"/>
          <w:szCs w:val="28"/>
        </w:rPr>
        <w:t xml:space="preserve"> </w:t>
      </w:r>
      <w:r w:rsidR="007A0C2D">
        <w:rPr>
          <w:sz w:val="28"/>
          <w:szCs w:val="28"/>
        </w:rPr>
        <w:t>осуществляет</w:t>
      </w:r>
      <w:r w:rsidR="007A0C2D">
        <w:rPr>
          <w:sz w:val="28"/>
          <w:szCs w:val="28"/>
        </w:rPr>
        <w:t xml:space="preserve"> непосредственно </w:t>
      </w:r>
      <w:r>
        <w:rPr>
          <w:sz w:val="28"/>
          <w:szCs w:val="28"/>
        </w:rPr>
        <w:t>уполномоченный орган местного самоуправления, являющийся организатором регулярных муниципальных маршрутов</w:t>
      </w:r>
      <w:r w:rsidR="007A0C2D">
        <w:rPr>
          <w:sz w:val="28"/>
          <w:szCs w:val="28"/>
        </w:rPr>
        <w:t>, то</w:t>
      </w:r>
      <w:proofErr w:type="gramEnd"/>
      <w:r w:rsidR="007A0C2D">
        <w:rPr>
          <w:sz w:val="28"/>
          <w:szCs w:val="28"/>
        </w:rPr>
        <w:t xml:space="preserve"> есть </w:t>
      </w:r>
      <w:r>
        <w:rPr>
          <w:sz w:val="28"/>
          <w:szCs w:val="28"/>
        </w:rPr>
        <w:t>департамент дорожного хозяйства и транспорта администрации городского округа Тольятти</w:t>
      </w:r>
      <w:r w:rsidR="007A0C2D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министерством транспорта и автомобильных дорог Самарской области, являющимся организатором регулярных межмуниципальных маршрутов.</w:t>
      </w:r>
      <w:r w:rsidR="007A0C2D">
        <w:rPr>
          <w:sz w:val="28"/>
          <w:szCs w:val="28"/>
        </w:rPr>
        <w:t xml:space="preserve"> </w:t>
      </w:r>
    </w:p>
    <w:p w:rsidR="007A0C2D" w:rsidRDefault="007A0C2D" w:rsidP="001D760D">
      <w:pPr>
        <w:spacing w:line="276" w:lineRule="auto"/>
        <w:ind w:firstLine="540"/>
        <w:jc w:val="both"/>
        <w:rPr>
          <w:sz w:val="28"/>
          <w:szCs w:val="28"/>
        </w:rPr>
      </w:pPr>
    </w:p>
    <w:p w:rsidR="007A0C2D" w:rsidRDefault="007A0C2D" w:rsidP="007A0C2D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0F3D">
        <w:rPr>
          <w:sz w:val="28"/>
          <w:szCs w:val="28"/>
        </w:rPr>
        <w:t xml:space="preserve">Утверждение постановления </w:t>
      </w:r>
      <w:r>
        <w:rPr>
          <w:sz w:val="28"/>
          <w:szCs w:val="28"/>
        </w:rPr>
        <w:t xml:space="preserve">администрации </w:t>
      </w:r>
      <w:r w:rsidRPr="00BF0F3D">
        <w:rPr>
          <w:sz w:val="28"/>
          <w:szCs w:val="28"/>
        </w:rPr>
        <w:t xml:space="preserve">городского округа Тольятти </w:t>
      </w:r>
      <w:r>
        <w:rPr>
          <w:sz w:val="28"/>
          <w:szCs w:val="28"/>
        </w:rPr>
        <w:t>«</w:t>
      </w:r>
      <w:r w:rsidRPr="00573C58">
        <w:rPr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>
        <w:rPr>
          <w:sz w:val="28"/>
          <w:szCs w:val="28"/>
        </w:rPr>
        <w:t>28</w:t>
      </w:r>
      <w:r w:rsidRPr="00573C5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73C5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73C58">
        <w:rPr>
          <w:sz w:val="28"/>
          <w:szCs w:val="28"/>
        </w:rPr>
        <w:t xml:space="preserve"> г. № </w:t>
      </w:r>
      <w:r>
        <w:rPr>
          <w:sz w:val="28"/>
          <w:szCs w:val="28"/>
        </w:rPr>
        <w:t>4204</w:t>
      </w:r>
      <w:r w:rsidRPr="00573C58">
        <w:rPr>
          <w:sz w:val="28"/>
          <w:szCs w:val="28"/>
        </w:rPr>
        <w:t>-п/1</w:t>
      </w:r>
      <w:r w:rsidRPr="00BF0F3D">
        <w:rPr>
          <w:sz w:val="28"/>
          <w:szCs w:val="28"/>
        </w:rPr>
        <w:t xml:space="preserve"> «</w:t>
      </w:r>
      <w:r w:rsidRPr="009B3641">
        <w:rPr>
          <w:sz w:val="28"/>
          <w:szCs w:val="28"/>
        </w:rPr>
        <w:t xml:space="preserve">«Об утверждении Порядка установления, изменения, отмены муниципального маршрута регулярных перевозок в городском округе </w:t>
      </w:r>
      <w:r>
        <w:rPr>
          <w:sz w:val="28"/>
          <w:szCs w:val="28"/>
        </w:rPr>
        <w:t>Тольятти» не пот</w:t>
      </w:r>
      <w:r w:rsidRPr="00BF0F3D">
        <w:rPr>
          <w:rFonts w:eastAsiaTheme="minorHAnsi"/>
          <w:sz w:val="28"/>
          <w:szCs w:val="28"/>
          <w:lang w:eastAsia="en-US"/>
        </w:rPr>
        <w:t>ребует</w:t>
      </w:r>
      <w:r>
        <w:rPr>
          <w:rFonts w:eastAsiaTheme="minorHAnsi"/>
          <w:sz w:val="28"/>
          <w:szCs w:val="28"/>
          <w:lang w:eastAsia="en-US"/>
        </w:rPr>
        <w:t xml:space="preserve"> разработки новых и </w:t>
      </w:r>
      <w:r>
        <w:rPr>
          <w:rFonts w:eastAsiaTheme="minorHAnsi"/>
          <w:sz w:val="28"/>
          <w:szCs w:val="28"/>
          <w:lang w:eastAsia="en-US"/>
        </w:rPr>
        <w:lastRenderedPageBreak/>
        <w:t>внесения изменений в действующие муниципальные правовые акты городского округа Тольятти.</w:t>
      </w:r>
    </w:p>
    <w:p w:rsidR="007A0C2D" w:rsidRDefault="007A0C2D" w:rsidP="007A0C2D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0C2D" w:rsidRDefault="007A0C2D" w:rsidP="007A0C2D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7A0C2D" w:rsidRDefault="007A0C2D" w:rsidP="001D760D">
      <w:pPr>
        <w:spacing w:line="276" w:lineRule="auto"/>
        <w:ind w:firstLine="540"/>
        <w:jc w:val="both"/>
        <w:rPr>
          <w:sz w:val="28"/>
          <w:szCs w:val="28"/>
        </w:rPr>
      </w:pPr>
    </w:p>
    <w:p w:rsidR="00391742" w:rsidRPr="00BF0F3D" w:rsidRDefault="001D760D" w:rsidP="001D760D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91742" w:rsidRPr="00BF0F3D">
        <w:rPr>
          <w:rFonts w:eastAsiaTheme="minorHAnsi"/>
          <w:sz w:val="28"/>
          <w:szCs w:val="28"/>
          <w:lang w:eastAsia="en-US"/>
        </w:rPr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BF0F3D">
        <w:rPr>
          <w:rFonts w:eastAsiaTheme="minorHAnsi"/>
          <w:sz w:val="28"/>
          <w:szCs w:val="28"/>
          <w:lang w:eastAsia="en-US"/>
        </w:rPr>
        <w:tab/>
        <w:t xml:space="preserve">1) </w:t>
      </w:r>
      <w:r w:rsidRPr="00BF0F3D"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t>2) Федеральный закон от 08.11.2007 г. № 259-ФЗ «Устав автомобильного транспорта и городского наземного электрического транспорта»;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t>3)  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t>4)  Федеральный закон от 10.12.1995 г. № 196-ФЗ «О безопасности дорожного движения»;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t>5) Федеральный закон от 04.05.2011г. № 99-ФЗ «О лицензировании отдельных видов деятельности»;</w:t>
      </w:r>
    </w:p>
    <w:p w:rsidR="00391742" w:rsidRPr="00BF0F3D" w:rsidRDefault="00391742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BF0F3D">
        <w:rPr>
          <w:sz w:val="28"/>
          <w:szCs w:val="28"/>
        </w:rPr>
        <w:t>6) Приказ Министерства транспорта РФ от 15.01.2014 г.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391742" w:rsidRDefault="00391742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BF0F3D">
        <w:rPr>
          <w:sz w:val="28"/>
          <w:szCs w:val="28"/>
        </w:rPr>
        <w:t xml:space="preserve">7) Закон Самарской области от 18.01.2016 г. 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</w:t>
      </w:r>
      <w:r w:rsidRPr="00BF0F3D">
        <w:rPr>
          <w:sz w:val="28"/>
          <w:szCs w:val="28"/>
        </w:rPr>
        <w:lastRenderedPageBreak/>
        <w:t>Самарской области и признании утратившими силу отдельных законодательных актов Самарской области».</w:t>
      </w:r>
      <w:proofErr w:type="gramEnd"/>
    </w:p>
    <w:p w:rsidR="001D760D" w:rsidRDefault="001D760D" w:rsidP="001D760D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Самарской области от 23.11.2021 г.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912 «Об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имеющего два или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перевозок».</w:t>
      </w:r>
      <w:proofErr w:type="gramEnd"/>
    </w:p>
    <w:p w:rsidR="001D760D" w:rsidRPr="00BF0F3D" w:rsidRDefault="001D760D" w:rsidP="00580DB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580DBF" w:rsidRPr="00BF0F3D" w:rsidRDefault="00580DBF" w:rsidP="00391742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391742" w:rsidRPr="00BF0F3D" w:rsidRDefault="00391742" w:rsidP="00391742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Руководитель департамента </w:t>
      </w:r>
    </w:p>
    <w:p w:rsidR="003B13E0" w:rsidRDefault="00391742" w:rsidP="003B13E0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>дорожного хозяйства и транспорта                                                  П.В. Баннов</w:t>
      </w:r>
    </w:p>
    <w:p w:rsidR="00580DBF" w:rsidRDefault="00580DBF" w:rsidP="003B13E0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7A0C2D" w:rsidRDefault="007A0C2D" w:rsidP="001D760D">
      <w:pPr>
        <w:jc w:val="both"/>
        <w:rPr>
          <w:sz w:val="24"/>
          <w:szCs w:val="24"/>
        </w:rPr>
      </w:pPr>
    </w:p>
    <w:p w:rsidR="001D760D" w:rsidRDefault="00391742" w:rsidP="001D760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Т.П. Воронцова </w:t>
      </w:r>
    </w:p>
    <w:p w:rsidR="00391742" w:rsidRDefault="00391742" w:rsidP="001D760D">
      <w:pPr>
        <w:jc w:val="both"/>
        <w:rPr>
          <w:sz w:val="28"/>
          <w:szCs w:val="28"/>
        </w:rPr>
      </w:pPr>
      <w:r>
        <w:rPr>
          <w:sz w:val="24"/>
          <w:szCs w:val="24"/>
        </w:rPr>
        <w:t>54 44 33 (48 74)</w:t>
      </w:r>
    </w:p>
    <w:p w:rsidR="00391742" w:rsidRDefault="00391742" w:rsidP="00391742">
      <w:pPr>
        <w:jc w:val="both"/>
        <w:rPr>
          <w:sz w:val="28"/>
          <w:szCs w:val="28"/>
        </w:rPr>
      </w:pPr>
    </w:p>
    <w:p w:rsidR="00427D6D" w:rsidRPr="00FE66A0" w:rsidRDefault="00427D6D" w:rsidP="00391742">
      <w:pPr>
        <w:spacing w:line="360" w:lineRule="auto"/>
        <w:ind w:firstLine="540"/>
        <w:jc w:val="both"/>
        <w:rPr>
          <w:sz w:val="28"/>
          <w:szCs w:val="28"/>
        </w:rPr>
      </w:pPr>
    </w:p>
    <w:sectPr w:rsidR="00427D6D" w:rsidRPr="00FE66A0" w:rsidSect="00580D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CC" w:rsidRDefault="001635CC" w:rsidP="00580DBF">
      <w:r>
        <w:separator/>
      </w:r>
    </w:p>
  </w:endnote>
  <w:endnote w:type="continuationSeparator" w:id="0">
    <w:p w:rsidR="001635CC" w:rsidRDefault="001635CC" w:rsidP="0058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CC" w:rsidRDefault="001635CC" w:rsidP="00580DBF">
      <w:r>
        <w:separator/>
      </w:r>
    </w:p>
  </w:footnote>
  <w:footnote w:type="continuationSeparator" w:id="0">
    <w:p w:rsidR="001635CC" w:rsidRDefault="001635CC" w:rsidP="0058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09395"/>
      <w:docPartObj>
        <w:docPartGallery w:val="Page Numbers (Top of Page)"/>
        <w:docPartUnique/>
      </w:docPartObj>
    </w:sdtPr>
    <w:sdtEndPr/>
    <w:sdtContent>
      <w:p w:rsidR="00580DBF" w:rsidRDefault="00580D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C2D">
          <w:rPr>
            <w:noProof/>
          </w:rPr>
          <w:t>3</w:t>
        </w:r>
        <w:r>
          <w:fldChar w:fldCharType="end"/>
        </w:r>
      </w:p>
    </w:sdtContent>
  </w:sdt>
  <w:p w:rsidR="00580DBF" w:rsidRDefault="00580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77"/>
    <w:rsid w:val="00003F99"/>
    <w:rsid w:val="00005EE5"/>
    <w:rsid w:val="00020D04"/>
    <w:rsid w:val="00026119"/>
    <w:rsid w:val="00063ECF"/>
    <w:rsid w:val="000A683E"/>
    <w:rsid w:val="000B0C26"/>
    <w:rsid w:val="000B2E61"/>
    <w:rsid w:val="000E19BF"/>
    <w:rsid w:val="001635CC"/>
    <w:rsid w:val="00180CB1"/>
    <w:rsid w:val="00196628"/>
    <w:rsid w:val="001B14E2"/>
    <w:rsid w:val="001C7AAD"/>
    <w:rsid w:val="001D1B11"/>
    <w:rsid w:val="001D760D"/>
    <w:rsid w:val="001E6A2C"/>
    <w:rsid w:val="002053C5"/>
    <w:rsid w:val="00222FF4"/>
    <w:rsid w:val="00233C1F"/>
    <w:rsid w:val="002373F0"/>
    <w:rsid w:val="0024117B"/>
    <w:rsid w:val="002437D7"/>
    <w:rsid w:val="00274D62"/>
    <w:rsid w:val="002A0F57"/>
    <w:rsid w:val="002A5304"/>
    <w:rsid w:val="002A676F"/>
    <w:rsid w:val="002B7B72"/>
    <w:rsid w:val="002E5498"/>
    <w:rsid w:val="002E6510"/>
    <w:rsid w:val="003005FE"/>
    <w:rsid w:val="00303D3F"/>
    <w:rsid w:val="0030624F"/>
    <w:rsid w:val="003164BA"/>
    <w:rsid w:val="00317AE9"/>
    <w:rsid w:val="00335B87"/>
    <w:rsid w:val="003810F8"/>
    <w:rsid w:val="00391742"/>
    <w:rsid w:val="003B13E0"/>
    <w:rsid w:val="003B74B8"/>
    <w:rsid w:val="003C1993"/>
    <w:rsid w:val="003C5A8E"/>
    <w:rsid w:val="003E3972"/>
    <w:rsid w:val="003F0A2D"/>
    <w:rsid w:val="003F7802"/>
    <w:rsid w:val="00427D6D"/>
    <w:rsid w:val="0047310B"/>
    <w:rsid w:val="00494F67"/>
    <w:rsid w:val="00495CF4"/>
    <w:rsid w:val="004B7104"/>
    <w:rsid w:val="004D3C9D"/>
    <w:rsid w:val="0051211D"/>
    <w:rsid w:val="005155D2"/>
    <w:rsid w:val="00531943"/>
    <w:rsid w:val="00540291"/>
    <w:rsid w:val="00571E55"/>
    <w:rsid w:val="005732FE"/>
    <w:rsid w:val="00575E59"/>
    <w:rsid w:val="00580DBF"/>
    <w:rsid w:val="005A00A1"/>
    <w:rsid w:val="005C4F55"/>
    <w:rsid w:val="005C5ADE"/>
    <w:rsid w:val="005E17D7"/>
    <w:rsid w:val="005E2DB2"/>
    <w:rsid w:val="005F3D57"/>
    <w:rsid w:val="005F666A"/>
    <w:rsid w:val="006147C5"/>
    <w:rsid w:val="006464BB"/>
    <w:rsid w:val="00656C6B"/>
    <w:rsid w:val="00660B79"/>
    <w:rsid w:val="00677D57"/>
    <w:rsid w:val="006878A0"/>
    <w:rsid w:val="006A36F6"/>
    <w:rsid w:val="006F0042"/>
    <w:rsid w:val="006F4005"/>
    <w:rsid w:val="0070340F"/>
    <w:rsid w:val="00704CE6"/>
    <w:rsid w:val="007114AC"/>
    <w:rsid w:val="00736C77"/>
    <w:rsid w:val="0073764E"/>
    <w:rsid w:val="00745556"/>
    <w:rsid w:val="00753B59"/>
    <w:rsid w:val="007779CA"/>
    <w:rsid w:val="00786690"/>
    <w:rsid w:val="007A0C2D"/>
    <w:rsid w:val="007C75FA"/>
    <w:rsid w:val="007C7B57"/>
    <w:rsid w:val="007D5D9F"/>
    <w:rsid w:val="007D7716"/>
    <w:rsid w:val="007E04B6"/>
    <w:rsid w:val="007E2BE5"/>
    <w:rsid w:val="007E4880"/>
    <w:rsid w:val="007F4776"/>
    <w:rsid w:val="008224BF"/>
    <w:rsid w:val="00830CD8"/>
    <w:rsid w:val="00833590"/>
    <w:rsid w:val="00833BC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5516C"/>
    <w:rsid w:val="00984632"/>
    <w:rsid w:val="009A00EC"/>
    <w:rsid w:val="009D0CFF"/>
    <w:rsid w:val="009F1106"/>
    <w:rsid w:val="00A10CFA"/>
    <w:rsid w:val="00A15AE1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C05A4"/>
    <w:rsid w:val="00AC2498"/>
    <w:rsid w:val="00AF3AF1"/>
    <w:rsid w:val="00B21355"/>
    <w:rsid w:val="00B33071"/>
    <w:rsid w:val="00B567EC"/>
    <w:rsid w:val="00B66D5A"/>
    <w:rsid w:val="00BA08D1"/>
    <w:rsid w:val="00BB3116"/>
    <w:rsid w:val="00BD2513"/>
    <w:rsid w:val="00C21F8F"/>
    <w:rsid w:val="00C26A92"/>
    <w:rsid w:val="00C5595F"/>
    <w:rsid w:val="00C579C6"/>
    <w:rsid w:val="00C84F44"/>
    <w:rsid w:val="00CA5516"/>
    <w:rsid w:val="00D33320"/>
    <w:rsid w:val="00D466F5"/>
    <w:rsid w:val="00D66BAC"/>
    <w:rsid w:val="00D91971"/>
    <w:rsid w:val="00DB6487"/>
    <w:rsid w:val="00DD55E5"/>
    <w:rsid w:val="00DD7925"/>
    <w:rsid w:val="00E46163"/>
    <w:rsid w:val="00E56707"/>
    <w:rsid w:val="00EC6770"/>
    <w:rsid w:val="00EE1F6D"/>
    <w:rsid w:val="00EE49D0"/>
    <w:rsid w:val="00F07168"/>
    <w:rsid w:val="00F16284"/>
    <w:rsid w:val="00F177D6"/>
    <w:rsid w:val="00F47E29"/>
    <w:rsid w:val="00F7042C"/>
    <w:rsid w:val="00F8429E"/>
    <w:rsid w:val="00F9367B"/>
    <w:rsid w:val="00FB212A"/>
    <w:rsid w:val="00FC41B8"/>
    <w:rsid w:val="00FC6485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80D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0D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90A7-E4FA-4156-96E3-C90CF361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2022-02-11T10:34:00Z</cp:lastPrinted>
  <dcterms:created xsi:type="dcterms:W3CDTF">2022-02-11T10:11:00Z</dcterms:created>
  <dcterms:modified xsi:type="dcterms:W3CDTF">2022-02-11T10:35:00Z</dcterms:modified>
</cp:coreProperties>
</file>