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6C8" w:rsidRPr="00D772D6" w:rsidRDefault="00E71730" w:rsidP="00E71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2D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248CD" w:rsidRPr="00C248CD" w:rsidRDefault="00C248CD" w:rsidP="00C248CD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48CD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9B22F5">
        <w:rPr>
          <w:rFonts w:ascii="Times New Roman" w:hAnsi="Times New Roman" w:cs="Times New Roman"/>
          <w:sz w:val="28"/>
          <w:szCs w:val="28"/>
        </w:rPr>
        <w:t>постановления</w:t>
      </w:r>
      <w:r w:rsidRPr="00C248CD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</w:p>
    <w:p w:rsidR="009B22F5" w:rsidRPr="009B22F5" w:rsidRDefault="00C248CD" w:rsidP="009B22F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48CD">
        <w:rPr>
          <w:rFonts w:ascii="Times New Roman" w:hAnsi="Times New Roman" w:cs="Times New Roman"/>
          <w:sz w:val="28"/>
          <w:szCs w:val="28"/>
        </w:rPr>
        <w:t>«</w:t>
      </w:r>
      <w:r w:rsidR="009B22F5" w:rsidRPr="009B22F5">
        <w:rPr>
          <w:rFonts w:ascii="Times New Roman" w:hAnsi="Times New Roman" w:cs="Times New Roman"/>
          <w:b w:val="0"/>
          <w:sz w:val="28"/>
          <w:szCs w:val="28"/>
        </w:rPr>
        <w:t xml:space="preserve">О введении временного ограничения движения транспортных средств </w:t>
      </w:r>
      <w:r w:rsidR="009B22F5">
        <w:rPr>
          <w:rFonts w:ascii="Times New Roman" w:hAnsi="Times New Roman" w:cs="Times New Roman"/>
          <w:b w:val="0"/>
          <w:sz w:val="28"/>
          <w:szCs w:val="28"/>
        </w:rPr>
        <w:br/>
      </w:r>
      <w:r w:rsidR="009B22F5" w:rsidRPr="009B22F5">
        <w:rPr>
          <w:rFonts w:ascii="Times New Roman" w:hAnsi="Times New Roman" w:cs="Times New Roman"/>
          <w:b w:val="0"/>
          <w:sz w:val="28"/>
          <w:szCs w:val="28"/>
        </w:rPr>
        <w:t xml:space="preserve">по путепроводу через ж/д перегон Жигулевское Море – </w:t>
      </w:r>
      <w:proofErr w:type="spellStart"/>
      <w:r w:rsidR="009B22F5" w:rsidRPr="009B22F5">
        <w:rPr>
          <w:rFonts w:ascii="Times New Roman" w:hAnsi="Times New Roman" w:cs="Times New Roman"/>
          <w:b w:val="0"/>
          <w:sz w:val="28"/>
          <w:szCs w:val="28"/>
        </w:rPr>
        <w:t>Химзаводская</w:t>
      </w:r>
      <w:proofErr w:type="spellEnd"/>
      <w:r w:rsidR="009B22F5" w:rsidRPr="009B22F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9B22F5" w:rsidRPr="009B22F5" w:rsidRDefault="009B22F5" w:rsidP="009B22F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B22F5">
        <w:rPr>
          <w:rFonts w:ascii="Times New Roman" w:hAnsi="Times New Roman" w:cs="Times New Roman"/>
          <w:b w:val="0"/>
          <w:sz w:val="28"/>
          <w:szCs w:val="28"/>
        </w:rPr>
        <w:t xml:space="preserve">а/д по ул. </w:t>
      </w:r>
      <w:proofErr w:type="spellStart"/>
      <w:r w:rsidRPr="009B22F5">
        <w:rPr>
          <w:rFonts w:ascii="Times New Roman" w:hAnsi="Times New Roman" w:cs="Times New Roman"/>
          <w:b w:val="0"/>
          <w:sz w:val="28"/>
          <w:szCs w:val="28"/>
        </w:rPr>
        <w:t>Нижнегородская</w:t>
      </w:r>
      <w:proofErr w:type="spellEnd"/>
      <w:r w:rsidRPr="009B22F5">
        <w:rPr>
          <w:rFonts w:ascii="Times New Roman" w:hAnsi="Times New Roman" w:cs="Times New Roman"/>
          <w:b w:val="0"/>
          <w:sz w:val="28"/>
          <w:szCs w:val="28"/>
        </w:rPr>
        <w:t xml:space="preserve"> и местный проезд на км 4+410 </w:t>
      </w:r>
    </w:p>
    <w:p w:rsidR="00C248CD" w:rsidRPr="00C248CD" w:rsidRDefault="009B22F5" w:rsidP="009B22F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B22F5">
        <w:rPr>
          <w:rFonts w:ascii="Times New Roman" w:hAnsi="Times New Roman" w:cs="Times New Roman"/>
          <w:b w:val="0"/>
          <w:sz w:val="28"/>
          <w:szCs w:val="28"/>
        </w:rPr>
        <w:t>автомобильной дороги по ул. Громовой</w:t>
      </w:r>
      <w:r w:rsidR="00637A45">
        <w:rPr>
          <w:rFonts w:ascii="Times New Roman" w:hAnsi="Times New Roman" w:cs="Times New Roman"/>
          <w:sz w:val="28"/>
          <w:szCs w:val="28"/>
        </w:rPr>
        <w:t>»</w:t>
      </w:r>
    </w:p>
    <w:p w:rsidR="005E5690" w:rsidRPr="00E71730" w:rsidRDefault="005E5690" w:rsidP="00E717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0639" w:rsidRDefault="00EE0639" w:rsidP="000B1A22">
      <w:pPr>
        <w:pStyle w:val="ConsPlusNormal"/>
        <w:widowControl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Разработчиком Проекта является департамент дорожного хозяйства </w:t>
      </w:r>
      <w:r w:rsidR="00637A45">
        <w:rPr>
          <w:sz w:val="28"/>
          <w:szCs w:val="28"/>
        </w:rPr>
        <w:br/>
      </w:r>
      <w:r>
        <w:rPr>
          <w:sz w:val="28"/>
          <w:szCs w:val="28"/>
        </w:rPr>
        <w:t>и транспорта</w:t>
      </w:r>
      <w:r w:rsidR="008D6D97">
        <w:rPr>
          <w:sz w:val="28"/>
          <w:szCs w:val="28"/>
        </w:rPr>
        <w:t xml:space="preserve"> (далее – Департамент)</w:t>
      </w:r>
      <w:r>
        <w:rPr>
          <w:sz w:val="28"/>
          <w:szCs w:val="28"/>
        </w:rPr>
        <w:t>.</w:t>
      </w:r>
    </w:p>
    <w:p w:rsidR="009B22F5" w:rsidRPr="009B22F5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Проект подготовлен в связи с неудовлетворительным техническим состоянием железобетонных конструкций путепровода через ж/д перегон Жигулевское Море – </w:t>
      </w:r>
      <w:proofErr w:type="spellStart"/>
      <w:r w:rsidRPr="009B22F5">
        <w:rPr>
          <w:sz w:val="28"/>
          <w:szCs w:val="28"/>
        </w:rPr>
        <w:t>Химзаводская</w:t>
      </w:r>
      <w:proofErr w:type="spellEnd"/>
      <w:r w:rsidRPr="009B22F5">
        <w:rPr>
          <w:sz w:val="28"/>
          <w:szCs w:val="28"/>
        </w:rPr>
        <w:t xml:space="preserve">, а/д по ул. </w:t>
      </w:r>
      <w:proofErr w:type="spellStart"/>
      <w:r w:rsidRPr="009B22F5">
        <w:rPr>
          <w:sz w:val="28"/>
          <w:szCs w:val="28"/>
        </w:rPr>
        <w:t>Нижнегородская</w:t>
      </w:r>
      <w:proofErr w:type="spellEnd"/>
      <w:r w:rsidRPr="009B22F5">
        <w:rPr>
          <w:sz w:val="28"/>
          <w:szCs w:val="28"/>
        </w:rPr>
        <w:t xml:space="preserve"> и местный проезд на км 4+410 автомобильной дороги по ул. Громовой (далее </w:t>
      </w:r>
      <w:r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Сооружение), в соответствии </w:t>
      </w:r>
      <w:r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с частью 2.1 статьи 30 Федерального закона от 08.11.2007 № 257-ФЗ </w:t>
      </w:r>
      <w:r>
        <w:rPr>
          <w:sz w:val="28"/>
          <w:szCs w:val="28"/>
        </w:rPr>
        <w:br/>
      </w:r>
      <w:r w:rsidRPr="009B22F5">
        <w:rPr>
          <w:sz w:val="28"/>
          <w:szCs w:val="28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частью 2 статьи 2 Закона Самарской области от 10.04.2013 № 25-ГД «Об автомобильных дорогах и о дорожной деятельности на территории</w:t>
      </w:r>
      <w:r w:rsidR="000B1A22">
        <w:rPr>
          <w:sz w:val="28"/>
          <w:szCs w:val="28"/>
        </w:rPr>
        <w:t xml:space="preserve"> Самарской области», пунктами</w:t>
      </w:r>
      <w:r w:rsidRPr="009B22F5">
        <w:rPr>
          <w:sz w:val="28"/>
          <w:szCs w:val="28"/>
        </w:rPr>
        <w:t xml:space="preserve"> 5 части 1 статьи 1</w:t>
      </w:r>
      <w:r w:rsidR="000B1A22">
        <w:rPr>
          <w:sz w:val="28"/>
          <w:szCs w:val="28"/>
        </w:rPr>
        <w:t>6</w:t>
      </w:r>
      <w:r w:rsidRPr="009B22F5">
        <w:rPr>
          <w:sz w:val="28"/>
          <w:szCs w:val="28"/>
        </w:rPr>
        <w:t xml:space="preserve"> Федерального закона от 06.10.2003 </w:t>
      </w:r>
      <w:r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№ 131-ФЗ «Об общих принципах организации местного самоуправления </w:t>
      </w:r>
      <w:r>
        <w:rPr>
          <w:sz w:val="28"/>
          <w:szCs w:val="28"/>
        </w:rPr>
        <w:br/>
      </w:r>
      <w:r w:rsidRPr="009B22F5">
        <w:rPr>
          <w:sz w:val="28"/>
          <w:szCs w:val="28"/>
        </w:rPr>
        <w:t>в Российской Федерации», пунктом 4 статьи 6 Федерального закона от 10.12.1995 № 196-ФЗ «О безопасности дорожного движения», а также Порядком осуществления временных ограничений или прекращения движения транспортных средств по автомобильным дорогам местного значения в Самарской области, утверждённым Постановлением Правительства Самарской области от 08.04.2014 № 180.</w:t>
      </w:r>
    </w:p>
    <w:p w:rsidR="009B22F5" w:rsidRPr="009B22F5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Сооружение представляет собой балочный, разрезной, железобетонный, </w:t>
      </w:r>
      <w:proofErr w:type="spellStart"/>
      <w:r w:rsidRPr="009B22F5">
        <w:rPr>
          <w:sz w:val="28"/>
          <w:szCs w:val="28"/>
        </w:rPr>
        <w:t>пятипролётный</w:t>
      </w:r>
      <w:proofErr w:type="spellEnd"/>
      <w:r w:rsidRPr="009B22F5">
        <w:rPr>
          <w:sz w:val="28"/>
          <w:szCs w:val="28"/>
        </w:rPr>
        <w:t xml:space="preserve"> путепровод, выполненный по схеме 15,00 + 3×21,00 + 15,00 м (расчётная схема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14,40 + 3×20,40 + 14,40 м), габарит Г</w:t>
      </w:r>
      <w:r w:rsidR="000B1A22">
        <w:rPr>
          <w:sz w:val="28"/>
          <w:szCs w:val="28"/>
        </w:rPr>
        <w:t>-</w:t>
      </w:r>
      <w:r w:rsidRPr="009B22F5">
        <w:rPr>
          <w:sz w:val="28"/>
          <w:szCs w:val="28"/>
        </w:rPr>
        <w:t xml:space="preserve">23,90 м. Полная длина путепровода по задним граням устоев составляет 105,50 м, ширина в свету между перилами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26,56 м. По типу пролётные строения ПС-1, ПС-5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ребристые балки без диафрагм таврового сечения, ПС-2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ПС-4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ребристые балки без диафрагм двутаврового сечения. Год постройки</w:t>
      </w:r>
      <w:r w:rsidR="00863242">
        <w:rPr>
          <w:sz w:val="28"/>
          <w:szCs w:val="28"/>
        </w:rPr>
        <w:t xml:space="preserve"> – 1977-1978 год</w:t>
      </w:r>
      <w:r w:rsidRPr="009B22F5">
        <w:rPr>
          <w:sz w:val="28"/>
          <w:szCs w:val="28"/>
        </w:rPr>
        <w:t xml:space="preserve">, проектная и строительная организации </w:t>
      </w:r>
      <w:proofErr w:type="spellStart"/>
      <w:r w:rsidR="00863242">
        <w:rPr>
          <w:sz w:val="28"/>
          <w:szCs w:val="28"/>
        </w:rPr>
        <w:t>Мостотряд</w:t>
      </w:r>
      <w:proofErr w:type="spellEnd"/>
      <w:r w:rsidR="00863242">
        <w:rPr>
          <w:sz w:val="28"/>
          <w:szCs w:val="28"/>
        </w:rPr>
        <w:t xml:space="preserve"> № 21 треста </w:t>
      </w:r>
      <w:proofErr w:type="spellStart"/>
      <w:r w:rsidR="00863242">
        <w:rPr>
          <w:sz w:val="28"/>
          <w:szCs w:val="28"/>
        </w:rPr>
        <w:t>Мостострой</w:t>
      </w:r>
      <w:proofErr w:type="spellEnd"/>
      <w:r w:rsidR="00863242">
        <w:rPr>
          <w:sz w:val="28"/>
          <w:szCs w:val="28"/>
        </w:rPr>
        <w:t xml:space="preserve"> № 3</w:t>
      </w:r>
      <w:r w:rsidRPr="009B22F5">
        <w:rPr>
          <w:sz w:val="28"/>
          <w:szCs w:val="28"/>
        </w:rPr>
        <w:t xml:space="preserve">. Эксплуатирующей организацией является администрация городского округа Тольятти. Проектные временные нагрузки </w:t>
      </w:r>
      <w:r w:rsidR="000B1A22">
        <w:rPr>
          <w:sz w:val="28"/>
          <w:szCs w:val="28"/>
        </w:rPr>
        <w:t>–</w:t>
      </w:r>
      <w:r w:rsidR="00863242">
        <w:rPr>
          <w:sz w:val="28"/>
          <w:szCs w:val="28"/>
        </w:rPr>
        <w:t xml:space="preserve"> </w:t>
      </w:r>
      <w:r w:rsidRPr="009B22F5">
        <w:rPr>
          <w:sz w:val="28"/>
          <w:szCs w:val="28"/>
        </w:rPr>
        <w:t>Н-30 и НК-80. Габарит по высоте ограничен линиями троллейбусного движения и составляет 4 м.</w:t>
      </w:r>
    </w:p>
    <w:p w:rsidR="000B1A22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В 2026 году в соответствии с муниципальным контрактом от 14.04.2026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№ 0142300010026000024 выполнена периодическая диагностика Сооружения. Обследование проводилось ООО «Центр Дорожного Проектирования»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(г. Воронеж), технический отчёт составлен по состоянию на апрель 2026 г. </w:t>
      </w:r>
    </w:p>
    <w:p w:rsidR="009B22F5" w:rsidRPr="009B22F5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Согласно заключению о техническом состоянии строительных конструкций выявлены следующие дефекты: трещины в покрытии проезжей части в зоне деформационных швов; грунтовые отложения в пределах полос безопасности; несоответствие геометрических размеров ограждений безопасности нормативным </w:t>
      </w:r>
      <w:r w:rsidRPr="009B22F5">
        <w:rPr>
          <w:sz w:val="28"/>
          <w:szCs w:val="28"/>
        </w:rPr>
        <w:lastRenderedPageBreak/>
        <w:t xml:space="preserve">требованиям; недостаточная высота перильного ограждения; грунтовые отложения на прохожей части тротуаров; несоответствие габарита прохода по ширине тротуаров действующим нормативным требованиям; нарушение герметичности деформационных швов; локальное нарушение гидроизоляции мостового полотна; </w:t>
      </w:r>
      <w:proofErr w:type="spellStart"/>
      <w:r w:rsidRPr="009B22F5">
        <w:rPr>
          <w:sz w:val="28"/>
          <w:szCs w:val="28"/>
        </w:rPr>
        <w:t>деградационное</w:t>
      </w:r>
      <w:proofErr w:type="spellEnd"/>
      <w:r w:rsidRPr="009B22F5">
        <w:rPr>
          <w:sz w:val="28"/>
          <w:szCs w:val="28"/>
        </w:rPr>
        <w:t xml:space="preserve"> разрушение бетона парапетного ограждения безопасности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с оголением арматуры и её коррозией; смятие и расслоение опорных частей типа РОЧ; выщелачивание бетона с отложением солей на поверхности пролётных строений; </w:t>
      </w:r>
      <w:proofErr w:type="spellStart"/>
      <w:r w:rsidRPr="009B22F5">
        <w:rPr>
          <w:sz w:val="28"/>
          <w:szCs w:val="28"/>
        </w:rPr>
        <w:t>деградационное</w:t>
      </w:r>
      <w:proofErr w:type="spellEnd"/>
      <w:r w:rsidRPr="009B22F5">
        <w:rPr>
          <w:sz w:val="28"/>
          <w:szCs w:val="28"/>
        </w:rPr>
        <w:t xml:space="preserve"> разрушение бетона в отдельных элементах пролётных строений с оголением арматуры и её коррозией; разрушение бетона торцов тавровых балок; образование трещин в ребре тавровой балки пролётного строения; следы протечек на ригелях опор; завал верхних поверхностей ригелей крайних опор грунтом; образование трещин в ригелях крайних опор; </w:t>
      </w:r>
      <w:proofErr w:type="spellStart"/>
      <w:r w:rsidRPr="009B22F5">
        <w:rPr>
          <w:sz w:val="28"/>
          <w:szCs w:val="28"/>
        </w:rPr>
        <w:t>деградационное</w:t>
      </w:r>
      <w:proofErr w:type="spellEnd"/>
      <w:r w:rsidRPr="009B22F5">
        <w:rPr>
          <w:sz w:val="28"/>
          <w:szCs w:val="28"/>
        </w:rPr>
        <w:t xml:space="preserve"> разрушение бетона ригелей промежуточных опор с оголением арматуры и её коррозией; отслоение бетона в отдельных элементах опор без оголения арматуры; образование волосяных трещин в отдельных стойках опор; образование пустот под переходной тротуарной плитой на сопряжении № 1 справа; разрушение укрепления конуса № 1 слева; зарастание растительностью укрепления конусов насыпи и лестничного схода.</w:t>
      </w:r>
    </w:p>
    <w:p w:rsidR="009B22F5" w:rsidRPr="009B22F5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По результатам квалификации выявленных дефектов и повреждений,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>в соответствии с ОДМ 218.3.014-2011, а также по результатам выезда специалистов Департамента к месту нахождения Сооружения и детального визуального осмотра установлено, что техническое состояние строительных конструкций путепровода является неудовлетворительным и оценивается в 2 балла</w:t>
      </w:r>
      <w:r w:rsidR="00863242">
        <w:rPr>
          <w:sz w:val="28"/>
          <w:szCs w:val="28"/>
        </w:rPr>
        <w:t xml:space="preserve"> (макс.: 5; мин.: 0)</w:t>
      </w:r>
      <w:r w:rsidRPr="009B22F5">
        <w:rPr>
          <w:sz w:val="28"/>
          <w:szCs w:val="28"/>
        </w:rPr>
        <w:t xml:space="preserve">, безопасная эксплуатация Сооружения в нормальном режиме невозможна. Грузоподъёмность Сооружения не соответствует нормативной: по результатам расчётов, выполненных с учётом влияния дефектов и фактических постоянных нагрузок, получены минимальные классы нагрузок К(АК) = 9,0, К(НК) = 7,8, </w:t>
      </w:r>
      <w:r w:rsidR="0086324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К(ЭН) = 24,4. Сооружение не может эксплуатироваться в нормальном режиме </w:t>
      </w:r>
      <w:r w:rsidR="00863242">
        <w:rPr>
          <w:sz w:val="28"/>
          <w:szCs w:val="28"/>
        </w:rPr>
        <w:br/>
      </w:r>
      <w:bookmarkStart w:id="0" w:name="_GoBack"/>
      <w:bookmarkEnd w:id="0"/>
      <w:r w:rsidRPr="009B22F5">
        <w:rPr>
          <w:sz w:val="28"/>
          <w:szCs w:val="28"/>
        </w:rPr>
        <w:t>под временные нагрузки А11 и Н11, в связи с чем требуется введение ограничений по пропуску транспортных средств.</w:t>
      </w:r>
    </w:p>
    <w:p w:rsidR="009B22F5" w:rsidRPr="009B22F5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Департаментом предлагается ввести временное ограничение движения транспортных средств по путепроводу для транспортных средств, общая фактическая масса которых превышает 20 тонн, а нагрузка на ось превышает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9 тонн. Указанные значения соответствуют рекомендациям технического отчёта, согласно которым в потоке допустимая общая масса составляет 24,4 т при осевой 9,4 т, а одиночным порядком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56,8 т при осевой 14,2 т. Принятые значения 20 т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и 9 т обеспечивают необходимый запас и соответствуют дорожным знакам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>3.11 «Ограничение массы» и 3.12 «Ограничение массы, приходящейся на ось транспортного средства». Продолжительность временного ограничения устанавливается с момента вступления в силу постановления до даты окончания строительно-монтажных работ по реконструкции путепровода.</w:t>
      </w:r>
    </w:p>
    <w:p w:rsidR="000B1A22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В целях обеспечения безопасности дорожного движения и информирования пользователей автомобильными дорогами предусматривается установка дорожных знаков 3.11 «Ограничение массы» (20 т) и 3.12 «Ограничение массы, приходящейся на ось транспортного средства» (9 т) в районе путепровода и на подходах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к сооружению силами МКУ «ЦОДД ГОТ» на автомобильных дорогах общего пользования местного значения, а также установка информационных щитов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lastRenderedPageBreak/>
        <w:t xml:space="preserve">со схемой объезда на маршруте объезда силами МКУ «ЦОДД ГОТ»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на автомобильных дорогах общего пользования местного значения. </w:t>
      </w:r>
    </w:p>
    <w:p w:rsidR="000B1A22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На автомобильной дороге общего пользования регионального значения «Обводное шоссе г. Тольятти» предусматривается организация установки информационных щитов со схемой объезда и дорожных знаков 3.11 и 3.12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по уведомлению министерства транспорта и автомобильных дорог Самарской области, на автомобильной дороге общего пользования федерального значения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>М-5 «Урал» Москва – Рязань – П</w:t>
      </w:r>
      <w:r w:rsidR="000B1A22">
        <w:rPr>
          <w:sz w:val="28"/>
          <w:szCs w:val="28"/>
        </w:rPr>
        <w:t>енза – Самара – Уфа – Челябинск</w:t>
      </w:r>
      <w:r w:rsidRPr="009B22F5">
        <w:rPr>
          <w:sz w:val="28"/>
          <w:szCs w:val="28"/>
        </w:rPr>
        <w:t xml:space="preserve"> организация установки информационного щита о введении временного ограничения движения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>по уведомлению ФКУ «</w:t>
      </w:r>
      <w:proofErr w:type="spellStart"/>
      <w:r w:rsidRPr="009B22F5">
        <w:rPr>
          <w:sz w:val="28"/>
          <w:szCs w:val="28"/>
        </w:rPr>
        <w:t>Поволжуправтодор</w:t>
      </w:r>
      <w:proofErr w:type="spellEnd"/>
      <w:r w:rsidRPr="009B22F5">
        <w:rPr>
          <w:sz w:val="28"/>
          <w:szCs w:val="28"/>
        </w:rPr>
        <w:t xml:space="preserve">». </w:t>
      </w:r>
    </w:p>
    <w:p w:rsidR="009B22F5" w:rsidRPr="009B22F5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>Места размещения информационных щитов и дорожных знаков подлежат согласованию с министерством транспорта и автомобильных дорог Самарской области и ФКУ «</w:t>
      </w:r>
      <w:proofErr w:type="spellStart"/>
      <w:r w:rsidRPr="009B22F5">
        <w:rPr>
          <w:sz w:val="28"/>
          <w:szCs w:val="28"/>
        </w:rPr>
        <w:t>Поволжуправтодор</w:t>
      </w:r>
      <w:proofErr w:type="spellEnd"/>
      <w:r w:rsidRPr="009B22F5">
        <w:rPr>
          <w:sz w:val="28"/>
          <w:szCs w:val="28"/>
        </w:rPr>
        <w:t xml:space="preserve">». Маршрут объезда определён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по автомобильным дорогам общего пользования местного значения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 xml:space="preserve">(ул. Коммунистическая, ул. Ярославская, Поволжское шоссе) и автомобильной дороге общего пользования регионального значения «Обводное шоссе г. Тольятти». Схемы организации дорожного движения разработаны МКУ «ЦОДД ГОТ»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>и прилагаются к проекту постановления.</w:t>
      </w:r>
    </w:p>
    <w:p w:rsidR="000B1A22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Выполнение работ по установке дорожных знаков и информационных щитов на автомобильных дорогах общего пользования местного значения осуществляется силами МКУ «ЦОДД ГОТ» в пределах средств, предусмотренных на содержание автомобильных дорог. </w:t>
      </w:r>
    </w:p>
    <w:p w:rsidR="000B1A22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Установка информационных щитов и дорожных знаков на автомобильной дороге регионального значения «Обводное шоссе г. Тольятти» и на автомобильной дороге федерального значения М-5 «Урал» осуществляется их владельцами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министерством транспорта и автомобильных дорог Самарской области и ФКУ «</w:t>
      </w:r>
      <w:proofErr w:type="spellStart"/>
      <w:r w:rsidRPr="009B22F5">
        <w:rPr>
          <w:sz w:val="28"/>
          <w:szCs w:val="28"/>
        </w:rPr>
        <w:t>Поволжуправтодор</w:t>
      </w:r>
      <w:proofErr w:type="spellEnd"/>
      <w:r w:rsidRPr="009B22F5">
        <w:rPr>
          <w:sz w:val="28"/>
          <w:szCs w:val="28"/>
        </w:rPr>
        <w:t xml:space="preserve">» соответственно </w:t>
      </w:r>
      <w:r w:rsidR="000B1A22">
        <w:rPr>
          <w:sz w:val="28"/>
          <w:szCs w:val="28"/>
        </w:rPr>
        <w:t>–</w:t>
      </w:r>
      <w:r w:rsidRPr="009B22F5">
        <w:rPr>
          <w:sz w:val="28"/>
          <w:szCs w:val="28"/>
        </w:rPr>
        <w:t xml:space="preserve"> за счёт средств соответствующих бюджетов. </w:t>
      </w:r>
    </w:p>
    <w:p w:rsidR="009B22F5" w:rsidRPr="009B22F5" w:rsidRDefault="009B22F5" w:rsidP="000B1A22">
      <w:pPr>
        <w:pStyle w:val="ConsPlusNormal"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>Дополнительных средств бюджета городского округа Тольятти на реализацию Проекта не требуется. Принятие Проекта не потребует внесения изменений в иные муниципальные правовые акты городского округа Тольятти и соответствует действующему федеральному законодательству и законодательству Самарской области.</w:t>
      </w:r>
    </w:p>
    <w:p w:rsidR="009B22F5" w:rsidRDefault="009B22F5" w:rsidP="000B1A22">
      <w:pPr>
        <w:pStyle w:val="ConsPlusNormal"/>
        <w:widowControl/>
        <w:ind w:firstLine="539"/>
        <w:jc w:val="both"/>
        <w:rPr>
          <w:sz w:val="28"/>
          <w:szCs w:val="28"/>
        </w:rPr>
      </w:pPr>
      <w:r w:rsidRPr="009B22F5">
        <w:rPr>
          <w:sz w:val="28"/>
          <w:szCs w:val="28"/>
        </w:rPr>
        <w:t xml:space="preserve">Учитывая неудовлетворительное техническое состояние путепровода через ж/д перегон Жигулевское Море – </w:t>
      </w:r>
      <w:proofErr w:type="spellStart"/>
      <w:r w:rsidRPr="009B22F5">
        <w:rPr>
          <w:sz w:val="28"/>
          <w:szCs w:val="28"/>
        </w:rPr>
        <w:t>Химзаводская</w:t>
      </w:r>
      <w:proofErr w:type="spellEnd"/>
      <w:r w:rsidRPr="009B22F5">
        <w:rPr>
          <w:sz w:val="28"/>
          <w:szCs w:val="28"/>
        </w:rPr>
        <w:t xml:space="preserve">, а/д по ул. </w:t>
      </w:r>
      <w:proofErr w:type="spellStart"/>
      <w:r w:rsidRPr="009B22F5">
        <w:rPr>
          <w:sz w:val="28"/>
          <w:szCs w:val="28"/>
        </w:rPr>
        <w:t>Нижнегородская</w:t>
      </w:r>
      <w:proofErr w:type="spellEnd"/>
      <w:r w:rsidRPr="009B22F5">
        <w:rPr>
          <w:sz w:val="28"/>
          <w:szCs w:val="28"/>
        </w:rPr>
        <w:t xml:space="preserve"> </w:t>
      </w:r>
      <w:r w:rsidR="000B1A22">
        <w:rPr>
          <w:sz w:val="28"/>
          <w:szCs w:val="28"/>
        </w:rPr>
        <w:br/>
      </w:r>
      <w:r w:rsidRPr="009B22F5">
        <w:rPr>
          <w:sz w:val="28"/>
          <w:szCs w:val="28"/>
        </w:rPr>
        <w:t>и местный проезд на км 4+410 автомобильной дороги по ул. Громовой, снижение грузоподъёмности до значений ниже нормативных и в целях обеспечения безопасности дорожного движения, Департамент предлагает принять постановление администрации городского округа Тольятти о введении временного ограничения движения транспортных средств по указанному путепроводу.</w:t>
      </w:r>
    </w:p>
    <w:p w:rsidR="00637A45" w:rsidRDefault="00637A45" w:rsidP="00D772D6">
      <w:pPr>
        <w:pStyle w:val="ConsPlusNormal"/>
        <w:widowControl/>
        <w:spacing w:line="276" w:lineRule="auto"/>
        <w:ind w:firstLine="540"/>
        <w:jc w:val="both"/>
        <w:rPr>
          <w:sz w:val="28"/>
          <w:szCs w:val="28"/>
        </w:rPr>
      </w:pPr>
    </w:p>
    <w:p w:rsidR="00637A45" w:rsidRDefault="00637A45" w:rsidP="00D772D6">
      <w:pPr>
        <w:pStyle w:val="ConsPlusNormal"/>
        <w:widowControl/>
        <w:spacing w:line="276" w:lineRule="auto"/>
        <w:ind w:firstLine="540"/>
        <w:jc w:val="both"/>
        <w:rPr>
          <w:sz w:val="28"/>
          <w:szCs w:val="28"/>
        </w:rPr>
      </w:pPr>
    </w:p>
    <w:p w:rsidR="00D12953" w:rsidRDefault="00637A45" w:rsidP="00D129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="000163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уководител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</w:t>
      </w:r>
      <w:r w:rsidR="000163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департамента </w:t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331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0163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8A2B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С.Ф. Святогорский</w:t>
      </w:r>
    </w:p>
    <w:p w:rsidR="000163FB" w:rsidRDefault="000163FB" w:rsidP="00D129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0163FB" w:rsidRDefault="000163FB" w:rsidP="00D129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37A45" w:rsidRPr="00E71730" w:rsidRDefault="00637A45" w:rsidP="00975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37A45" w:rsidRPr="00E71730" w:rsidSect="000B1A2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30"/>
    <w:rsid w:val="00006288"/>
    <w:rsid w:val="000163FB"/>
    <w:rsid w:val="0004312A"/>
    <w:rsid w:val="0006041A"/>
    <w:rsid w:val="00064811"/>
    <w:rsid w:val="000B1A22"/>
    <w:rsid w:val="000C5A69"/>
    <w:rsid w:val="00161901"/>
    <w:rsid w:val="00164596"/>
    <w:rsid w:val="00193AA2"/>
    <w:rsid w:val="00194C0E"/>
    <w:rsid w:val="001D6C94"/>
    <w:rsid w:val="00255827"/>
    <w:rsid w:val="0028325A"/>
    <w:rsid w:val="00331A2F"/>
    <w:rsid w:val="00353EDF"/>
    <w:rsid w:val="0041724B"/>
    <w:rsid w:val="004927B5"/>
    <w:rsid w:val="004B6F91"/>
    <w:rsid w:val="004F081F"/>
    <w:rsid w:val="00545241"/>
    <w:rsid w:val="005515BB"/>
    <w:rsid w:val="00573794"/>
    <w:rsid w:val="005A2A0E"/>
    <w:rsid w:val="005E5690"/>
    <w:rsid w:val="005F6D1A"/>
    <w:rsid w:val="00637A45"/>
    <w:rsid w:val="006E5EAA"/>
    <w:rsid w:val="00726BC8"/>
    <w:rsid w:val="00775CDA"/>
    <w:rsid w:val="007A07AA"/>
    <w:rsid w:val="00863242"/>
    <w:rsid w:val="008900F9"/>
    <w:rsid w:val="00892DF1"/>
    <w:rsid w:val="008A2BFE"/>
    <w:rsid w:val="008A415E"/>
    <w:rsid w:val="008D6D97"/>
    <w:rsid w:val="00931870"/>
    <w:rsid w:val="00975190"/>
    <w:rsid w:val="00993E80"/>
    <w:rsid w:val="009B22F5"/>
    <w:rsid w:val="00A03358"/>
    <w:rsid w:val="00A11DF1"/>
    <w:rsid w:val="00A232C7"/>
    <w:rsid w:val="00A23B1F"/>
    <w:rsid w:val="00A37F75"/>
    <w:rsid w:val="00AD11A8"/>
    <w:rsid w:val="00C248CD"/>
    <w:rsid w:val="00C74D64"/>
    <w:rsid w:val="00D12953"/>
    <w:rsid w:val="00D76153"/>
    <w:rsid w:val="00D772D6"/>
    <w:rsid w:val="00E252D8"/>
    <w:rsid w:val="00E406B9"/>
    <w:rsid w:val="00E71730"/>
    <w:rsid w:val="00E722BF"/>
    <w:rsid w:val="00E74E5E"/>
    <w:rsid w:val="00E936C4"/>
    <w:rsid w:val="00EA5AEB"/>
    <w:rsid w:val="00EE0639"/>
    <w:rsid w:val="00F07591"/>
    <w:rsid w:val="00FC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C4EE"/>
  <w15:docId w15:val="{18101903-9344-475A-9A2A-B6410C47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7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92DF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sPlusTitle">
    <w:name w:val="ConsPlusTitle"/>
    <w:rsid w:val="00E936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5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ABE53-1D2B-4463-9F4B-939EADF7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job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ekonomist</dc:creator>
  <cp:keywords/>
  <dc:description/>
  <cp:lastModifiedBy>Хуснутдинова Алина Ильдаровна</cp:lastModifiedBy>
  <cp:revision>4</cp:revision>
  <cp:lastPrinted>2025-09-15T07:48:00Z</cp:lastPrinted>
  <dcterms:created xsi:type="dcterms:W3CDTF">2026-09-11T06:38:00Z</dcterms:created>
  <dcterms:modified xsi:type="dcterms:W3CDTF">2026-09-11T07:49:00Z</dcterms:modified>
</cp:coreProperties>
</file>