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98" w:rsidRPr="00716BF3" w:rsidRDefault="00C96298" w:rsidP="00C9629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ДУМА </w:t>
      </w:r>
      <w:r w:rsidRPr="00716BF3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BB2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BF3">
        <w:rPr>
          <w:rFonts w:ascii="Times New Roman" w:hAnsi="Times New Roman" w:cs="Times New Roman"/>
          <w:b w:val="0"/>
          <w:sz w:val="28"/>
          <w:szCs w:val="28"/>
        </w:rPr>
        <w:t>ТОЛЬЯТТИ</w:t>
      </w:r>
    </w:p>
    <w:p w:rsidR="00C96298" w:rsidRDefault="00C96298" w:rsidP="00C962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6BF3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1F4725" w:rsidRPr="00716BF3" w:rsidRDefault="001F4725" w:rsidP="00C962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6298" w:rsidRPr="00716BF3" w:rsidRDefault="00C96298" w:rsidP="00C962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6298" w:rsidRPr="00716BF3" w:rsidRDefault="00C96298" w:rsidP="00C962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96298" w:rsidRPr="00716BF3" w:rsidRDefault="00C96298" w:rsidP="00C962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B1E5B">
        <w:rPr>
          <w:rFonts w:ascii="Times New Roman" w:hAnsi="Times New Roman" w:cs="Times New Roman"/>
          <w:b w:val="0"/>
          <w:sz w:val="28"/>
          <w:szCs w:val="28"/>
        </w:rPr>
        <w:t>т «____» ____________ 2020</w:t>
      </w:r>
      <w:r w:rsidRPr="00716BF3">
        <w:rPr>
          <w:rFonts w:ascii="Times New Roman" w:hAnsi="Times New Roman" w:cs="Times New Roman"/>
          <w:b w:val="0"/>
          <w:sz w:val="28"/>
          <w:szCs w:val="28"/>
        </w:rPr>
        <w:t xml:space="preserve"> г. № _________</w:t>
      </w:r>
    </w:p>
    <w:p w:rsidR="00C96298" w:rsidRPr="00716BF3" w:rsidRDefault="00C96298" w:rsidP="00C962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6298" w:rsidRDefault="00C96298" w:rsidP="00C962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6298" w:rsidRPr="00716BF3" w:rsidRDefault="008B1E5B" w:rsidP="00C962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корректировке С</w:t>
      </w:r>
      <w:r w:rsidR="00C96298" w:rsidRPr="00716BF3">
        <w:rPr>
          <w:rFonts w:ascii="Times New Roman" w:hAnsi="Times New Roman"/>
          <w:sz w:val="28"/>
          <w:szCs w:val="28"/>
        </w:rPr>
        <w:t>тратегии социально-экономического развития городского округа Тольятти</w:t>
      </w:r>
      <w:r w:rsidR="00C96298">
        <w:rPr>
          <w:rFonts w:ascii="Times New Roman" w:hAnsi="Times New Roman"/>
          <w:sz w:val="28"/>
          <w:szCs w:val="28"/>
        </w:rPr>
        <w:t xml:space="preserve"> на период до 2030 года</w:t>
      </w:r>
      <w:r>
        <w:rPr>
          <w:rFonts w:ascii="Times New Roman" w:hAnsi="Times New Roman"/>
          <w:sz w:val="28"/>
          <w:szCs w:val="28"/>
        </w:rPr>
        <w:t>, утвержденной решением Думы городского округа Тольятти от 25.01.2019 № 131</w:t>
      </w:r>
    </w:p>
    <w:p w:rsidR="00C96298" w:rsidRDefault="00C96298" w:rsidP="00C96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298" w:rsidRPr="00C02598" w:rsidRDefault="00C96298" w:rsidP="00C96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298" w:rsidRDefault="00C96298" w:rsidP="0018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598">
        <w:rPr>
          <w:rFonts w:ascii="Times New Roman" w:hAnsi="Times New Roman"/>
          <w:sz w:val="28"/>
          <w:szCs w:val="28"/>
        </w:rPr>
        <w:t>Рассмотрев представленный администрацией городского округа Тольятти проект решения Думы городского округа Тольятти</w:t>
      </w:r>
      <w:r w:rsidR="001808A7">
        <w:rPr>
          <w:rFonts w:ascii="Times New Roman" w:hAnsi="Times New Roman"/>
          <w:sz w:val="28"/>
          <w:szCs w:val="28"/>
        </w:rPr>
        <w:t xml:space="preserve"> «О корректировке С</w:t>
      </w:r>
      <w:r w:rsidR="001808A7" w:rsidRPr="00716BF3">
        <w:rPr>
          <w:rFonts w:ascii="Times New Roman" w:hAnsi="Times New Roman"/>
          <w:sz w:val="28"/>
          <w:szCs w:val="28"/>
        </w:rPr>
        <w:t>тратегии социально-экономического развития городского округа Тольятти</w:t>
      </w:r>
      <w:r w:rsidR="001808A7">
        <w:rPr>
          <w:rFonts w:ascii="Times New Roman" w:hAnsi="Times New Roman"/>
          <w:sz w:val="28"/>
          <w:szCs w:val="28"/>
        </w:rPr>
        <w:t xml:space="preserve"> на период до 2030 года, утвержденной решением Думы городского округа Тольятти от 25.01.2019 № 131», руководствуясь Положением о стратегическом планировании социально-экономического развития городского округа Тольятти, утвержденным решением Думы городского округа Тольятти от 10.12.2014 № 545, </w:t>
      </w:r>
      <w:hyperlink r:id="rId8" w:history="1">
        <w:r w:rsidRPr="00C02598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Pr="00C02598">
        <w:rPr>
          <w:rFonts w:ascii="Times New Roman" w:hAnsi="Times New Roman"/>
          <w:sz w:val="28"/>
          <w:szCs w:val="28"/>
        </w:rPr>
        <w:t xml:space="preserve"> Самарской области,</w:t>
      </w:r>
      <w:r>
        <w:rPr>
          <w:rFonts w:ascii="Times New Roman" w:hAnsi="Times New Roman"/>
          <w:sz w:val="28"/>
          <w:szCs w:val="28"/>
        </w:rPr>
        <w:t xml:space="preserve"> Дума городского округа Тольятти</w:t>
      </w:r>
    </w:p>
    <w:p w:rsidR="001808A7" w:rsidRDefault="001808A7" w:rsidP="00C962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6298" w:rsidRDefault="00C96298" w:rsidP="00C962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1808A7" w:rsidRDefault="001808A7" w:rsidP="00C9629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6F61" w:rsidRPr="0061659C" w:rsidRDefault="001808A7" w:rsidP="001808A7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808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тратегию</w:t>
      </w:r>
      <w:r w:rsidRPr="001808A7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городского округа Тольятти на период до 2030 года</w:t>
      </w:r>
      <w:r w:rsidR="008D143B">
        <w:rPr>
          <w:rFonts w:ascii="Times New Roman" w:hAnsi="Times New Roman"/>
          <w:sz w:val="28"/>
          <w:szCs w:val="28"/>
        </w:rPr>
        <w:t>, утвержденную</w:t>
      </w:r>
      <w:r w:rsidRPr="001808A7">
        <w:rPr>
          <w:rFonts w:ascii="Times New Roman" w:hAnsi="Times New Roman"/>
          <w:sz w:val="28"/>
          <w:szCs w:val="28"/>
        </w:rPr>
        <w:t xml:space="preserve"> решением Думы городского округа Тольятти от 25.01.2019 № 131</w:t>
      </w:r>
      <w:r w:rsidR="008D143B">
        <w:rPr>
          <w:rFonts w:ascii="Times New Roman" w:hAnsi="Times New Roman"/>
          <w:sz w:val="28"/>
          <w:szCs w:val="28"/>
        </w:rPr>
        <w:t xml:space="preserve"> (далее – Стратегия) следующие изменения:</w:t>
      </w:r>
    </w:p>
    <w:p w:rsidR="00D20DDD" w:rsidRPr="00493ABB" w:rsidRDefault="008A3524" w:rsidP="00493ABB">
      <w:pPr>
        <w:pStyle w:val="a7"/>
        <w:numPr>
          <w:ilvl w:val="0"/>
          <w:numId w:val="4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6BBA">
        <w:rPr>
          <w:rFonts w:ascii="Times New Roman" w:hAnsi="Times New Roman"/>
          <w:sz w:val="28"/>
          <w:szCs w:val="28"/>
        </w:rPr>
        <w:t xml:space="preserve"> </w:t>
      </w:r>
      <w:r w:rsidR="0061659C" w:rsidRPr="00DA6BBA">
        <w:rPr>
          <w:rFonts w:ascii="Times New Roman" w:hAnsi="Times New Roman"/>
          <w:sz w:val="28"/>
          <w:szCs w:val="28"/>
        </w:rPr>
        <w:t>Дополнить</w:t>
      </w:r>
      <w:r w:rsidR="00493ABB">
        <w:rPr>
          <w:rFonts w:ascii="Times New Roman" w:hAnsi="Times New Roman"/>
          <w:sz w:val="28"/>
          <w:szCs w:val="28"/>
        </w:rPr>
        <w:t xml:space="preserve"> пункт 2.1 Стратегии</w:t>
      </w:r>
      <w:r w:rsidR="005C5E20" w:rsidRPr="00493ABB">
        <w:rPr>
          <w:rFonts w:ascii="Times New Roman" w:hAnsi="Times New Roman"/>
          <w:sz w:val="28"/>
          <w:szCs w:val="28"/>
        </w:rPr>
        <w:t xml:space="preserve"> абзацем и</w:t>
      </w:r>
      <w:r w:rsidR="0061659C" w:rsidRPr="00493ABB">
        <w:rPr>
          <w:rFonts w:ascii="Times New Roman" w:hAnsi="Times New Roman"/>
          <w:sz w:val="28"/>
          <w:szCs w:val="28"/>
        </w:rPr>
        <w:t xml:space="preserve"> Таблицей 3.1</w:t>
      </w:r>
      <w:r w:rsidR="00FD3421" w:rsidRPr="00493ABB">
        <w:rPr>
          <w:rFonts w:ascii="Times New Roman" w:hAnsi="Times New Roman"/>
          <w:sz w:val="28"/>
          <w:szCs w:val="28"/>
        </w:rPr>
        <w:t xml:space="preserve"> </w:t>
      </w:r>
      <w:r w:rsidR="0061659C" w:rsidRPr="00493ABB">
        <w:rPr>
          <w:rFonts w:ascii="Times New Roman" w:hAnsi="Times New Roman"/>
          <w:sz w:val="28"/>
          <w:szCs w:val="28"/>
        </w:rPr>
        <w:t>следующего содержания</w:t>
      </w:r>
      <w:r w:rsidR="00FD3421" w:rsidRPr="00493ABB">
        <w:rPr>
          <w:rFonts w:ascii="Times New Roman" w:hAnsi="Times New Roman"/>
          <w:sz w:val="28"/>
          <w:szCs w:val="28"/>
        </w:rPr>
        <w:t>:</w:t>
      </w:r>
    </w:p>
    <w:p w:rsidR="0049674D" w:rsidRDefault="00D43DDE" w:rsidP="00D43DDE">
      <w:pPr>
        <w:pStyle w:val="a7"/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3DDE">
        <w:rPr>
          <w:rFonts w:ascii="Times New Roman" w:hAnsi="Times New Roman"/>
          <w:sz w:val="28"/>
          <w:szCs w:val="28"/>
        </w:rPr>
        <w:t>Достижению стратегических целей, указанных в Таблице 3, будет способствовать участие городского округа Тольятти в реализации региональных составляющих федеральных проектов, являющихся составными частями наци</w:t>
      </w:r>
      <w:r>
        <w:rPr>
          <w:rFonts w:ascii="Times New Roman" w:hAnsi="Times New Roman"/>
          <w:sz w:val="28"/>
          <w:szCs w:val="28"/>
        </w:rPr>
        <w:t>ональных проектов (Таблица 3.1).</w:t>
      </w:r>
    </w:p>
    <w:p w:rsidR="004E3BEA" w:rsidRPr="004E3BEA" w:rsidRDefault="004E3BEA" w:rsidP="004E3BEA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A5013" w:rsidRDefault="006A5013" w:rsidP="00C15B89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  <w:sectPr w:rsidR="006A5013" w:rsidSect="00D828DA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855" w:type="pct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471"/>
        <w:gridCol w:w="4977"/>
        <w:gridCol w:w="4584"/>
      </w:tblGrid>
      <w:tr w:rsidR="00F22F2D" w:rsidRPr="0061659C" w:rsidTr="00DA6BBA">
        <w:trPr>
          <w:tblHeader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22F2D" w:rsidRPr="00B72955" w:rsidRDefault="00B72955" w:rsidP="00C15B89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524"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аблица</w:t>
            </w:r>
            <w:r w:rsidR="007D3ABB">
              <w:rPr>
                <w:rFonts w:ascii="Times New Roman" w:hAnsi="Times New Roman"/>
                <w:sz w:val="28"/>
                <w:szCs w:val="28"/>
              </w:rPr>
              <w:t xml:space="preserve"> 3.1. Участие городского округа Тольятти в реализации национальных проектов</w:t>
            </w:r>
            <w:r w:rsidR="00D43DD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A3524" w:rsidRPr="0061659C" w:rsidTr="00D6557C">
        <w:trPr>
          <w:tblHeader/>
        </w:trPr>
        <w:tc>
          <w:tcPr>
            <w:tcW w:w="748" w:type="pct"/>
            <w:shd w:val="clear" w:color="auto" w:fill="auto"/>
          </w:tcPr>
          <w:p w:rsidR="0061659C" w:rsidRPr="0061659C" w:rsidRDefault="008133FD" w:rsidP="00F2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направления</w:t>
            </w:r>
            <w:r w:rsidR="0061659C" w:rsidRPr="0061659C">
              <w:rPr>
                <w:rFonts w:ascii="Times New Roman" w:hAnsi="Times New Roman"/>
                <w:sz w:val="24"/>
                <w:szCs w:val="24"/>
              </w:rPr>
              <w:t xml:space="preserve"> Стратегии</w:t>
            </w:r>
          </w:p>
        </w:tc>
        <w:tc>
          <w:tcPr>
            <w:tcW w:w="873" w:type="pct"/>
          </w:tcPr>
          <w:p w:rsidR="0061659C" w:rsidRPr="0061659C" w:rsidRDefault="0061659C" w:rsidP="00F2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Национальные проекты</w:t>
            </w:r>
          </w:p>
        </w:tc>
        <w:tc>
          <w:tcPr>
            <w:tcW w:w="1759" w:type="pct"/>
            <w:shd w:val="clear" w:color="auto" w:fill="auto"/>
          </w:tcPr>
          <w:p w:rsidR="0061659C" w:rsidRPr="0061659C" w:rsidRDefault="0061659C" w:rsidP="00F2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Федеральные проекты, реализуемые в Самарской области</w:t>
            </w:r>
          </w:p>
        </w:tc>
        <w:tc>
          <w:tcPr>
            <w:tcW w:w="1620" w:type="pct"/>
            <w:shd w:val="clear" w:color="auto" w:fill="auto"/>
          </w:tcPr>
          <w:p w:rsidR="0061659C" w:rsidRPr="005C5E20" w:rsidRDefault="003B27F3" w:rsidP="00F2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 w:rsidR="00D6234E">
              <w:rPr>
                <w:rFonts w:ascii="Times New Roman" w:hAnsi="Times New Roman"/>
                <w:sz w:val="24"/>
                <w:szCs w:val="24"/>
              </w:rPr>
              <w:t>деральные проекты,</w:t>
            </w:r>
            <w:r w:rsidR="00894BD9">
              <w:rPr>
                <w:rFonts w:ascii="Times New Roman" w:hAnsi="Times New Roman"/>
                <w:sz w:val="24"/>
                <w:szCs w:val="24"/>
              </w:rPr>
              <w:t xml:space="preserve"> реализуемые посредством муниципальной составляющей</w:t>
            </w:r>
            <w:r w:rsidR="00D6234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Тольятти</w:t>
            </w:r>
            <w:r w:rsidR="00D655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7433C" w:rsidRPr="0061659C" w:rsidTr="00D6557C">
        <w:trPr>
          <w:tblHeader/>
        </w:trPr>
        <w:tc>
          <w:tcPr>
            <w:tcW w:w="748" w:type="pct"/>
            <w:shd w:val="clear" w:color="auto" w:fill="auto"/>
          </w:tcPr>
          <w:p w:rsidR="0007433C" w:rsidRDefault="0007433C" w:rsidP="00F2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07433C" w:rsidRPr="0061659C" w:rsidRDefault="0007433C" w:rsidP="00F2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9" w:type="pct"/>
            <w:shd w:val="clear" w:color="auto" w:fill="auto"/>
          </w:tcPr>
          <w:p w:rsidR="0007433C" w:rsidRPr="0061659C" w:rsidRDefault="0007433C" w:rsidP="00F2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pct"/>
            <w:shd w:val="clear" w:color="auto" w:fill="auto"/>
          </w:tcPr>
          <w:p w:rsidR="0007433C" w:rsidRDefault="0007433C" w:rsidP="00F22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61C35" w:rsidRPr="0061659C" w:rsidTr="00D6557C">
        <w:trPr>
          <w:trHeight w:val="2558"/>
          <w:tblHeader/>
        </w:trPr>
        <w:tc>
          <w:tcPr>
            <w:tcW w:w="748" w:type="pct"/>
            <w:vMerge w:val="restart"/>
            <w:shd w:val="clear" w:color="auto" w:fill="auto"/>
          </w:tcPr>
          <w:p w:rsidR="00961C35" w:rsidRPr="0061659C" w:rsidRDefault="00961C35" w:rsidP="00F22F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1. Человеческий потенциал</w:t>
            </w:r>
          </w:p>
        </w:tc>
        <w:tc>
          <w:tcPr>
            <w:tcW w:w="873" w:type="pct"/>
          </w:tcPr>
          <w:p w:rsidR="00961C35" w:rsidRPr="0061659C" w:rsidRDefault="00961C35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961C35" w:rsidRPr="0061659C" w:rsidRDefault="00961C35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C35" w:rsidRPr="0061659C" w:rsidRDefault="00961C35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C35" w:rsidRPr="0061659C" w:rsidRDefault="00961C35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C35" w:rsidRPr="0061659C" w:rsidRDefault="00961C35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C35" w:rsidRPr="0061659C" w:rsidRDefault="00961C35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C35" w:rsidRPr="0061659C" w:rsidRDefault="00961C35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1. Современная школа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Успех каждого ребенка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3. Поддержка семей, имеющих детей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4. Цифровая образовательная среда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5. Учитель будущего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6. Молодые профессионалы (Повышение конкурентоспособности профессионального образования)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7. Новые возможности для каждого</w:t>
            </w:r>
          </w:p>
          <w:p w:rsidR="00961C35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8. Социальная активность</w:t>
            </w:r>
          </w:p>
        </w:tc>
        <w:tc>
          <w:tcPr>
            <w:tcW w:w="1620" w:type="pct"/>
            <w:shd w:val="clear" w:color="auto" w:fill="auto"/>
          </w:tcPr>
          <w:p w:rsidR="00961C35" w:rsidRPr="0061659C" w:rsidRDefault="00961C35" w:rsidP="00F22F2D">
            <w:pPr>
              <w:spacing w:after="0" w:line="240" w:lineRule="auto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1. Современная школа</w:t>
            </w:r>
          </w:p>
          <w:p w:rsidR="00961C35" w:rsidRPr="0061659C" w:rsidRDefault="00961C35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Успех каждого ребенка</w:t>
            </w:r>
          </w:p>
          <w:p w:rsidR="00961C35" w:rsidRPr="0061659C" w:rsidRDefault="00961C35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3. Поддержка семей, имеющих детей</w:t>
            </w:r>
          </w:p>
          <w:p w:rsidR="00961C35" w:rsidRPr="0061659C" w:rsidRDefault="00961C35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4. Цифровая образовательная среда</w:t>
            </w:r>
          </w:p>
          <w:p w:rsidR="00961C35" w:rsidRPr="0061659C" w:rsidRDefault="00961C35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5. Учитель будущего</w:t>
            </w:r>
          </w:p>
          <w:p w:rsidR="00961C35" w:rsidRPr="0061659C" w:rsidRDefault="00961C35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6. Социальная активность</w:t>
            </w:r>
          </w:p>
        </w:tc>
      </w:tr>
      <w:tr w:rsidR="00961C35" w:rsidRPr="0061659C" w:rsidTr="00D6557C">
        <w:trPr>
          <w:trHeight w:val="1693"/>
          <w:tblHeader/>
        </w:trPr>
        <w:tc>
          <w:tcPr>
            <w:tcW w:w="748" w:type="pct"/>
            <w:vMerge/>
            <w:shd w:val="clear" w:color="auto" w:fill="auto"/>
          </w:tcPr>
          <w:p w:rsidR="00961C35" w:rsidRPr="0061659C" w:rsidRDefault="00961C35" w:rsidP="00F22F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961C35" w:rsidRPr="0061659C" w:rsidRDefault="00E764DE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Демография</w:t>
            </w:r>
          </w:p>
        </w:tc>
        <w:tc>
          <w:tcPr>
            <w:tcW w:w="1759" w:type="pct"/>
            <w:shd w:val="clear" w:color="auto" w:fill="auto"/>
          </w:tcPr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1. Финансовая поддержка семей при рождении детей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Содействие занятости женщин – создание условий дошкольного образования для детей в возрасте до трех лет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3. Старшее поколение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4. Формирование системы мотивации граждан к здоровому образу жизни, включая здоровое питание и отказ от вредных привычек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5. Спорт – норма жизни</w:t>
            </w:r>
          </w:p>
          <w:p w:rsidR="00961C35" w:rsidRPr="0061659C" w:rsidRDefault="00961C35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7D55DA" w:rsidRPr="0061659C" w:rsidRDefault="007D55DA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659C">
              <w:rPr>
                <w:rFonts w:ascii="Times New Roman" w:hAnsi="Times New Roman"/>
                <w:sz w:val="24"/>
                <w:szCs w:val="24"/>
              </w:rPr>
              <w:t>. Финансовая поддержка семей при рождении детей</w:t>
            </w:r>
          </w:p>
          <w:p w:rsidR="007D55DA" w:rsidRPr="0061659C" w:rsidRDefault="007D55DA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Содействие занятости женщин – создание условий дошкольного образования для детей в возрасте до трех лет</w:t>
            </w:r>
          </w:p>
          <w:p w:rsidR="007D55DA" w:rsidRPr="0061659C" w:rsidRDefault="007D55DA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3. Старшее поколение</w:t>
            </w:r>
          </w:p>
          <w:p w:rsidR="007D55DA" w:rsidRPr="0061659C" w:rsidRDefault="007D55DA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4. Формирование системы мотивации граждан к здоровому образу жизни, включая здоровое питание и отказ от вредных привычек</w:t>
            </w:r>
          </w:p>
          <w:p w:rsidR="00961C35" w:rsidRPr="0061659C" w:rsidRDefault="007D55DA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5. 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1659C">
              <w:rPr>
                <w:rFonts w:ascii="Times New Roman" w:hAnsi="Times New Roman"/>
                <w:sz w:val="24"/>
                <w:szCs w:val="24"/>
              </w:rPr>
              <w:t xml:space="preserve"> норма жизни</w:t>
            </w:r>
          </w:p>
        </w:tc>
      </w:tr>
      <w:tr w:rsidR="00781457" w:rsidRPr="0061659C" w:rsidTr="00D6557C">
        <w:trPr>
          <w:trHeight w:val="1693"/>
          <w:tblHeader/>
        </w:trPr>
        <w:tc>
          <w:tcPr>
            <w:tcW w:w="748" w:type="pct"/>
            <w:vMerge/>
            <w:shd w:val="clear" w:color="auto" w:fill="auto"/>
          </w:tcPr>
          <w:p w:rsidR="00781457" w:rsidRPr="0061659C" w:rsidRDefault="00781457" w:rsidP="00F22F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781457" w:rsidRPr="0061659C" w:rsidRDefault="00781457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 xml:space="preserve">Здравоохранение </w:t>
            </w:r>
          </w:p>
          <w:p w:rsidR="00781457" w:rsidRPr="0061659C" w:rsidRDefault="00781457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781457" w:rsidRPr="0061659C" w:rsidRDefault="00781457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1. Обеспечение медицинских организаций системы здравоохранения квалифицированными кадрами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Развитие системы оказания первичной медико-</w:t>
            </w:r>
            <w:proofErr w:type="gramStart"/>
            <w:r w:rsidRPr="0061659C">
              <w:rPr>
                <w:rFonts w:ascii="Times New Roman" w:hAnsi="Times New Roman"/>
                <w:sz w:val="24"/>
                <w:szCs w:val="24"/>
              </w:rPr>
              <w:t>санитарной  помощи</w:t>
            </w:r>
            <w:proofErr w:type="gramEnd"/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3. Развитие детского здравоохранения, включая создание современной инфраструктуры оказания медицинской помощи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4. 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5. Борьба с сердечно-сосудистыми заболеваниями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6. Борьба с онкологическими заболеваниями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7. Развитие экспорта медицинских услуг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8. Завершение формирования сети национальных медицинских исследовательских центров, внедрение медицинских технологий, включение в систему ранней диагностики и дистанционный мониторинг состояния здоровья пациентов, внедрение клинических рекомендаций и протоколов лечения</w:t>
            </w:r>
          </w:p>
          <w:p w:rsidR="00781457" w:rsidRPr="0061659C" w:rsidRDefault="00781457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9. Развитие системы оказания первичной медицинской скорой помощи</w:t>
            </w:r>
          </w:p>
        </w:tc>
        <w:tc>
          <w:tcPr>
            <w:tcW w:w="1620" w:type="pct"/>
            <w:shd w:val="clear" w:color="auto" w:fill="auto"/>
          </w:tcPr>
          <w:p w:rsidR="00C76DA5" w:rsidRPr="0061659C" w:rsidRDefault="00C76DA5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1659C">
              <w:rPr>
                <w:rFonts w:ascii="Times New Roman" w:hAnsi="Times New Roman"/>
                <w:sz w:val="24"/>
                <w:szCs w:val="24"/>
              </w:rPr>
              <w:t>Обеспечение медицинских организаций системы здравоохранения квалифицированными кадрами</w:t>
            </w:r>
          </w:p>
          <w:p w:rsidR="00C76DA5" w:rsidRPr="0061659C" w:rsidRDefault="00C76DA5" w:rsidP="00F22F2D">
            <w:pPr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Развитие системы оказания первичной медико-</w:t>
            </w:r>
            <w:proofErr w:type="gramStart"/>
            <w:r w:rsidRPr="0061659C">
              <w:rPr>
                <w:rFonts w:ascii="Times New Roman" w:hAnsi="Times New Roman"/>
                <w:sz w:val="24"/>
                <w:szCs w:val="24"/>
              </w:rPr>
              <w:t>санитарной  помощи</w:t>
            </w:r>
            <w:proofErr w:type="gramEnd"/>
          </w:p>
          <w:p w:rsidR="00781457" w:rsidRPr="0061659C" w:rsidRDefault="00781457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A8" w:rsidRPr="0061659C" w:rsidTr="00D6557C">
        <w:trPr>
          <w:tblHeader/>
        </w:trPr>
        <w:tc>
          <w:tcPr>
            <w:tcW w:w="748" w:type="pct"/>
            <w:shd w:val="clear" w:color="auto" w:fill="auto"/>
          </w:tcPr>
          <w:p w:rsidR="00E017A8" w:rsidRPr="0061659C" w:rsidRDefault="00E017A8" w:rsidP="00F22F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Городское сообщество и идентичность</w:t>
            </w:r>
          </w:p>
        </w:tc>
        <w:tc>
          <w:tcPr>
            <w:tcW w:w="873" w:type="pct"/>
          </w:tcPr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759" w:type="pct"/>
            <w:shd w:val="clear" w:color="auto" w:fill="auto"/>
          </w:tcPr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1. Создание условий для реализации творческого потенциала нации («Творческие люди»)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Обеспечение качественно нового уровня развития инфраструктуры культуры («Культурная среда»)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1659C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Pr="0061659C">
              <w:rPr>
                <w:rFonts w:ascii="Times New Roman" w:hAnsi="Times New Roman"/>
                <w:sz w:val="24"/>
                <w:szCs w:val="24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1620" w:type="pct"/>
            <w:shd w:val="clear" w:color="auto" w:fill="auto"/>
          </w:tcPr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1. Создание условий для реализации творческого потенциала нации («Творческие люди»)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Обеспечение качественно нового уровня развития инфраструктуры культуры («Культурная среда»)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74D" w:rsidRPr="0061659C" w:rsidTr="00D6557C">
        <w:trPr>
          <w:trHeight w:val="2842"/>
          <w:tblHeader/>
        </w:trPr>
        <w:tc>
          <w:tcPr>
            <w:tcW w:w="748" w:type="pct"/>
            <w:vMerge w:val="restart"/>
            <w:shd w:val="clear" w:color="auto" w:fill="auto"/>
          </w:tcPr>
          <w:p w:rsidR="00E9774D" w:rsidRPr="0061659C" w:rsidRDefault="00E9774D" w:rsidP="00F22F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59C">
              <w:rPr>
                <w:rFonts w:ascii="Times New Roman" w:hAnsi="Times New Roman"/>
                <w:sz w:val="24"/>
                <w:szCs w:val="24"/>
                <w:lang w:eastAsia="ru-RU"/>
              </w:rPr>
              <w:t>3. Возможности для каждого</w:t>
            </w:r>
          </w:p>
        </w:tc>
        <w:tc>
          <w:tcPr>
            <w:tcW w:w="873" w:type="pct"/>
          </w:tcPr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Малое и среднее предпринимательство и поддержка индивидуальной инициативы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1. Популяризация предпринимательства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 xml:space="preserve">2. Расширение доступа субъектов малого и среднего предпринимательства </w:t>
            </w:r>
            <w:proofErr w:type="gramStart"/>
            <w:r w:rsidRPr="0061659C">
              <w:rPr>
                <w:rFonts w:ascii="Times New Roman" w:hAnsi="Times New Roman"/>
                <w:sz w:val="24"/>
                <w:szCs w:val="24"/>
              </w:rPr>
              <w:t>к  финансовым</w:t>
            </w:r>
            <w:proofErr w:type="gramEnd"/>
            <w:r w:rsidRPr="0061659C">
              <w:rPr>
                <w:rFonts w:ascii="Times New Roman" w:hAnsi="Times New Roman"/>
                <w:sz w:val="24"/>
                <w:szCs w:val="24"/>
              </w:rPr>
              <w:t xml:space="preserve"> ресурсам, в том числе к льготному финансирования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3. Акселерация субъектов малого и среднего предпринимательства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4. Улучшение условий ведения предпринимательской деятельности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5. Создание системы поддержки фермеров и развитие сельской кооперации</w:t>
            </w:r>
          </w:p>
        </w:tc>
        <w:tc>
          <w:tcPr>
            <w:tcW w:w="1620" w:type="pct"/>
            <w:shd w:val="clear" w:color="auto" w:fill="auto"/>
          </w:tcPr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1. Популяризация предпринимательства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 xml:space="preserve">2. Расширение доступа субъектов малого и среднего предпринимательства </w:t>
            </w:r>
            <w:proofErr w:type="gramStart"/>
            <w:r w:rsidRPr="0061659C">
              <w:rPr>
                <w:rFonts w:ascii="Times New Roman" w:hAnsi="Times New Roman"/>
                <w:sz w:val="24"/>
                <w:szCs w:val="24"/>
              </w:rPr>
              <w:t>к  финансовым</w:t>
            </w:r>
            <w:proofErr w:type="gramEnd"/>
            <w:r w:rsidRPr="0061659C">
              <w:rPr>
                <w:rFonts w:ascii="Times New Roman" w:hAnsi="Times New Roman"/>
                <w:sz w:val="24"/>
                <w:szCs w:val="24"/>
              </w:rPr>
              <w:t xml:space="preserve"> ресурсам, в том числе к льготному финансирования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3. Акселерация субъектов малого и среднего предпринимательства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4. Улучшение условий ведения предпринимательской деятельности</w:t>
            </w:r>
          </w:p>
        </w:tc>
      </w:tr>
      <w:tr w:rsidR="00E9774D" w:rsidRPr="0061659C" w:rsidTr="00D6557C">
        <w:trPr>
          <w:tblHeader/>
        </w:trPr>
        <w:tc>
          <w:tcPr>
            <w:tcW w:w="748" w:type="pct"/>
            <w:vMerge/>
            <w:shd w:val="clear" w:color="auto" w:fill="auto"/>
          </w:tcPr>
          <w:p w:rsidR="00E9774D" w:rsidRPr="0061659C" w:rsidRDefault="00E9774D" w:rsidP="00F22F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Международная кооперация и экспорт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659C">
              <w:rPr>
                <w:rFonts w:ascii="Times New Roman" w:hAnsi="Times New Roman"/>
                <w:sz w:val="24"/>
                <w:szCs w:val="24"/>
              </w:rPr>
              <w:t>. Системные меры развития международной кооперации и экспорта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Промышленный экспорт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3. Экспорт продукции АПК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4. Экспорт услуг</w:t>
            </w:r>
          </w:p>
        </w:tc>
        <w:tc>
          <w:tcPr>
            <w:tcW w:w="1620" w:type="pct"/>
            <w:shd w:val="clear" w:color="auto" w:fill="auto"/>
          </w:tcPr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Системные меры развития международной кооперации и экспорта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74D" w:rsidRPr="0061659C" w:rsidTr="00D6557C">
        <w:trPr>
          <w:tblHeader/>
        </w:trPr>
        <w:tc>
          <w:tcPr>
            <w:tcW w:w="748" w:type="pct"/>
            <w:vMerge/>
            <w:shd w:val="clear" w:color="auto" w:fill="auto"/>
          </w:tcPr>
          <w:p w:rsidR="00E9774D" w:rsidRPr="0061659C" w:rsidRDefault="00E9774D" w:rsidP="00F22F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Производительность труда и поддержка занятости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1659C">
              <w:rPr>
                <w:rFonts w:ascii="Times New Roman" w:hAnsi="Times New Roman"/>
                <w:sz w:val="24"/>
                <w:szCs w:val="24"/>
              </w:rPr>
              <w:t>Системные меры по повышению производительности труда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Поддержка занятости и повышение эффективности рынка труда для обеспечения роста производительности труда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3. Адресная поддержка повышения производительности труда на предприятиях</w:t>
            </w:r>
          </w:p>
        </w:tc>
        <w:tc>
          <w:tcPr>
            <w:tcW w:w="1620" w:type="pct"/>
            <w:shd w:val="clear" w:color="auto" w:fill="auto"/>
          </w:tcPr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Системные меры по повышению производительности труда</w:t>
            </w:r>
          </w:p>
          <w:p w:rsidR="00E9774D" w:rsidRPr="0061659C" w:rsidRDefault="00E9774D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A8" w:rsidRPr="0061659C" w:rsidTr="00D6557C">
        <w:trPr>
          <w:trHeight w:val="1332"/>
          <w:tblHeader/>
        </w:trPr>
        <w:tc>
          <w:tcPr>
            <w:tcW w:w="748" w:type="pct"/>
            <w:shd w:val="clear" w:color="auto" w:fill="auto"/>
          </w:tcPr>
          <w:p w:rsidR="00E017A8" w:rsidRPr="0061659C" w:rsidRDefault="00E017A8" w:rsidP="00F22F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59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Город больших проектов</w:t>
            </w:r>
          </w:p>
        </w:tc>
        <w:tc>
          <w:tcPr>
            <w:tcW w:w="873" w:type="pct"/>
          </w:tcPr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Цифровая экономика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1. Информационная безопасность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Кадры для цифровой экономики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3. Информационная структура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4. Цифровые технологии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5. Цифровое государственное управление</w:t>
            </w:r>
          </w:p>
        </w:tc>
        <w:tc>
          <w:tcPr>
            <w:tcW w:w="1620" w:type="pct"/>
            <w:shd w:val="clear" w:color="auto" w:fill="auto"/>
          </w:tcPr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A8" w:rsidRPr="0061659C" w:rsidTr="00D6557C">
        <w:trPr>
          <w:tblHeader/>
        </w:trPr>
        <w:tc>
          <w:tcPr>
            <w:tcW w:w="748" w:type="pct"/>
            <w:shd w:val="clear" w:color="auto" w:fill="auto"/>
          </w:tcPr>
          <w:p w:rsidR="00E017A8" w:rsidRPr="0061659C" w:rsidRDefault="00E017A8" w:rsidP="00F22F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61659C">
              <w:rPr>
                <w:rFonts w:ascii="Times New Roman" w:hAnsi="Times New Roman"/>
                <w:sz w:val="24"/>
                <w:szCs w:val="24"/>
                <w:lang w:eastAsia="ru-RU"/>
              </w:rPr>
              <w:t>Экогород</w:t>
            </w:r>
            <w:proofErr w:type="spellEnd"/>
          </w:p>
          <w:p w:rsidR="00E017A8" w:rsidRPr="0061659C" w:rsidRDefault="00E017A8" w:rsidP="00F22F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</w:tcPr>
          <w:p w:rsidR="00E017A8" w:rsidRPr="0061659C" w:rsidRDefault="00E017A8" w:rsidP="00F22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759" w:type="pct"/>
            <w:shd w:val="clear" w:color="auto" w:fill="auto"/>
          </w:tcPr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1. Оздоровление Волги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Чистая страна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3. Комплексная система обращения с твердыми отходами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4. Чистая вода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5. Сохранение уникальных водных объектов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6. Сохранение лесов</w:t>
            </w:r>
          </w:p>
        </w:tc>
        <w:tc>
          <w:tcPr>
            <w:tcW w:w="1620" w:type="pct"/>
            <w:shd w:val="clear" w:color="auto" w:fill="auto"/>
          </w:tcPr>
          <w:p w:rsidR="00E017A8" w:rsidRPr="0061659C" w:rsidRDefault="00E017A8" w:rsidP="00F22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1. Оздоровление Волги</w:t>
            </w:r>
          </w:p>
          <w:p w:rsidR="00E017A8" w:rsidRPr="0061659C" w:rsidRDefault="00E017A8" w:rsidP="00F22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Чистая страна</w:t>
            </w:r>
          </w:p>
        </w:tc>
      </w:tr>
      <w:tr w:rsidR="00E017A8" w:rsidRPr="0061659C" w:rsidTr="00D6557C">
        <w:trPr>
          <w:tblHeader/>
        </w:trPr>
        <w:tc>
          <w:tcPr>
            <w:tcW w:w="748" w:type="pct"/>
            <w:shd w:val="clear" w:color="auto" w:fill="auto"/>
          </w:tcPr>
          <w:p w:rsidR="00E017A8" w:rsidRPr="0061659C" w:rsidRDefault="00E017A8" w:rsidP="00F22F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59C">
              <w:rPr>
                <w:rFonts w:ascii="Times New Roman" w:hAnsi="Times New Roman"/>
                <w:sz w:val="24"/>
                <w:szCs w:val="24"/>
                <w:lang w:eastAsia="ru-RU"/>
              </w:rPr>
              <w:t>6. Город жизни</w:t>
            </w:r>
          </w:p>
        </w:tc>
        <w:tc>
          <w:tcPr>
            <w:tcW w:w="873" w:type="pct"/>
          </w:tcPr>
          <w:p w:rsidR="00E017A8" w:rsidRPr="0061659C" w:rsidRDefault="00E017A8" w:rsidP="00F22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Жилье и городская среда</w:t>
            </w:r>
          </w:p>
          <w:p w:rsidR="00E017A8" w:rsidRPr="0061659C" w:rsidRDefault="00E017A8" w:rsidP="00F22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17A8" w:rsidRPr="0061659C" w:rsidRDefault="00E017A8" w:rsidP="00F22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1. Жилье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Формирование комфортной городской среды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3. Обеспечение устойчивого сокращения непригодного для проживания жилищного фонда</w:t>
            </w:r>
          </w:p>
        </w:tc>
        <w:tc>
          <w:tcPr>
            <w:tcW w:w="1620" w:type="pct"/>
            <w:shd w:val="clear" w:color="auto" w:fill="auto"/>
          </w:tcPr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1. Жилье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Формирование комфортной городской среды</w:t>
            </w:r>
          </w:p>
          <w:p w:rsidR="00E017A8" w:rsidRPr="0061659C" w:rsidRDefault="00E017A8" w:rsidP="00F22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A8" w:rsidRPr="0061659C" w:rsidTr="00D6557C">
        <w:trPr>
          <w:tblHeader/>
        </w:trPr>
        <w:tc>
          <w:tcPr>
            <w:tcW w:w="748" w:type="pct"/>
            <w:shd w:val="clear" w:color="auto" w:fill="auto"/>
          </w:tcPr>
          <w:p w:rsidR="00E017A8" w:rsidRPr="0061659C" w:rsidRDefault="00E017A8" w:rsidP="00F22F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59C">
              <w:rPr>
                <w:rFonts w:ascii="Times New Roman" w:hAnsi="Times New Roman"/>
                <w:sz w:val="24"/>
                <w:szCs w:val="24"/>
                <w:lang w:eastAsia="ru-RU"/>
              </w:rPr>
              <w:t>7. Тольятти мобильный</w:t>
            </w:r>
          </w:p>
        </w:tc>
        <w:tc>
          <w:tcPr>
            <w:tcW w:w="873" w:type="pct"/>
          </w:tcPr>
          <w:p w:rsidR="00E017A8" w:rsidRPr="0061659C" w:rsidRDefault="00E017A8" w:rsidP="00EC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 xml:space="preserve">Безопасные </w:t>
            </w:r>
            <w:r w:rsidR="00EC634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1659C">
              <w:rPr>
                <w:rFonts w:ascii="Times New Roman" w:hAnsi="Times New Roman"/>
                <w:sz w:val="24"/>
                <w:szCs w:val="24"/>
              </w:rPr>
              <w:t>качественные автомобильные дороги</w:t>
            </w:r>
          </w:p>
        </w:tc>
        <w:tc>
          <w:tcPr>
            <w:tcW w:w="1759" w:type="pct"/>
            <w:shd w:val="clear" w:color="auto" w:fill="auto"/>
          </w:tcPr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1. Безопасность дорожного движения</w:t>
            </w:r>
          </w:p>
          <w:p w:rsidR="00E017A8" w:rsidRPr="0061659C" w:rsidRDefault="00E017A8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Общесистемные меры развития дорожного хозяйства</w:t>
            </w:r>
          </w:p>
          <w:p w:rsidR="00E017A8" w:rsidRPr="0061659C" w:rsidRDefault="009D7BA1" w:rsidP="00F22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Дорожная сеть</w:t>
            </w:r>
          </w:p>
        </w:tc>
        <w:tc>
          <w:tcPr>
            <w:tcW w:w="1620" w:type="pct"/>
            <w:shd w:val="clear" w:color="auto" w:fill="auto"/>
          </w:tcPr>
          <w:p w:rsidR="00286C64" w:rsidRPr="0061659C" w:rsidRDefault="00286C64" w:rsidP="0028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1659C">
              <w:rPr>
                <w:rFonts w:ascii="Times New Roman" w:hAnsi="Times New Roman"/>
                <w:sz w:val="24"/>
                <w:szCs w:val="24"/>
              </w:rPr>
              <w:t>. Безопасность дорожного движения</w:t>
            </w:r>
          </w:p>
          <w:p w:rsidR="00286C64" w:rsidRPr="0061659C" w:rsidRDefault="00286C64" w:rsidP="0028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59C">
              <w:rPr>
                <w:rFonts w:ascii="Times New Roman" w:hAnsi="Times New Roman"/>
                <w:sz w:val="24"/>
                <w:szCs w:val="24"/>
              </w:rPr>
              <w:t>2. Общесистемные меры развития дорожного хозяйства</w:t>
            </w:r>
          </w:p>
          <w:p w:rsidR="00E017A8" w:rsidRPr="0061659C" w:rsidRDefault="00286C64" w:rsidP="00286C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Дорожная сеть</w:t>
            </w:r>
            <w:r w:rsidRPr="0061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57C" w:rsidRPr="0061659C" w:rsidTr="00D6557C">
        <w:trPr>
          <w:tblHeader/>
        </w:trPr>
        <w:tc>
          <w:tcPr>
            <w:tcW w:w="5000" w:type="pct"/>
            <w:gridSpan w:val="4"/>
            <w:shd w:val="clear" w:color="auto" w:fill="auto"/>
          </w:tcPr>
          <w:p w:rsidR="00D6557C" w:rsidRPr="00D6557C" w:rsidRDefault="00D6557C" w:rsidP="00D65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*Р</w:t>
            </w:r>
            <w:r w:rsidR="00084D92">
              <w:rPr>
                <w:rFonts w:ascii="Times New Roman" w:hAnsi="Times New Roman"/>
                <w:sz w:val="24"/>
                <w:szCs w:val="24"/>
              </w:rPr>
              <w:t>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федеральных проектов</w:t>
            </w:r>
            <w:r w:rsidR="00084D92">
              <w:rPr>
                <w:rFonts w:ascii="Times New Roman" w:hAnsi="Times New Roman"/>
                <w:sz w:val="24"/>
                <w:szCs w:val="24"/>
              </w:rPr>
              <w:t>, не указанных</w:t>
            </w:r>
            <w:r w:rsidR="00F3381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7433C">
              <w:rPr>
                <w:rFonts w:ascii="Times New Roman" w:hAnsi="Times New Roman"/>
                <w:sz w:val="24"/>
                <w:szCs w:val="24"/>
              </w:rPr>
              <w:t xml:space="preserve"> столбце</w:t>
            </w:r>
            <w:r w:rsidR="0032728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F33816">
              <w:rPr>
                <w:rFonts w:ascii="Times New Roman" w:hAnsi="Times New Roman"/>
                <w:sz w:val="24"/>
                <w:szCs w:val="24"/>
              </w:rPr>
              <w:t xml:space="preserve"> настоящей</w:t>
            </w:r>
            <w:r w:rsidR="00327287">
              <w:rPr>
                <w:rFonts w:ascii="Times New Roman" w:hAnsi="Times New Roman"/>
                <w:sz w:val="24"/>
                <w:szCs w:val="24"/>
              </w:rPr>
              <w:t xml:space="preserve"> таблицы</w:t>
            </w:r>
            <w:r w:rsidR="00084D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B1B3A">
              <w:rPr>
                <w:rFonts w:ascii="Times New Roman" w:hAnsi="Times New Roman"/>
                <w:sz w:val="24"/>
                <w:szCs w:val="24"/>
              </w:rPr>
              <w:t>будет осуществляться в городском округе Тольятти по мере</w:t>
            </w:r>
            <w:r w:rsidR="00C43796">
              <w:rPr>
                <w:rFonts w:ascii="Times New Roman" w:hAnsi="Times New Roman"/>
                <w:sz w:val="24"/>
                <w:szCs w:val="24"/>
              </w:rPr>
              <w:t xml:space="preserve"> дополнения региональных составляющих таких проектов мероприятиями</w:t>
            </w:r>
            <w:r w:rsidR="009731C0">
              <w:rPr>
                <w:rFonts w:ascii="Times New Roman" w:hAnsi="Times New Roman"/>
                <w:sz w:val="24"/>
                <w:szCs w:val="24"/>
              </w:rPr>
              <w:t>,</w:t>
            </w:r>
            <w:r w:rsidR="00DE5DBD">
              <w:rPr>
                <w:rFonts w:ascii="Times New Roman" w:hAnsi="Times New Roman"/>
                <w:sz w:val="24"/>
                <w:szCs w:val="24"/>
              </w:rPr>
              <w:t xml:space="preserve"> предполагаемыми</w:t>
            </w:r>
            <w:r w:rsidR="009731C0">
              <w:rPr>
                <w:rFonts w:ascii="Times New Roman" w:hAnsi="Times New Roman"/>
                <w:sz w:val="24"/>
                <w:szCs w:val="24"/>
              </w:rPr>
              <w:t xml:space="preserve"> к реализации на уровне муниципальных образований</w:t>
            </w:r>
            <w:r w:rsidR="00830DA6">
              <w:rPr>
                <w:rFonts w:ascii="Times New Roman" w:hAnsi="Times New Roman"/>
                <w:sz w:val="24"/>
                <w:szCs w:val="24"/>
              </w:rPr>
              <w:t>, при</w:t>
            </w:r>
            <w:r w:rsidR="00DE5DBD">
              <w:rPr>
                <w:rFonts w:ascii="Times New Roman" w:hAnsi="Times New Roman"/>
                <w:sz w:val="24"/>
                <w:szCs w:val="24"/>
              </w:rPr>
              <w:t xml:space="preserve"> условии наличия </w:t>
            </w:r>
            <w:r w:rsidR="00830DA6">
              <w:rPr>
                <w:rFonts w:ascii="Times New Roman" w:hAnsi="Times New Roman"/>
                <w:sz w:val="24"/>
                <w:szCs w:val="24"/>
              </w:rPr>
              <w:t>ресурсов, необходимых для их реализации.</w:t>
            </w:r>
          </w:p>
        </w:tc>
      </w:tr>
    </w:tbl>
    <w:p w:rsidR="005A64FD" w:rsidRDefault="005A64FD" w:rsidP="009D7BA1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  <w:sectPr w:rsidR="005A64FD" w:rsidSect="00D828DA">
          <w:pgSz w:w="16838" w:h="11906" w:orient="landscape" w:code="9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61659C" w:rsidRPr="008D143B" w:rsidRDefault="0061659C" w:rsidP="00274AC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143B" w:rsidRDefault="001F2E75" w:rsidP="000A22DF">
      <w:pPr>
        <w:pStyle w:val="ConsPlusNormal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3A5BA5">
        <w:rPr>
          <w:rFonts w:ascii="Times New Roman" w:hAnsi="Times New Roman" w:cs="Times New Roman"/>
          <w:sz w:val="28"/>
          <w:szCs w:val="28"/>
        </w:rPr>
        <w:t xml:space="preserve"> 2.2 «Приоритет «</w:t>
      </w:r>
      <w:proofErr w:type="spellStart"/>
      <w:r w:rsidR="003A5BA5">
        <w:rPr>
          <w:rFonts w:ascii="Times New Roman" w:hAnsi="Times New Roman" w:cs="Times New Roman"/>
          <w:sz w:val="28"/>
          <w:szCs w:val="28"/>
        </w:rPr>
        <w:t>Экогород</w:t>
      </w:r>
      <w:proofErr w:type="spellEnd"/>
      <w:r w:rsidR="003A5BA5">
        <w:rPr>
          <w:rFonts w:ascii="Times New Roman" w:hAnsi="Times New Roman" w:cs="Times New Roman"/>
          <w:sz w:val="28"/>
          <w:szCs w:val="28"/>
        </w:rPr>
        <w:t>»</w:t>
      </w:r>
      <w:r w:rsidR="00724D25">
        <w:rPr>
          <w:rFonts w:ascii="Times New Roman" w:hAnsi="Times New Roman" w:cs="Times New Roman"/>
          <w:sz w:val="28"/>
          <w:szCs w:val="28"/>
        </w:rPr>
        <w:t>»</w:t>
      </w:r>
      <w:r w:rsidR="003A5BA5">
        <w:rPr>
          <w:rFonts w:ascii="Times New Roman" w:hAnsi="Times New Roman" w:cs="Times New Roman"/>
          <w:sz w:val="28"/>
          <w:szCs w:val="28"/>
        </w:rPr>
        <w:t xml:space="preserve"> Стратегии абзацем следующего содержания:</w:t>
      </w:r>
    </w:p>
    <w:p w:rsidR="003A5BA5" w:rsidRDefault="00EE3C1C" w:rsidP="0074266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1813">
        <w:rPr>
          <w:rFonts w:ascii="Times New Roman" w:hAnsi="Times New Roman" w:cs="Times New Roman"/>
          <w:sz w:val="28"/>
          <w:szCs w:val="28"/>
        </w:rPr>
        <w:t>Достижению стратегической цели</w:t>
      </w:r>
      <w:r w:rsidR="00A63356">
        <w:rPr>
          <w:rFonts w:ascii="Times New Roman" w:hAnsi="Times New Roman" w:cs="Times New Roman"/>
          <w:sz w:val="28"/>
          <w:szCs w:val="28"/>
        </w:rPr>
        <w:t xml:space="preserve"> по приоритету</w:t>
      </w:r>
      <w:r w:rsidR="00C918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1813">
        <w:rPr>
          <w:rFonts w:ascii="Times New Roman" w:hAnsi="Times New Roman" w:cs="Times New Roman"/>
          <w:sz w:val="28"/>
          <w:szCs w:val="28"/>
        </w:rPr>
        <w:t>Экогород</w:t>
      </w:r>
      <w:proofErr w:type="spellEnd"/>
      <w:r w:rsidR="00C91813">
        <w:rPr>
          <w:rFonts w:ascii="Times New Roman" w:hAnsi="Times New Roman" w:cs="Times New Roman"/>
          <w:sz w:val="28"/>
          <w:szCs w:val="28"/>
        </w:rPr>
        <w:t>» в части решения задач</w:t>
      </w:r>
      <w:r w:rsidR="00742669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C91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813">
        <w:rPr>
          <w:rFonts w:ascii="Times New Roman" w:hAnsi="Times New Roman" w:cs="Times New Roman"/>
          <w:color w:val="000000"/>
          <w:sz w:val="28"/>
          <w:szCs w:val="28"/>
        </w:rPr>
        <w:t>экологиза</w:t>
      </w:r>
      <w:r w:rsidR="00742669">
        <w:rPr>
          <w:rFonts w:ascii="Times New Roman" w:hAnsi="Times New Roman" w:cs="Times New Roman"/>
          <w:color w:val="000000"/>
          <w:sz w:val="28"/>
          <w:szCs w:val="28"/>
        </w:rPr>
        <w:t>ции</w:t>
      </w:r>
      <w:proofErr w:type="spellEnd"/>
      <w:r w:rsidR="00742669">
        <w:rPr>
          <w:rFonts w:ascii="Times New Roman" w:hAnsi="Times New Roman" w:cs="Times New Roman"/>
          <w:color w:val="000000"/>
          <w:sz w:val="28"/>
          <w:szCs w:val="28"/>
        </w:rPr>
        <w:t xml:space="preserve"> Волжского бассейна и управления отходами</w:t>
      </w:r>
      <w:r w:rsidR="00742669">
        <w:rPr>
          <w:rFonts w:ascii="Times New Roman" w:hAnsi="Times New Roman" w:cs="Times New Roman"/>
          <w:sz w:val="28"/>
          <w:szCs w:val="28"/>
        </w:rPr>
        <w:t xml:space="preserve"> </w:t>
      </w:r>
      <w:r w:rsidRPr="00EE3C1C">
        <w:rPr>
          <w:rFonts w:ascii="Times New Roman" w:hAnsi="Times New Roman" w:cs="Times New Roman"/>
          <w:sz w:val="28"/>
          <w:szCs w:val="28"/>
        </w:rPr>
        <w:t>будет способствовать участие городского округа Тольятти в реа</w:t>
      </w:r>
      <w:r w:rsidR="00040986">
        <w:rPr>
          <w:rFonts w:ascii="Times New Roman" w:hAnsi="Times New Roman" w:cs="Times New Roman"/>
          <w:sz w:val="28"/>
          <w:szCs w:val="28"/>
        </w:rPr>
        <w:t>лизации мероприятий региональных составляющих федеральных проектов «Оздоровление Волги» и «Чистая страна»</w:t>
      </w:r>
      <w:r w:rsidRPr="00EE3C1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ационального проекта «Экология»».</w:t>
      </w:r>
    </w:p>
    <w:p w:rsidR="00EE3C1C" w:rsidRDefault="00724D25" w:rsidP="000A22DF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3C1C">
        <w:rPr>
          <w:rFonts w:ascii="Times New Roman" w:hAnsi="Times New Roman" w:cs="Times New Roman"/>
          <w:sz w:val="28"/>
          <w:szCs w:val="28"/>
        </w:rPr>
        <w:t>Дополнить</w:t>
      </w:r>
      <w:r w:rsidR="001F2E7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E3C1C">
        <w:rPr>
          <w:rFonts w:ascii="Times New Roman" w:hAnsi="Times New Roman" w:cs="Times New Roman"/>
          <w:sz w:val="28"/>
          <w:szCs w:val="28"/>
        </w:rPr>
        <w:t xml:space="preserve"> 2.3 «Приоритет «Человеческий потенциал»»</w:t>
      </w:r>
      <w:r>
        <w:rPr>
          <w:rFonts w:ascii="Times New Roman" w:hAnsi="Times New Roman" w:cs="Times New Roman"/>
          <w:sz w:val="28"/>
          <w:szCs w:val="28"/>
        </w:rPr>
        <w:t xml:space="preserve"> Стратегии абзацем следующего содержания:</w:t>
      </w:r>
    </w:p>
    <w:p w:rsidR="00724D25" w:rsidRDefault="00724D25" w:rsidP="00015133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55BC">
        <w:rPr>
          <w:rFonts w:ascii="Times New Roman" w:hAnsi="Times New Roman" w:cs="Times New Roman"/>
          <w:sz w:val="28"/>
          <w:szCs w:val="28"/>
        </w:rPr>
        <w:t>Достижению стратегической цели</w:t>
      </w:r>
      <w:r w:rsidR="00A63356">
        <w:rPr>
          <w:rFonts w:ascii="Times New Roman" w:hAnsi="Times New Roman" w:cs="Times New Roman"/>
          <w:sz w:val="28"/>
          <w:szCs w:val="28"/>
        </w:rPr>
        <w:t xml:space="preserve"> по приоритету</w:t>
      </w:r>
      <w:r w:rsidR="009055BC">
        <w:rPr>
          <w:rFonts w:ascii="Times New Roman" w:hAnsi="Times New Roman" w:cs="Times New Roman"/>
          <w:sz w:val="28"/>
          <w:szCs w:val="28"/>
        </w:rPr>
        <w:t xml:space="preserve"> «Человеческий потенциал»</w:t>
      </w:r>
      <w:r w:rsidRPr="00724D25">
        <w:rPr>
          <w:rFonts w:ascii="Times New Roman" w:hAnsi="Times New Roman" w:cs="Times New Roman"/>
          <w:sz w:val="28"/>
          <w:szCs w:val="28"/>
        </w:rPr>
        <w:t xml:space="preserve"> будет способствовать участие городского округа Тольятти в реализации </w:t>
      </w:r>
      <w:proofErr w:type="gramStart"/>
      <w:r w:rsidRPr="00724D25">
        <w:rPr>
          <w:rFonts w:ascii="Times New Roman" w:hAnsi="Times New Roman" w:cs="Times New Roman"/>
          <w:sz w:val="28"/>
          <w:szCs w:val="28"/>
        </w:rPr>
        <w:t>мероприятий  региональных</w:t>
      </w:r>
      <w:proofErr w:type="gramEnd"/>
      <w:r w:rsidRPr="00724D25">
        <w:rPr>
          <w:rFonts w:ascii="Times New Roman" w:hAnsi="Times New Roman" w:cs="Times New Roman"/>
          <w:sz w:val="28"/>
          <w:szCs w:val="28"/>
        </w:rPr>
        <w:t xml:space="preserve"> составляющих национальных проектов «Образование», «Здравоохранение», «Демография»</w:t>
      </w:r>
      <w:r w:rsidR="00015133">
        <w:rPr>
          <w:rFonts w:ascii="Times New Roman" w:hAnsi="Times New Roman" w:cs="Times New Roman"/>
          <w:sz w:val="28"/>
          <w:szCs w:val="28"/>
        </w:rPr>
        <w:t>»</w:t>
      </w:r>
      <w:r w:rsidRPr="00724D25">
        <w:rPr>
          <w:rFonts w:ascii="Times New Roman" w:hAnsi="Times New Roman" w:cs="Times New Roman"/>
          <w:sz w:val="28"/>
          <w:szCs w:val="28"/>
        </w:rPr>
        <w:t>.</w:t>
      </w:r>
    </w:p>
    <w:p w:rsidR="00A63356" w:rsidRDefault="00692BCE" w:rsidP="000A22DF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711082">
        <w:rPr>
          <w:rFonts w:ascii="Times New Roman" w:hAnsi="Times New Roman" w:cs="Times New Roman"/>
          <w:sz w:val="28"/>
          <w:szCs w:val="28"/>
        </w:rPr>
        <w:t xml:space="preserve"> 2.4</w:t>
      </w:r>
      <w:r w:rsidR="00171825">
        <w:rPr>
          <w:rFonts w:ascii="Times New Roman" w:hAnsi="Times New Roman" w:cs="Times New Roman"/>
          <w:sz w:val="28"/>
          <w:szCs w:val="28"/>
        </w:rPr>
        <w:t xml:space="preserve"> «Приоритет «Городское сообщество и идентичность»</w:t>
      </w:r>
      <w:r w:rsidR="00E55992">
        <w:rPr>
          <w:rFonts w:ascii="Times New Roman" w:hAnsi="Times New Roman" w:cs="Times New Roman"/>
          <w:sz w:val="28"/>
          <w:szCs w:val="28"/>
        </w:rPr>
        <w:t xml:space="preserve"> Стратегии</w:t>
      </w:r>
      <w:r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1718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040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B27" w:rsidRPr="00040986" w:rsidRDefault="00A63356" w:rsidP="00A63356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436A" w:rsidRPr="00040986">
        <w:rPr>
          <w:rFonts w:ascii="Times New Roman" w:hAnsi="Times New Roman"/>
          <w:sz w:val="28"/>
          <w:szCs w:val="28"/>
        </w:rPr>
        <w:t>Достижению стратегической цели</w:t>
      </w:r>
      <w:r>
        <w:rPr>
          <w:rFonts w:ascii="Times New Roman" w:hAnsi="Times New Roman"/>
          <w:sz w:val="28"/>
          <w:szCs w:val="28"/>
        </w:rPr>
        <w:t xml:space="preserve"> по приоритету</w:t>
      </w:r>
      <w:r w:rsidR="005C436A" w:rsidRPr="00040986">
        <w:rPr>
          <w:rFonts w:ascii="Times New Roman" w:hAnsi="Times New Roman"/>
          <w:sz w:val="28"/>
          <w:szCs w:val="28"/>
        </w:rPr>
        <w:t xml:space="preserve"> «Городское сообщество и идентичность» в части решения задачи вовлечения г</w:t>
      </w:r>
      <w:r w:rsidR="009055BC" w:rsidRPr="00040986">
        <w:rPr>
          <w:rFonts w:ascii="Times New Roman" w:hAnsi="Times New Roman"/>
          <w:sz w:val="28"/>
          <w:szCs w:val="28"/>
        </w:rPr>
        <w:t>орожан в культурную жизнь города будет способствовать</w:t>
      </w:r>
      <w:r w:rsidR="005C436A" w:rsidRPr="00040986">
        <w:rPr>
          <w:rFonts w:ascii="Times New Roman" w:hAnsi="Times New Roman"/>
          <w:sz w:val="28"/>
          <w:szCs w:val="28"/>
        </w:rPr>
        <w:t xml:space="preserve"> </w:t>
      </w:r>
      <w:r w:rsidR="009055BC" w:rsidRPr="00040986">
        <w:rPr>
          <w:rFonts w:ascii="Times New Roman" w:hAnsi="Times New Roman"/>
          <w:sz w:val="28"/>
          <w:szCs w:val="28"/>
        </w:rPr>
        <w:t>у</w:t>
      </w:r>
      <w:r w:rsidR="00E60B27" w:rsidRPr="00040986">
        <w:rPr>
          <w:rFonts w:ascii="Times New Roman" w:hAnsi="Times New Roman"/>
          <w:sz w:val="28"/>
          <w:szCs w:val="28"/>
        </w:rPr>
        <w:t xml:space="preserve">частие городского округа Тольятти в реализации мероприятий региональной составляющей национального </w:t>
      </w:r>
      <w:r w:rsidR="009055BC" w:rsidRPr="00040986">
        <w:rPr>
          <w:rFonts w:ascii="Times New Roman" w:hAnsi="Times New Roman"/>
          <w:sz w:val="28"/>
          <w:szCs w:val="28"/>
        </w:rPr>
        <w:t>проекта «Культура».</w:t>
      </w:r>
    </w:p>
    <w:p w:rsidR="00127341" w:rsidRPr="00A63356" w:rsidRDefault="00692BCE" w:rsidP="000A22DF">
      <w:pPr>
        <w:pStyle w:val="ConsPlusNormal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 </w:t>
      </w:r>
      <w:r w:rsidR="00711082">
        <w:rPr>
          <w:rFonts w:ascii="Times New Roman" w:hAnsi="Times New Roman" w:cs="Times New Roman"/>
          <w:sz w:val="28"/>
          <w:szCs w:val="28"/>
        </w:rPr>
        <w:t>2.5</w:t>
      </w:r>
      <w:r w:rsidR="00EA5B6A">
        <w:rPr>
          <w:rFonts w:ascii="Times New Roman" w:hAnsi="Times New Roman" w:cs="Times New Roman"/>
          <w:sz w:val="28"/>
          <w:szCs w:val="28"/>
        </w:rPr>
        <w:t xml:space="preserve"> </w:t>
      </w:r>
      <w:r w:rsidR="00F60D9E">
        <w:rPr>
          <w:rFonts w:ascii="Times New Roman" w:hAnsi="Times New Roman" w:cs="Times New Roman"/>
          <w:sz w:val="28"/>
          <w:szCs w:val="28"/>
        </w:rPr>
        <w:t>«Приоритет «Возможности для каждого»»</w:t>
      </w:r>
      <w:r w:rsidR="00E55992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6F73FC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F60D9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A5BA5" w:rsidRDefault="00127341" w:rsidP="00F60D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«Достижению стратегической цели</w:t>
      </w:r>
      <w:r w:rsidR="00A63356">
        <w:rPr>
          <w:rFonts w:ascii="Times New Roman" w:hAnsi="Times New Roman" w:cs="Times New Roman"/>
          <w:sz w:val="28"/>
          <w:szCs w:val="28"/>
        </w:rPr>
        <w:t xml:space="preserve"> по приоритету «Возможности для каждого»</w:t>
      </w:r>
      <w:r w:rsidR="00EA5B6A" w:rsidRPr="00F60D9E">
        <w:rPr>
          <w:rFonts w:ascii="Times New Roman" w:hAnsi="Times New Roman" w:cs="Times New Roman"/>
          <w:sz w:val="28"/>
          <w:szCs w:val="28"/>
        </w:rPr>
        <w:t xml:space="preserve"> будет способствовать участие городского округа Тольятти в реализации мероприятий региональных составляющих национальных проектов «Малое и среднее предпринимательство и поддержка индивидуальной предпринимательской инициативы», «Международная кооперация и экспорт», «Производительность труда и поддержка занятости»</w:t>
      </w:r>
      <w:r w:rsidR="00F60D9E">
        <w:rPr>
          <w:rFonts w:ascii="Times New Roman" w:hAnsi="Times New Roman" w:cs="Times New Roman"/>
          <w:sz w:val="28"/>
          <w:szCs w:val="28"/>
        </w:rPr>
        <w:t>»</w:t>
      </w:r>
      <w:r w:rsidR="00EA5B6A" w:rsidRPr="00F60D9E">
        <w:rPr>
          <w:rFonts w:ascii="Times New Roman" w:hAnsi="Times New Roman" w:cs="Times New Roman"/>
          <w:sz w:val="28"/>
          <w:szCs w:val="28"/>
        </w:rPr>
        <w:t>.</w:t>
      </w:r>
    </w:p>
    <w:p w:rsidR="00485686" w:rsidRDefault="00E55992" w:rsidP="000A22DF">
      <w:pPr>
        <w:pStyle w:val="ConsPlusNormal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711082">
        <w:rPr>
          <w:rFonts w:ascii="Times New Roman" w:hAnsi="Times New Roman" w:cs="Times New Roman"/>
          <w:sz w:val="28"/>
          <w:szCs w:val="28"/>
        </w:rPr>
        <w:t xml:space="preserve"> 2.6 «Город больших проектов»</w:t>
      </w:r>
      <w:r w:rsidR="006F73FC">
        <w:rPr>
          <w:rFonts w:ascii="Times New Roman" w:hAnsi="Times New Roman" w:cs="Times New Roman"/>
          <w:sz w:val="28"/>
          <w:szCs w:val="28"/>
        </w:rPr>
        <w:t xml:space="preserve"> Стратегии абзацем</w:t>
      </w:r>
      <w:r w:rsidR="008A5A0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56E03" w:rsidRDefault="00E60093" w:rsidP="008334A3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7547">
        <w:rPr>
          <w:rFonts w:ascii="Times New Roman" w:hAnsi="Times New Roman" w:cs="Times New Roman"/>
          <w:sz w:val="28"/>
          <w:szCs w:val="28"/>
        </w:rPr>
        <w:t>Достижению стратегической цели</w:t>
      </w:r>
      <w:r w:rsidR="00036226">
        <w:rPr>
          <w:rFonts w:ascii="Times New Roman" w:hAnsi="Times New Roman" w:cs="Times New Roman"/>
          <w:sz w:val="28"/>
          <w:szCs w:val="28"/>
        </w:rPr>
        <w:t xml:space="preserve"> по приоритету</w:t>
      </w:r>
      <w:r w:rsidR="00FC7547">
        <w:rPr>
          <w:rFonts w:ascii="Times New Roman" w:hAnsi="Times New Roman" w:cs="Times New Roman"/>
          <w:sz w:val="28"/>
          <w:szCs w:val="28"/>
        </w:rPr>
        <w:t xml:space="preserve"> «Город больших проектов»</w:t>
      </w:r>
      <w:r>
        <w:rPr>
          <w:rFonts w:ascii="Times New Roman" w:hAnsi="Times New Roman" w:cs="Times New Roman"/>
          <w:sz w:val="28"/>
          <w:szCs w:val="28"/>
        </w:rPr>
        <w:t xml:space="preserve"> будет способствовать </w:t>
      </w:r>
      <w:r>
        <w:rPr>
          <w:rFonts w:ascii="Times New Roman" w:hAnsi="Times New Roman"/>
          <w:sz w:val="28"/>
          <w:szCs w:val="28"/>
        </w:rPr>
        <w:t>у</w:t>
      </w:r>
      <w:r w:rsidR="008A5A02" w:rsidRPr="008A5A02">
        <w:rPr>
          <w:rFonts w:ascii="Times New Roman" w:hAnsi="Times New Roman"/>
          <w:sz w:val="28"/>
          <w:szCs w:val="28"/>
        </w:rPr>
        <w:t>частие городского округа Тольятти в реализации</w:t>
      </w:r>
      <w:r w:rsidR="00377AD3">
        <w:rPr>
          <w:rFonts w:ascii="Times New Roman" w:hAnsi="Times New Roman"/>
          <w:sz w:val="28"/>
          <w:szCs w:val="28"/>
        </w:rPr>
        <w:t xml:space="preserve"> мероприятий</w:t>
      </w:r>
      <w:r w:rsidR="008A5A02" w:rsidRPr="008A5A02">
        <w:rPr>
          <w:rFonts w:ascii="Times New Roman" w:hAnsi="Times New Roman"/>
          <w:sz w:val="28"/>
          <w:szCs w:val="28"/>
        </w:rPr>
        <w:t xml:space="preserve"> региональных составляющих федеральных проектов национального проекта «Цифровая экономика»</w:t>
      </w:r>
      <w:r>
        <w:rPr>
          <w:rFonts w:ascii="Times New Roman" w:hAnsi="Times New Roman"/>
          <w:sz w:val="28"/>
          <w:szCs w:val="28"/>
        </w:rPr>
        <w:t>».</w:t>
      </w:r>
    </w:p>
    <w:p w:rsidR="00911BF8" w:rsidRDefault="006F73FC" w:rsidP="000A22DF">
      <w:pPr>
        <w:pStyle w:val="ConsPlusNormal"/>
        <w:numPr>
          <w:ilvl w:val="0"/>
          <w:numId w:val="4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</w:t>
      </w:r>
      <w:r w:rsidR="008334A3">
        <w:rPr>
          <w:rFonts w:ascii="Times New Roman" w:hAnsi="Times New Roman" w:cs="Times New Roman"/>
          <w:sz w:val="28"/>
          <w:szCs w:val="28"/>
        </w:rPr>
        <w:t xml:space="preserve"> 2.7 «Город жизни»</w:t>
      </w:r>
      <w:r>
        <w:rPr>
          <w:rFonts w:ascii="Times New Roman" w:hAnsi="Times New Roman" w:cs="Times New Roman"/>
          <w:sz w:val="28"/>
          <w:szCs w:val="28"/>
        </w:rPr>
        <w:t xml:space="preserve"> Стратегии абзацем </w:t>
      </w:r>
      <w:r w:rsidR="008334A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C7547" w:rsidRDefault="00911BF8" w:rsidP="00FC754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2234">
        <w:rPr>
          <w:rFonts w:ascii="Times New Roman" w:hAnsi="Times New Roman"/>
          <w:sz w:val="28"/>
          <w:szCs w:val="28"/>
        </w:rPr>
        <w:t>Достижению стратегической цели</w:t>
      </w:r>
      <w:r w:rsidR="00377AD3">
        <w:rPr>
          <w:rFonts w:ascii="Times New Roman" w:hAnsi="Times New Roman"/>
          <w:sz w:val="28"/>
          <w:szCs w:val="28"/>
        </w:rPr>
        <w:t xml:space="preserve"> по приоритету</w:t>
      </w:r>
      <w:r w:rsidR="00492234">
        <w:rPr>
          <w:rFonts w:ascii="Times New Roman" w:hAnsi="Times New Roman"/>
          <w:sz w:val="28"/>
          <w:szCs w:val="28"/>
        </w:rPr>
        <w:t xml:space="preserve"> «Город жизни» в части формирования комфортной городской среды будет способствовать </w:t>
      </w:r>
      <w:r w:rsidR="00FC7547">
        <w:rPr>
          <w:rFonts w:ascii="Times New Roman" w:hAnsi="Times New Roman"/>
          <w:sz w:val="28"/>
          <w:szCs w:val="28"/>
        </w:rPr>
        <w:t>р</w:t>
      </w:r>
      <w:r w:rsidRPr="00911BF8">
        <w:rPr>
          <w:rFonts w:ascii="Times New Roman" w:hAnsi="Times New Roman"/>
          <w:sz w:val="28"/>
          <w:szCs w:val="28"/>
        </w:rPr>
        <w:t>еализация мероприятий региональной составляющей национального пр</w:t>
      </w:r>
      <w:r w:rsidR="00FC7547">
        <w:rPr>
          <w:rFonts w:ascii="Times New Roman" w:hAnsi="Times New Roman"/>
          <w:sz w:val="28"/>
          <w:szCs w:val="28"/>
        </w:rPr>
        <w:t>оекта «Жилье и городская среда».</w:t>
      </w:r>
    </w:p>
    <w:p w:rsidR="00405290" w:rsidRPr="005E74DC" w:rsidRDefault="006F73FC" w:rsidP="000A22DF">
      <w:pPr>
        <w:pStyle w:val="ConsPlusNormal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</w:t>
      </w:r>
      <w:r w:rsidR="00711BA7">
        <w:rPr>
          <w:rFonts w:ascii="Times New Roman" w:hAnsi="Times New Roman" w:cs="Times New Roman"/>
          <w:sz w:val="28"/>
          <w:szCs w:val="28"/>
        </w:rPr>
        <w:t xml:space="preserve"> 2.8 «Тольятти мобильный»</w:t>
      </w:r>
      <w:r>
        <w:rPr>
          <w:rFonts w:ascii="Times New Roman" w:hAnsi="Times New Roman" w:cs="Times New Roman"/>
          <w:sz w:val="28"/>
          <w:szCs w:val="28"/>
        </w:rPr>
        <w:t xml:space="preserve"> Стратегии абзацем </w:t>
      </w:r>
      <w:r w:rsidR="00CE3623">
        <w:rPr>
          <w:rFonts w:ascii="Times New Roman" w:hAnsi="Times New Roman" w:cs="Times New Roman"/>
          <w:sz w:val="28"/>
          <w:szCs w:val="28"/>
        </w:rPr>
        <w:t>следующего содер</w:t>
      </w:r>
      <w:r w:rsidR="005E74DC">
        <w:rPr>
          <w:rFonts w:ascii="Times New Roman" w:hAnsi="Times New Roman" w:cs="Times New Roman"/>
          <w:sz w:val="28"/>
          <w:szCs w:val="28"/>
        </w:rPr>
        <w:t>жания:</w:t>
      </w:r>
    </w:p>
    <w:p w:rsidR="006F73FC" w:rsidRDefault="005E74DC" w:rsidP="006F73FC">
      <w:pPr>
        <w:pStyle w:val="ConsPlusNorma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«Достижению стратегической цели</w:t>
      </w:r>
      <w:r w:rsidR="00377AD3">
        <w:rPr>
          <w:rFonts w:ascii="Times New Roman" w:hAnsi="Times New Roman" w:cs="Times New Roman"/>
          <w:sz w:val="28"/>
          <w:szCs w:val="28"/>
        </w:rPr>
        <w:t xml:space="preserve"> по приоритету</w:t>
      </w:r>
      <w:r>
        <w:rPr>
          <w:rFonts w:ascii="Times New Roman" w:hAnsi="Times New Roman" w:cs="Times New Roman"/>
          <w:sz w:val="28"/>
          <w:szCs w:val="28"/>
        </w:rPr>
        <w:t xml:space="preserve"> «Тольятти мобильный» в части создания современной транспортной системы будет способствовать реализация меропр</w:t>
      </w:r>
      <w:r w:rsidR="0012528C">
        <w:rPr>
          <w:rFonts w:ascii="Times New Roman" w:hAnsi="Times New Roman" w:cs="Times New Roman"/>
          <w:sz w:val="28"/>
          <w:szCs w:val="28"/>
        </w:rPr>
        <w:t>иятий региональной составляющей национального проекта «Безопасные и качественные дороги».</w:t>
      </w:r>
    </w:p>
    <w:p w:rsidR="007E7246" w:rsidRDefault="007E7246" w:rsidP="000A22DF">
      <w:pPr>
        <w:pStyle w:val="ConsPlusNormal"/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с 1.5 по 1.7 включительно Таблицы 6 </w:t>
      </w:r>
      <w:r w:rsidR="00171C61">
        <w:rPr>
          <w:rFonts w:ascii="Times New Roman" w:hAnsi="Times New Roman" w:cs="Times New Roman"/>
          <w:sz w:val="28"/>
          <w:szCs w:val="28"/>
        </w:rPr>
        <w:t>«</w:t>
      </w:r>
      <w:r w:rsidR="00171C61" w:rsidRPr="00171C61">
        <w:rPr>
          <w:rFonts w:ascii="Times New Roman" w:hAnsi="Times New Roman" w:cs="Times New Roman"/>
          <w:sz w:val="28"/>
          <w:szCs w:val="28"/>
        </w:rPr>
        <w:t>Ожидаемые результаты приоритетного направления «</w:t>
      </w:r>
      <w:proofErr w:type="spellStart"/>
      <w:r w:rsidR="00171C61" w:rsidRPr="00171C61">
        <w:rPr>
          <w:rFonts w:ascii="Times New Roman" w:hAnsi="Times New Roman" w:cs="Times New Roman"/>
          <w:sz w:val="28"/>
          <w:szCs w:val="28"/>
        </w:rPr>
        <w:t>Экогород</w:t>
      </w:r>
      <w:proofErr w:type="spellEnd"/>
      <w:r w:rsidR="00171C61" w:rsidRPr="00171C61">
        <w:rPr>
          <w:rFonts w:ascii="Times New Roman" w:hAnsi="Times New Roman" w:cs="Times New Roman"/>
          <w:sz w:val="28"/>
          <w:szCs w:val="28"/>
        </w:rPr>
        <w:t>»</w:t>
      </w:r>
      <w:r w:rsidR="00171C61">
        <w:rPr>
          <w:rFonts w:ascii="Times New Roman" w:hAnsi="Times New Roman" w:cs="Times New Roman"/>
          <w:sz w:val="28"/>
          <w:szCs w:val="28"/>
        </w:rPr>
        <w:t xml:space="preserve">» </w:t>
      </w:r>
      <w:r w:rsidR="0038744B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171C6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1C61" w:rsidRDefault="00171C61" w:rsidP="00171C61">
      <w:pPr>
        <w:pStyle w:val="ConsPlusNormal"/>
        <w:tabs>
          <w:tab w:val="left" w:pos="142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569"/>
        <w:gridCol w:w="1063"/>
        <w:gridCol w:w="1420"/>
        <w:gridCol w:w="648"/>
        <w:gridCol w:w="648"/>
        <w:gridCol w:w="648"/>
        <w:gridCol w:w="641"/>
      </w:tblGrid>
      <w:tr w:rsidR="00171C61" w:rsidRPr="00171C61" w:rsidTr="00C44E87">
        <w:trPr>
          <w:trHeight w:val="290"/>
        </w:trPr>
        <w:tc>
          <w:tcPr>
            <w:tcW w:w="378" w:type="pct"/>
            <w:vMerge w:val="restart"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09" w:type="pct"/>
            <w:vMerge w:val="restart"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твердых коммунальных отходов, направленных на утилизацию, в общем объеме образованных твердых коммунальных отходов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C44E87" w:rsidRDefault="0009394E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171C61" w:rsidRDefault="00DD0CC5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171C61" w:rsidRDefault="00DD0CC5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171C61" w:rsidRPr="00171C61" w:rsidRDefault="00FF6B99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71C61" w:rsidRPr="00171C61" w:rsidTr="00C44E87">
        <w:trPr>
          <w:trHeight w:val="290"/>
        </w:trPr>
        <w:tc>
          <w:tcPr>
            <w:tcW w:w="378" w:type="pct"/>
            <w:vMerge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noWrap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C44E87" w:rsidRDefault="0009394E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171C61" w:rsidRDefault="00DD0CC5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171C61" w:rsidRDefault="00DD0CC5" w:rsidP="00DD0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F16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C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171C61" w:rsidRPr="00171C61" w:rsidRDefault="00FF6B99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71C61" w:rsidRPr="00171C61" w:rsidTr="00C44E87">
        <w:trPr>
          <w:trHeight w:val="290"/>
        </w:trPr>
        <w:tc>
          <w:tcPr>
            <w:tcW w:w="378" w:type="pct"/>
            <w:vMerge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noWrap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модернизационный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C44E87" w:rsidRDefault="0009394E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171C61" w:rsidRDefault="00DD0CC5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171C61" w:rsidRDefault="005F167E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3C3A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171C61" w:rsidRPr="00171C61" w:rsidRDefault="00FF6B99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44E87" w:rsidRPr="00171C61" w:rsidTr="00C44E87">
        <w:trPr>
          <w:trHeight w:val="290"/>
        </w:trPr>
        <w:tc>
          <w:tcPr>
            <w:tcW w:w="378" w:type="pct"/>
            <w:vMerge w:val="restart"/>
            <w:shd w:val="clear" w:color="auto" w:fill="auto"/>
            <w:vAlign w:val="center"/>
          </w:tcPr>
          <w:p w:rsidR="00C44E87" w:rsidRPr="00171C61" w:rsidRDefault="00C44E87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09" w:type="pct"/>
            <w:vMerge w:val="restart"/>
            <w:shd w:val="clear" w:color="auto" w:fill="auto"/>
            <w:vAlign w:val="center"/>
          </w:tcPr>
          <w:p w:rsidR="00C44E87" w:rsidRPr="00171C61" w:rsidRDefault="00C44E87" w:rsidP="00C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твердых коммунальных отходов, направленных на обработку, в общем объеме образованных твердых коммунальных отходов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C44E87" w:rsidRPr="00171C61" w:rsidRDefault="00C44E87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:rsidR="00C44E87" w:rsidRPr="00171C61" w:rsidRDefault="00C44E87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44E87" w:rsidRPr="00C44E87" w:rsidRDefault="00C44E87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44E87" w:rsidRPr="00171C61" w:rsidRDefault="00C44E87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44E87" w:rsidRPr="00171C61" w:rsidRDefault="005F167E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C44E87" w:rsidRPr="00171C61" w:rsidRDefault="00C44E87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4E87" w:rsidRPr="00171C61" w:rsidTr="00C44E87">
        <w:trPr>
          <w:trHeight w:val="290"/>
        </w:trPr>
        <w:tc>
          <w:tcPr>
            <w:tcW w:w="378" w:type="pct"/>
            <w:vMerge/>
            <w:shd w:val="clear" w:color="auto" w:fill="auto"/>
            <w:vAlign w:val="center"/>
          </w:tcPr>
          <w:p w:rsidR="00C44E87" w:rsidRPr="00171C61" w:rsidRDefault="00C44E87" w:rsidP="00C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  <w:shd w:val="clear" w:color="auto" w:fill="auto"/>
            <w:vAlign w:val="center"/>
          </w:tcPr>
          <w:p w:rsidR="00C44E87" w:rsidRPr="00171C61" w:rsidRDefault="00C44E87" w:rsidP="00C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C44E87" w:rsidRPr="00171C61" w:rsidRDefault="00C44E87" w:rsidP="00C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noWrap/>
            <w:vAlign w:val="center"/>
          </w:tcPr>
          <w:p w:rsidR="00C44E87" w:rsidRPr="00171C61" w:rsidRDefault="00C44E87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44E87" w:rsidRPr="00C44E87" w:rsidRDefault="00C44E87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44E87" w:rsidRPr="00171C61" w:rsidRDefault="00C44E87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44E87" w:rsidRPr="00171C61" w:rsidRDefault="005F167E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C44E87" w:rsidRPr="00171C61" w:rsidRDefault="00C44E87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44E87" w:rsidRPr="00171C61" w:rsidTr="00C44E87">
        <w:trPr>
          <w:trHeight w:val="290"/>
        </w:trPr>
        <w:tc>
          <w:tcPr>
            <w:tcW w:w="378" w:type="pct"/>
            <w:vMerge/>
            <w:shd w:val="clear" w:color="auto" w:fill="auto"/>
            <w:vAlign w:val="center"/>
          </w:tcPr>
          <w:p w:rsidR="00C44E87" w:rsidRPr="00171C61" w:rsidRDefault="00C44E87" w:rsidP="00C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  <w:shd w:val="clear" w:color="auto" w:fill="auto"/>
            <w:vAlign w:val="center"/>
          </w:tcPr>
          <w:p w:rsidR="00C44E87" w:rsidRPr="00171C61" w:rsidRDefault="00C44E87" w:rsidP="00C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C44E87" w:rsidRPr="00171C61" w:rsidRDefault="00C44E87" w:rsidP="00C44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noWrap/>
            <w:vAlign w:val="center"/>
          </w:tcPr>
          <w:p w:rsidR="00C44E87" w:rsidRPr="00171C61" w:rsidRDefault="00C44E87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модернизационный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44E87" w:rsidRPr="00C44E87" w:rsidRDefault="00C44E87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44E87" w:rsidRPr="00171C61" w:rsidRDefault="00C44E87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C44E87" w:rsidRPr="00171C61" w:rsidRDefault="005F167E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C44E87" w:rsidRPr="00171C61" w:rsidRDefault="00C44E87" w:rsidP="00C4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71C61" w:rsidRPr="00171C61" w:rsidTr="00C44E87">
        <w:trPr>
          <w:trHeight w:val="290"/>
        </w:trPr>
        <w:tc>
          <w:tcPr>
            <w:tcW w:w="378" w:type="pct"/>
            <w:vMerge w:val="restart"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909" w:type="pct"/>
            <w:vMerge w:val="restart"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населения Тольятти,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9507D7" w:rsidRDefault="009507D7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171C61" w:rsidRPr="00171C61" w:rsidTr="00C44E87">
        <w:trPr>
          <w:trHeight w:val="290"/>
        </w:trPr>
        <w:tc>
          <w:tcPr>
            <w:tcW w:w="378" w:type="pct"/>
            <w:vMerge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noWrap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9507D7" w:rsidRDefault="009507D7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171C61" w:rsidRPr="00171C61" w:rsidTr="00C44E87">
        <w:trPr>
          <w:trHeight w:val="290"/>
        </w:trPr>
        <w:tc>
          <w:tcPr>
            <w:tcW w:w="378" w:type="pct"/>
            <w:vMerge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vMerge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171C61" w:rsidRPr="00171C61" w:rsidRDefault="00171C61" w:rsidP="00171C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shd w:val="clear" w:color="auto" w:fill="auto"/>
            <w:noWrap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модернизационный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9507D7" w:rsidRDefault="009507D7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7" w:type="pct"/>
            <w:shd w:val="clear" w:color="auto" w:fill="auto"/>
            <w:noWrap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171C61" w:rsidRPr="00171C61" w:rsidRDefault="00171C61" w:rsidP="00171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C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171C61" w:rsidRDefault="00171C61" w:rsidP="00B856D7">
      <w:pPr>
        <w:pStyle w:val="ConsPlusNormal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1C61" w:rsidRPr="00171C61" w:rsidRDefault="00171C61" w:rsidP="00171C61">
      <w:pPr>
        <w:pStyle w:val="ConsPlusNormal"/>
        <w:tabs>
          <w:tab w:val="left" w:pos="142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7015" w:rsidRDefault="00E364FE" w:rsidP="000A22DF">
      <w:pPr>
        <w:pStyle w:val="ConsPlusNormal"/>
        <w:numPr>
          <w:ilvl w:val="0"/>
          <w:numId w:val="4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7246">
        <w:rPr>
          <w:rFonts w:ascii="Times New Roman" w:hAnsi="Times New Roman" w:cs="Times New Roman"/>
          <w:sz w:val="28"/>
          <w:szCs w:val="28"/>
        </w:rPr>
        <w:t>ункт 4.5</w:t>
      </w:r>
      <w:r>
        <w:rPr>
          <w:rFonts w:ascii="Times New Roman" w:hAnsi="Times New Roman" w:cs="Times New Roman"/>
          <w:sz w:val="28"/>
          <w:szCs w:val="28"/>
        </w:rPr>
        <w:t xml:space="preserve"> Таблицы 9 </w:t>
      </w:r>
      <w:r w:rsidR="007E7246">
        <w:rPr>
          <w:rFonts w:ascii="Times New Roman" w:hAnsi="Times New Roman" w:cs="Times New Roman"/>
          <w:sz w:val="28"/>
          <w:szCs w:val="28"/>
        </w:rPr>
        <w:t>«</w:t>
      </w:r>
      <w:r w:rsidRPr="00E364FE">
        <w:rPr>
          <w:rFonts w:ascii="Times New Roman" w:hAnsi="Times New Roman" w:cs="Times New Roman"/>
          <w:sz w:val="28"/>
          <w:szCs w:val="28"/>
        </w:rPr>
        <w:t>Ожи</w:t>
      </w:r>
      <w:r>
        <w:rPr>
          <w:rFonts w:ascii="Times New Roman" w:hAnsi="Times New Roman" w:cs="Times New Roman"/>
          <w:sz w:val="28"/>
          <w:szCs w:val="28"/>
        </w:rPr>
        <w:t xml:space="preserve">даемые результаты приоритетного </w:t>
      </w:r>
      <w:r w:rsidRPr="00E364FE">
        <w:rPr>
          <w:rFonts w:ascii="Times New Roman" w:hAnsi="Times New Roman" w:cs="Times New Roman"/>
          <w:sz w:val="28"/>
          <w:szCs w:val="28"/>
        </w:rPr>
        <w:t>направления «Город жизни»</w:t>
      </w:r>
      <w:r w:rsidR="007E72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FE">
        <w:rPr>
          <w:rFonts w:ascii="Times New Roman" w:hAnsi="Times New Roman" w:cs="Times New Roman"/>
          <w:sz w:val="28"/>
          <w:szCs w:val="28"/>
        </w:rPr>
        <w:t>Стратегии изложить в следующей редакции:</w:t>
      </w:r>
    </w:p>
    <w:p w:rsidR="00E364FE" w:rsidRDefault="00E364FE" w:rsidP="00E364FE">
      <w:pPr>
        <w:pStyle w:val="ConsPlusNormal"/>
        <w:tabs>
          <w:tab w:val="left" w:pos="142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3173"/>
        <w:gridCol w:w="1071"/>
        <w:gridCol w:w="1342"/>
        <w:gridCol w:w="551"/>
        <w:gridCol w:w="875"/>
        <w:gridCol w:w="815"/>
        <w:gridCol w:w="813"/>
      </w:tblGrid>
      <w:tr w:rsidR="00E364FE" w:rsidRPr="00E364FE" w:rsidTr="003C1BAF">
        <w:trPr>
          <w:trHeight w:val="29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FE" w:rsidRPr="00006711" w:rsidRDefault="00E364FE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FE" w:rsidRPr="00006711" w:rsidRDefault="00E364FE" w:rsidP="00E3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качества городской среды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4FE" w:rsidRPr="00006711" w:rsidRDefault="00E364FE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FE" w:rsidRPr="00006711" w:rsidRDefault="00E364FE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FE" w:rsidRPr="00006711" w:rsidRDefault="00E364FE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FE" w:rsidRPr="00006711" w:rsidRDefault="003B05C9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FE" w:rsidRPr="00006711" w:rsidRDefault="002F2998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FE" w:rsidRPr="00006711" w:rsidRDefault="00D91CED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E364FE" w:rsidRPr="00E364FE" w:rsidTr="003C1BAF">
        <w:trPr>
          <w:trHeight w:val="29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FE" w:rsidRPr="00006711" w:rsidRDefault="00E364FE" w:rsidP="00E3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FE" w:rsidRPr="00006711" w:rsidRDefault="00E364FE" w:rsidP="00E3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FE" w:rsidRPr="00006711" w:rsidRDefault="00E364FE" w:rsidP="00E3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FE" w:rsidRPr="00006711" w:rsidRDefault="00E364FE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FE" w:rsidRPr="00006711" w:rsidRDefault="00E364FE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FE" w:rsidRPr="00006711" w:rsidRDefault="009A4154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FE" w:rsidRPr="00006711" w:rsidRDefault="00E53192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FE" w:rsidRPr="00006711" w:rsidRDefault="00CE77CA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E364FE" w:rsidRPr="00E364FE" w:rsidTr="003C1BAF">
        <w:trPr>
          <w:trHeight w:val="29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FE" w:rsidRPr="00006711" w:rsidRDefault="00E364FE" w:rsidP="00E3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FE" w:rsidRPr="00006711" w:rsidRDefault="00E364FE" w:rsidP="00E3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FE" w:rsidRPr="00006711" w:rsidRDefault="00E364FE" w:rsidP="00E364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FE" w:rsidRPr="00006711" w:rsidRDefault="00E364FE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модернизационный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FE" w:rsidRPr="00006711" w:rsidRDefault="00E364FE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FE" w:rsidRPr="00006711" w:rsidRDefault="009A4154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FE" w:rsidRPr="00006711" w:rsidRDefault="00E53192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FE" w:rsidRPr="00006711" w:rsidRDefault="00CE77CA" w:rsidP="00E3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</w:tbl>
    <w:p w:rsidR="00E364FE" w:rsidRPr="00E364FE" w:rsidRDefault="00E364FE" w:rsidP="00E364FE">
      <w:pPr>
        <w:pStyle w:val="ConsPlusNormal"/>
        <w:tabs>
          <w:tab w:val="left" w:pos="142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64FE" w:rsidRDefault="00E364FE" w:rsidP="00E364FE">
      <w:pPr>
        <w:pStyle w:val="ConsPlusNormal"/>
        <w:tabs>
          <w:tab w:val="left" w:pos="142"/>
          <w:tab w:val="left" w:pos="993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C5D4A" w:rsidRDefault="00B856D7" w:rsidP="000A22DF">
      <w:pPr>
        <w:pStyle w:val="ConsPlusNormal"/>
        <w:numPr>
          <w:ilvl w:val="0"/>
          <w:numId w:val="4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6.4 </w:t>
      </w:r>
      <w:r w:rsidR="005C5D4A">
        <w:rPr>
          <w:rFonts w:ascii="Times New Roman" w:hAnsi="Times New Roman" w:cs="Times New Roman"/>
          <w:sz w:val="28"/>
          <w:szCs w:val="28"/>
        </w:rPr>
        <w:t>Таблицы</w:t>
      </w:r>
      <w:r w:rsidRPr="00B856D7">
        <w:rPr>
          <w:rFonts w:ascii="Times New Roman" w:hAnsi="Times New Roman" w:cs="Times New Roman"/>
          <w:sz w:val="28"/>
          <w:szCs w:val="28"/>
        </w:rPr>
        <w:t xml:space="preserve"> </w:t>
      </w:r>
      <w:r w:rsidRPr="00B856D7">
        <w:rPr>
          <w:rFonts w:ascii="Times New Roman" w:hAnsi="Times New Roman" w:cs="Times New Roman"/>
          <w:sz w:val="28"/>
          <w:szCs w:val="28"/>
        </w:rPr>
        <w:fldChar w:fldCharType="begin"/>
      </w:r>
      <w:r w:rsidRPr="00B856D7">
        <w:rPr>
          <w:rFonts w:ascii="Times New Roman" w:hAnsi="Times New Roman" w:cs="Times New Roman"/>
          <w:sz w:val="28"/>
          <w:szCs w:val="28"/>
        </w:rPr>
        <w:instrText xml:space="preserve"> SEQ Таблица \* ARABIC </w:instrText>
      </w:r>
      <w:r w:rsidRPr="00B856D7">
        <w:rPr>
          <w:rFonts w:ascii="Times New Roman" w:hAnsi="Times New Roman" w:cs="Times New Roman"/>
          <w:sz w:val="28"/>
          <w:szCs w:val="28"/>
        </w:rPr>
        <w:fldChar w:fldCharType="separate"/>
      </w:r>
      <w:r w:rsidR="00A139D4">
        <w:rPr>
          <w:rFonts w:ascii="Times New Roman" w:hAnsi="Times New Roman" w:cs="Times New Roman"/>
          <w:noProof/>
          <w:sz w:val="28"/>
          <w:szCs w:val="28"/>
        </w:rPr>
        <w:t>1</w:t>
      </w:r>
      <w:r w:rsidRPr="00B856D7">
        <w:rPr>
          <w:rFonts w:ascii="Times New Roman" w:hAnsi="Times New Roman" w:cs="Times New Roman"/>
          <w:sz w:val="28"/>
          <w:szCs w:val="28"/>
        </w:rPr>
        <w:fldChar w:fldCharType="end"/>
      </w:r>
      <w:r w:rsidR="00A01C1C">
        <w:rPr>
          <w:rFonts w:ascii="Times New Roman" w:hAnsi="Times New Roman" w:cs="Times New Roman"/>
          <w:sz w:val="28"/>
          <w:szCs w:val="28"/>
        </w:rPr>
        <w:t>1</w:t>
      </w:r>
      <w:r w:rsidR="005C5D4A">
        <w:rPr>
          <w:rFonts w:ascii="Times New Roman" w:hAnsi="Times New Roman" w:cs="Times New Roman"/>
          <w:sz w:val="28"/>
          <w:szCs w:val="28"/>
        </w:rPr>
        <w:t xml:space="preserve"> «</w:t>
      </w:r>
      <w:r w:rsidRPr="00B856D7">
        <w:rPr>
          <w:rFonts w:ascii="Times New Roman" w:hAnsi="Times New Roman" w:cs="Times New Roman"/>
          <w:sz w:val="28"/>
          <w:szCs w:val="28"/>
        </w:rPr>
        <w:t>Ожидаемые результаты приоритетного направления «Город больших проектов»</w:t>
      </w:r>
      <w:r w:rsidR="005C5D4A">
        <w:rPr>
          <w:rFonts w:ascii="Times New Roman" w:hAnsi="Times New Roman" w:cs="Times New Roman"/>
          <w:sz w:val="28"/>
          <w:szCs w:val="28"/>
        </w:rPr>
        <w:t>» Стратегии изложить в следующей редакции:</w:t>
      </w:r>
    </w:p>
    <w:p w:rsidR="005C5D4A" w:rsidRDefault="005C5D4A" w:rsidP="005C5D4A">
      <w:pPr>
        <w:pStyle w:val="ConsPlusNormal"/>
        <w:tabs>
          <w:tab w:val="left" w:pos="142"/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3336"/>
        <w:gridCol w:w="566"/>
        <w:gridCol w:w="2219"/>
        <w:gridCol w:w="356"/>
        <w:gridCol w:w="456"/>
        <w:gridCol w:w="871"/>
        <w:gridCol w:w="871"/>
      </w:tblGrid>
      <w:tr w:rsidR="005C5D4A" w:rsidRPr="005C5D4A" w:rsidTr="00E83E1E">
        <w:trPr>
          <w:trHeight w:val="2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4A" w:rsidRPr="005C5D4A" w:rsidRDefault="005C5D4A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A" w:rsidRPr="005C5D4A" w:rsidRDefault="005C5D4A" w:rsidP="005C5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национальных проектов с участием городского округа Тольятти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D4A" w:rsidRPr="005C5D4A" w:rsidRDefault="005C5D4A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4A" w:rsidRPr="005C5D4A" w:rsidRDefault="005C5D4A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инерционный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4A" w:rsidRPr="005C5D4A" w:rsidRDefault="005C5D4A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D4A" w:rsidRPr="005C5D4A" w:rsidRDefault="00421A59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D4A" w:rsidRPr="005C5D4A" w:rsidRDefault="00421A59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D4A" w:rsidRPr="005C5D4A" w:rsidRDefault="00E83E1E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5D4A" w:rsidRPr="005C5D4A" w:rsidTr="00E83E1E">
        <w:trPr>
          <w:trHeight w:val="2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A" w:rsidRPr="005C5D4A" w:rsidRDefault="005C5D4A" w:rsidP="005C5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A" w:rsidRPr="005C5D4A" w:rsidRDefault="005C5D4A" w:rsidP="005C5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A" w:rsidRPr="005C5D4A" w:rsidRDefault="005C5D4A" w:rsidP="005C5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4A" w:rsidRPr="005C5D4A" w:rsidRDefault="005C5D4A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4A" w:rsidRPr="005C5D4A" w:rsidRDefault="005C5D4A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D4A" w:rsidRPr="005C5D4A" w:rsidRDefault="00421A59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D4A" w:rsidRPr="005C5D4A" w:rsidRDefault="00421A59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D4A" w:rsidRPr="005C5D4A" w:rsidRDefault="00E83E1E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C5D4A" w:rsidRPr="005C5D4A" w:rsidTr="00E83E1E">
        <w:trPr>
          <w:trHeight w:val="2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A" w:rsidRPr="005C5D4A" w:rsidRDefault="005C5D4A" w:rsidP="005C5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A" w:rsidRPr="005C5D4A" w:rsidRDefault="005C5D4A" w:rsidP="005C5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4A" w:rsidRPr="005C5D4A" w:rsidRDefault="005C5D4A" w:rsidP="005C5D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4A" w:rsidRPr="005C5D4A" w:rsidRDefault="005C5D4A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модернизационный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D4A" w:rsidRPr="005C5D4A" w:rsidRDefault="005C5D4A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D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D4A" w:rsidRPr="005C5D4A" w:rsidRDefault="00421A59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D4A" w:rsidRPr="005C5D4A" w:rsidRDefault="00E83E1E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D4A" w:rsidRPr="005C5D4A" w:rsidRDefault="00E83E1E" w:rsidP="005C5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C5D4A" w:rsidRPr="005C5D4A" w:rsidRDefault="005C5D4A" w:rsidP="005C5D4A">
      <w:pPr>
        <w:pStyle w:val="ConsPlusNormal"/>
        <w:tabs>
          <w:tab w:val="left" w:pos="142"/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5D4A" w:rsidRDefault="00091D65" w:rsidP="00A139D4">
      <w:pPr>
        <w:pStyle w:val="ConsPlusNormal"/>
        <w:numPr>
          <w:ilvl w:val="0"/>
          <w:numId w:val="4"/>
        </w:numPr>
        <w:tabs>
          <w:tab w:val="left" w:pos="142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</w:t>
      </w:r>
      <w:r w:rsidR="00B842C3">
        <w:rPr>
          <w:rFonts w:ascii="Times New Roman" w:hAnsi="Times New Roman" w:cs="Times New Roman"/>
          <w:sz w:val="28"/>
          <w:szCs w:val="28"/>
        </w:rPr>
        <w:t>тратегию приложениями 4 и 5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91D65" w:rsidRDefault="00091D65" w:rsidP="00A139D4">
      <w:pPr>
        <w:pStyle w:val="ConsPlusNormal"/>
        <w:tabs>
          <w:tab w:val="left" w:pos="142"/>
          <w:tab w:val="left" w:pos="709"/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1D65" w:rsidRDefault="00091D65" w:rsidP="00A139D4">
      <w:pPr>
        <w:pStyle w:val="ConsPlusNormal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«Городские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ведомости».</w:t>
      </w:r>
    </w:p>
    <w:p w:rsidR="00091D65" w:rsidRDefault="00091D65" w:rsidP="00A139D4">
      <w:pPr>
        <w:pStyle w:val="ConsPlusNormal"/>
        <w:tabs>
          <w:tab w:val="left" w:pos="142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1D65" w:rsidRDefault="00091D65" w:rsidP="00A139D4">
      <w:pPr>
        <w:pStyle w:val="ConsPlusNormal"/>
        <w:numPr>
          <w:ilvl w:val="0"/>
          <w:numId w:val="1"/>
        </w:numPr>
        <w:tabs>
          <w:tab w:val="left" w:pos="142"/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бюджету и экономической политике Думы городского округа Тольятти (Краснов В.П.).</w:t>
      </w:r>
    </w:p>
    <w:p w:rsidR="00091D65" w:rsidRDefault="00091D65" w:rsidP="00091D65">
      <w:pPr>
        <w:pStyle w:val="a7"/>
        <w:rPr>
          <w:rFonts w:ascii="Times New Roman" w:hAnsi="Times New Roman"/>
          <w:sz w:val="28"/>
          <w:szCs w:val="28"/>
        </w:rPr>
      </w:pPr>
    </w:p>
    <w:p w:rsidR="00091D65" w:rsidRDefault="00091D65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657E" w:rsidRDefault="008F657E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657E" w:rsidRDefault="008F657E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1D65" w:rsidRDefault="00091D65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F0EBD">
        <w:rPr>
          <w:rFonts w:ascii="Times New Roman" w:hAnsi="Times New Roman" w:cs="Times New Roman"/>
          <w:sz w:val="28"/>
          <w:szCs w:val="28"/>
        </w:rPr>
        <w:t>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F0EB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p w:rsidR="00B24651" w:rsidRDefault="00B24651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651" w:rsidRDefault="00B24651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657E" w:rsidRDefault="008F657E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657E" w:rsidRDefault="008F657E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657E" w:rsidRDefault="008F657E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651" w:rsidRDefault="00B24651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 xml:space="preserve">к решению Думы </w:t>
      </w: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>городского округа Тольятти</w:t>
      </w: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>от «___» _________ 2020 № ______</w:t>
      </w: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>Приложение 4</w:t>
      </w: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>к Стратегии социально-экономического развития городского округа Тольятти</w:t>
      </w: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>на период до 2030 года</w:t>
      </w: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024" w:rsidRPr="00F26024" w:rsidRDefault="00F26024" w:rsidP="00F2602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024" w:rsidRPr="00F26024" w:rsidRDefault="00F26024" w:rsidP="00F2602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>Целевые показатели по реализации региональных составляющих национальных проектов по городскому округу Тольятти</w:t>
      </w:r>
    </w:p>
    <w:p w:rsidR="00F26024" w:rsidRPr="00F26024" w:rsidRDefault="00F26024" w:rsidP="00F2602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1634"/>
        <w:gridCol w:w="1060"/>
        <w:gridCol w:w="1275"/>
      </w:tblGrid>
      <w:tr w:rsidR="00F26024" w:rsidRPr="00F26024" w:rsidTr="000850A9">
        <w:trPr>
          <w:tblHeader/>
        </w:trPr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показатель 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1.Национальный проект «Образование»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1.1 Федеральный проект «Успех каждого ребенка»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(с учетом занятости в учреждениях сферы образования, культуры и спорта, %  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70</w:t>
            </w: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26024">
              <w:rPr>
                <w:rFonts w:ascii="Times New Roman" w:hAnsi="Times New Roman"/>
                <w:sz w:val="24"/>
                <w:szCs w:val="24"/>
              </w:rPr>
              <w:t>01.01.2018)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Число детей, охваченных деятельностью детского технопарка "</w:t>
            </w:r>
            <w:proofErr w:type="spellStart"/>
            <w:r w:rsidRPr="00F26024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F26024">
              <w:rPr>
                <w:rFonts w:ascii="Times New Roman" w:hAnsi="Times New Roman"/>
                <w:sz w:val="24"/>
                <w:szCs w:val="24"/>
              </w:rPr>
              <w:t>"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человек, нарастающим итогом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500</w:t>
            </w: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26024">
              <w:rPr>
                <w:rFonts w:ascii="Times New Roman" w:hAnsi="Times New Roman"/>
                <w:sz w:val="24"/>
                <w:szCs w:val="24"/>
              </w:rPr>
              <w:t>01.01.2018)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Число участников открытых  онлайн-уроков, реализуемых с учетом опыта цикла открытых уроков «</w:t>
            </w:r>
            <w:proofErr w:type="spellStart"/>
            <w:r w:rsidRPr="00F26024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F26024">
              <w:rPr>
                <w:rFonts w:ascii="Times New Roman" w:hAnsi="Times New Roman"/>
                <w:sz w:val="24"/>
                <w:szCs w:val="24"/>
              </w:rPr>
              <w:t xml:space="preserve">», "Уроки настоящего" или иных аналогичных по возможностям, функциям и результатам проектах, направленных на раннюю профориентацию,  тыс. человек  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0,5</w:t>
            </w: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26024">
              <w:rPr>
                <w:rFonts w:ascii="Times New Roman" w:hAnsi="Times New Roman"/>
                <w:sz w:val="24"/>
                <w:szCs w:val="24"/>
              </w:rPr>
              <w:t>01.01.2018)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21,438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23,000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  <w:r w:rsidRPr="00F2602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деятельности) с учетом реализации проекта «Билет в будущее», нарастающим итогом, человек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lastRenderedPageBreak/>
              <w:t>700</w:t>
            </w: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26024">
              <w:rPr>
                <w:rFonts w:ascii="Times New Roman" w:hAnsi="Times New Roman"/>
                <w:sz w:val="24"/>
                <w:szCs w:val="24"/>
              </w:rPr>
              <w:t>01.06.2018)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1.2 Федеральный проект «Цифровая образовательная среда»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0,000 (01.01.2018)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информационной сервисной платформы цифровой образовательной среды в общем числе образовательных организаций, ПРОЦ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(01.01.2018)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95,000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Доля обучающихся по программам общего образования и среднего профессионального образования,  использующих федеральную информационно-сервисную платформу цифровой образовательной среды  для «горизонтального» обучения и неформального образования, в общем числе обучающихся по указанным программам, ПРОЦ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(01.01.2018)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Доля педагогических работников общего образования, прошедших повышение квалификации  в рамках периодической аттестации  в цифровой форме с использованием информационного ресурса «одного окне» (Современная цифровая образовательная среда  в российской Федерации») , в общем числе педагогических работников общего образования , ПРОЦ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Доля обучающихся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(федеральные цифровые платформы, информационные системы и ресурсы) для «горизонтального» обучения и неформального образования, процент*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процент*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1.3 Федеральный проект «Современная школа»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организаций, реализующих общеобразовательные программы и число муниципальных образований Самарской области, в которых обеспечена возможность изучать предметную область «Технология» на базе организаций, имеющих 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высокооснащенные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ученико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-места, в 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. детских технопарков «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Кваториум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», единиц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0</w:t>
            </w: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26024">
              <w:rPr>
                <w:rFonts w:ascii="Times New Roman" w:hAnsi="Times New Roman"/>
                <w:sz w:val="24"/>
                <w:szCs w:val="24"/>
              </w:rPr>
              <w:t>01.01.2019)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1.4 Федеральный проект «Социальная активность»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Доля граждан, вовлеченных в добровольческую деятельность, %*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1,7 (01.01.2018)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Доля молодежи, </w:t>
            </w: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задействованной в мероприятиях по вовлечению в творческую деятельность, от общего числа молодежи в Самарской области, %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10,3 (01.01.2018)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*В</w:t>
            </w:r>
            <w:r w:rsidRPr="00F2602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соответствии с информацией, полученной из Министерства образования и науки Самарской области значение показателя будет скорректировано, декомпозиция на отчетную дату не произведена (планируется утвердить </w:t>
            </w:r>
            <w:proofErr w:type="spellStart"/>
            <w:r w:rsidRPr="00F2602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2602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Самарской области не ранее 15 февраля 2020 года): п</w:t>
            </w: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оказатель </w:t>
            </w:r>
            <w:r w:rsidRPr="00F2602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F2602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2602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чел.», декомпозированное значение по </w:t>
            </w:r>
            <w:proofErr w:type="spellStart"/>
            <w:r w:rsidRPr="00F2602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F2602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 Тольятти на 2020 год -22 888 человек.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1.5 Федеральный проект «Учитель будущего»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%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центров непрерывного повышения мастерства педагогических работников и </w:t>
            </w:r>
            <w:proofErr w:type="spellStart"/>
            <w:r w:rsidRPr="00F26024">
              <w:rPr>
                <w:rFonts w:ascii="Times New Roman" w:hAnsi="Times New Roman"/>
                <w:sz w:val="24"/>
                <w:szCs w:val="24"/>
              </w:rPr>
              <w:t>аккредитационные</w:t>
            </w:r>
            <w:proofErr w:type="spellEnd"/>
            <w:r w:rsidRPr="00F26024">
              <w:rPr>
                <w:rFonts w:ascii="Times New Roman" w:hAnsi="Times New Roman"/>
                <w:sz w:val="24"/>
                <w:szCs w:val="24"/>
              </w:rPr>
              <w:t xml:space="preserve"> центры системы образования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Доля педагогических работников, прошедших добровольную независимую оценку профессиональной квалификации, %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1.6 Федеральный проект «Поддержка семей, имеющих детей»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года, МЛН ЕД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0</w:t>
            </w: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26024">
              <w:rPr>
                <w:rFonts w:ascii="Times New Roman" w:hAnsi="Times New Roman"/>
                <w:sz w:val="24"/>
                <w:szCs w:val="24"/>
              </w:rPr>
              <w:t>01.01.2018)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0,0100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0,0300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количества обратившихся за получением услуги, ПРОЦ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0</w:t>
            </w: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F26024">
              <w:rPr>
                <w:rFonts w:ascii="Times New Roman" w:hAnsi="Times New Roman"/>
                <w:sz w:val="24"/>
                <w:szCs w:val="24"/>
              </w:rPr>
              <w:t>01.01.2018)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84,0000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90,0000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2.Национальный проект «Демография»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2.1 Федеральный проект «Финансовая поддержка семей при рождении детей»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Наличие Плана мероприятий, направленных на стимулирование рождаемости  не территории муниципального образования (городского округа) (есть - 1, нет – 0)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 xml:space="preserve">Проведение встреч с населением муниципального образования с участием специалистов органов социальной защиты населения в целях разъяснения порядка предоставления мер социальной поддержки, направленных на стимулирование рождаемости, от общего количества проведенных встреч с населением (доля </w:t>
            </w:r>
            <w:r w:rsidRPr="00F26024">
              <w:rPr>
                <w:rFonts w:ascii="Times New Roman" w:hAnsi="Times New Roman"/>
                <w:sz w:val="24"/>
                <w:szCs w:val="24"/>
              </w:rPr>
              <w:lastRenderedPageBreak/>
              <w:t>охвата –  не менее 1% от численности населения муниципалитета)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1 %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1 %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 о порядке предоставления мер социальной поддержки, направленных на стимулирование рождаемости (памятки, буклеты, баннеры, информация в СМИ, сети Интернет, в том числе в социальных сетях) (не менее 12 материалов в год)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12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12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Наличие раздела на официальном сайте администрации муниципального образования, посвященного пропаганде семейных ценностей, мерам социальной поддержки, процедурам ЭКО, обучению и воспитанию детей  и т.д. (есть - 1, нет – 0)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Доля старшеклассников, охваченных занятиями по «семейным ценностям»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Наличие дополнительных финансовых мер социальной поддержки, направленных на стимулирование рождаемости и многодетность (исходя из возможности муниципалитета, пример: предоставление бесплатного (льготного) питания детям в школах, материальная помощь в связи с трудной жизненной ситуацией, льготы по оплате жилого помещения и коммунальных услуг, бесплатное посещение  детей из многодетных семей спортивных, дополнительных образовательных секций, талоны на посещение бань и т.д.) есть - 1, нет – 0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 xml:space="preserve">Наличие взаимодействия администраций муниципальных образований и специалистов Комплексных центров социального обслуживания населения, ведущих </w:t>
            </w:r>
            <w:proofErr w:type="spellStart"/>
            <w:r w:rsidRPr="00F26024">
              <w:rPr>
                <w:rFonts w:ascii="Times New Roman" w:hAnsi="Times New Roman"/>
                <w:sz w:val="24"/>
                <w:szCs w:val="24"/>
              </w:rPr>
              <w:t>доабортное</w:t>
            </w:r>
            <w:proofErr w:type="spellEnd"/>
            <w:r w:rsidRPr="00F26024">
              <w:rPr>
                <w:rFonts w:ascii="Times New Roman" w:hAnsi="Times New Roman"/>
                <w:sz w:val="24"/>
                <w:szCs w:val="24"/>
              </w:rPr>
              <w:t xml:space="preserve"> консультирование (с целью помощи в бытовых проблемах: трудоустройство, обеспечение места в детских садах, заключение социального контракта, материальная помощь и т.д.)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2.2 Федеральный проект «Содействие занятости женщин – создание условий дошкольного образования для детей  возрасте до трех лет»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Доступность дошкольного образования для </w:t>
            </w: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детей в возрасте от полутора до трех лет (проценты)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2.3 Федеральный проект «Старшее поколение»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Мониторинг количества граждан пожилого возраста, вовлеченных в добровольческую деятельность и движение «Серебряные волонтеры», проживающих на территории муниципального образования</w:t>
            </w:r>
          </w:p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(0 – нет, 1- есть)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Доля граждан пожилого возраста, вовлеченных в занятия физической культурой и спортом (систематические занятия спортом, спортивные праздники и чемпионаты, турниры по бильярду, шашкам, шахматам, домино, олимпиады «третьего возраста», конкурсные мероприятия и акции, направленные на различную физическую активность), от общего количества граждан пожилого возраста, проживающих на территории муниципального образования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11 %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12 %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Доля граждан пожилого возраста , вовлеченных в социокультурные мероприятия ( концерты и тематические праздники, духовно-просветительские  мероприятия, вечера отдыха, встречи, концертные программы, выставки народного творчества) от общего количества граждан пожилого возраста, проживающих на территории муниципального образования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11 %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12 %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6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проведенных мероприятий по привлечению пожилых людей с активной жизненной позицией к воспитанию подрастающего поколения (встречи со старшеклассниками, направленные на патриотическое воспитание молодежи, сохранение семейных, культурных и </w:t>
            </w: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исторических ценностей, пропаганду здорового образа жизни)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12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12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Наличие библиотечного обслуживания лиц пожилого возраста на дому (0 – нет, 1 – есть)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Доля граждан пожилого возраста удовлетворенных качеством районных (городских) спортивных мероприятий в отчетном году, в общем количестве опрошенных граждан пожилого возраста, принявших участие в районных (городских) спортивных мероприятиях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50 %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90 %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 xml:space="preserve">Доля граждан пожилого возраста, удовлетворенных качеством районных (городских) </w:t>
            </w: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социокультурных мероприятий в отчетном году, в общем количестве опрошенных граждан пожилого возраста, принявших участие в районных (городских) социокультурных мероприятиях (%)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50 %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90 %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Доля граждан пожилого возраста удовлетворенных услугой «Социальный туризм» в отчетном году, в общем количестве опрошенных граждан пожилого возраста, получивших данную услугу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50 %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90 %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Наличие дополнительных мер социальной поддержки для нуждающихся граждан пожилого возраста (0 – нет, 1- есть)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Количество информационных материалов в целях системной поддержки и повышения качества жизни граждан старшего поколения, размещенных на официальном сайте администрации муниципального образования и в районных, городских, областных печатных изданиях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12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12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Наличие специализированного раздела на информационном стенде и официальном сайте администраций муниципального образования «Приемная семья для пожилых людей» (размещение закона Самарской области от 28.10.2008 №121-ГД «Об организации деятельности приемных семей для граждан пожилого возраста и инвалидов на территории Самарской области») (0 – нет, 1 – есть)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встреч с населением муниципального образования с участием специалистов органов социальной защиты населения в целях разъяснения мер социальной поддержки лиц пенсионного возраста и граждан, достигших в период с 1 января 2019 года по 31 декабря 2027 года возраста женщины 55 лет и более, мужчины 60 лет и более; специалистов органов службы занятости населения в целях разъяснения изменений в законодательстве о занятости населения, а также по вопросам трудового законодательства, охраны труда работников 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 возраста</w:t>
            </w:r>
            <w:r w:rsidRPr="00F26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12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12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2.4 Федеральный проект «Формирование системы мотивации граждан к здоровому образу жизни, включая здоровое питание и отказ от вредных привычек»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Розничные продажи алкогольной продукции на душу населения (в литрах)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Наличие программы «Укрепление общественного здоровья» в муниципальном образовании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2.5 Федеральный проект «Спорт – норма жизни»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Доля детей и молодежи (возраст от 3 до 29 лет), систематически занимающихся физической культурой и спортом, в общей численности детей и молодежи (возраст от 3 до 29 лет), доля %.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Доля населения среднего возраста (женщины от 30 до 54 лет, мужчины от 30 до 59 лет), систематически занимающихся физической культурой и спортом, в общей численности населения среднего возраста (женщины от 30 до 54 лет, мужчины от 30 до 59 лет), доля %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Доля населения старшего возраста (женщины от 55 до 79 лет, мужчины от 60 до 79 лет), систематически занимающихся физической культурой и спортом, в общей численности населения старшего возраста (женщины от 55 до 79 лет, мужчины от 60 до 79 лет), доля %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3.Национальный проект «Здравоохранение»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3.1 Федеральный проект «Обеспечение медицинских организаций здравоохранения </w:t>
            </w: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Самарской области квалифицированными кадрами»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не более  1,2) в Самарской области,  %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не более  1,2), в Самарской области, %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3.2 Федеральный проект «Развитие системы оказания первичной медико-санитарной помощи»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Количество баннеров, размещенных МО, посвященных профилактике заболеваний, прохождению профилактических медицинских осмотров (на 10 тыс. населения МО, для городов на 1 внутригородской район)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4.Национальный проект «Культура»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количества посещений театров </w:t>
            </w:r>
          </w:p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15 % 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214,30</w:t>
            </w:r>
          </w:p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(2%)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241,62</w:t>
            </w: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(15%)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Увеличение количества посещений концертных организаций на 10 %   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100,67</w:t>
            </w:r>
          </w:p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(2%)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108,57</w:t>
            </w: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(10%)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количества посещений музеев  на 15 % (индивидуальные посещения и экскурсии на стационаре)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270,07</w:t>
            </w:r>
          </w:p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(3%)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301,53</w:t>
            </w: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(15%)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количества посещений общедоступных (публичных) библиотек на 12 %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1809,90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1846,10</w:t>
            </w:r>
          </w:p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(2%)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2027,09</w:t>
            </w: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(12%)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Увеличение количества посещений культурно-досуговых учреждений (на платной основе) на 30% 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154,06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169,46</w:t>
            </w:r>
          </w:p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(10%)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200,27</w:t>
            </w: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(30%)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количества участников культурно-досуговых формирований  на 6 %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1,98</w:t>
            </w:r>
          </w:p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(2%)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2,05</w:t>
            </w: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(6%)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Увеличение посещений парков культуры и отдыха (на платной основе) на 30 % 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86,72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95,40</w:t>
            </w:r>
          </w:p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(10%)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112,74</w:t>
            </w: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(30%)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Увеличение количество учащихся ДШИ на 6 %  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6,48</w:t>
            </w:r>
          </w:p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(6%)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6,48</w:t>
            </w: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(6%)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5.Национальный проект «Малое и среднее предпринимательство и поддержка индивидуальной инициативы»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Прирост численности занятых в сфере МСП на уровне МО (человек)</w:t>
            </w:r>
            <w:r w:rsidRPr="00F26024">
              <w:rPr>
                <w:rFonts w:ascii="Times New Roman" w:hAnsi="Times New Roman"/>
                <w:sz w:val="24"/>
                <w:szCs w:val="24"/>
              </w:rPr>
              <w:br/>
              <w:t>до 2024 года, в том числе за счет легализации, чел. (нарастающим итогом)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8396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19140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Прирост численности занятых в сфере МСП за счет легализации теневого сектора экономики, чел. (нарастающим итогом)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7680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6.Национальный проект «Международная кооперация и экспорт»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6.1. Федеральный проект «Системные меры развития международной кооперации и экспорта»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компаний - экспортеров из числа СМСП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244 (2018 г.)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488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7.Национальный проект «Производительность труда и поддержка занятости»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7.1. Федеральный проект «Системные меры по повышению производительности труда»</w:t>
            </w:r>
          </w:p>
        </w:tc>
      </w:tr>
      <w:tr w:rsidR="00F26024" w:rsidRPr="00F26024" w:rsidTr="000850A9">
        <w:tc>
          <w:tcPr>
            <w:tcW w:w="488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средних и крупных предприятий базовых </w:t>
            </w:r>
            <w:proofErr w:type="spellStart"/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несырьевых</w:t>
            </w:r>
            <w:proofErr w:type="spellEnd"/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отраслей экономики, вовлеченных в реализацию национального проекта» для </w:t>
            </w:r>
            <w:proofErr w:type="spellStart"/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Тольятти </w:t>
            </w:r>
          </w:p>
        </w:tc>
        <w:tc>
          <w:tcPr>
            <w:tcW w:w="1634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8. Национальный проект «Экология»</w:t>
            </w:r>
          </w:p>
        </w:tc>
      </w:tr>
      <w:tr w:rsidR="00F26024" w:rsidRPr="00F26024" w:rsidTr="000850A9">
        <w:tc>
          <w:tcPr>
            <w:tcW w:w="9276" w:type="dxa"/>
            <w:gridSpan w:val="5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8.1. Федеральный проект «Оздоровление Волги»</w:t>
            </w:r>
          </w:p>
        </w:tc>
      </w:tr>
      <w:tr w:rsidR="00F26024" w:rsidRPr="00F26024" w:rsidTr="000850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Объем отводимых в реку Волга загрязненных сточных вод, тыс. м</w:t>
            </w:r>
            <w:r w:rsidRPr="00F2602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26024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Pr="00F260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895,14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Pr="00F260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895,14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26024" w:rsidRPr="00F26024" w:rsidTr="000850A9"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8.2. Федеральный проект «Чистая страна»</w:t>
            </w:r>
          </w:p>
        </w:tc>
      </w:tr>
      <w:tr w:rsidR="00F26024" w:rsidRPr="00F26024" w:rsidTr="000850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 xml:space="preserve">Ликвидированы все выявленные на 1 января 2018 г. несанкционированные свалки в границах </w:t>
            </w:r>
            <w:proofErr w:type="spellStart"/>
            <w:r w:rsidRPr="00F26024">
              <w:rPr>
                <w:rFonts w:ascii="Times New Roman" w:hAnsi="Times New Roman"/>
                <w:sz w:val="24"/>
                <w:szCs w:val="24"/>
              </w:rPr>
              <w:t>г.о.Тольятти</w:t>
            </w:r>
            <w:proofErr w:type="spellEnd"/>
            <w:r w:rsidRPr="00F26024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6024" w:rsidRPr="00F26024" w:rsidTr="000850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 xml:space="preserve">Общая площадь восстановленных, в </w:t>
            </w:r>
            <w:proofErr w:type="spellStart"/>
            <w:r w:rsidRPr="00F2602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260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26024">
              <w:rPr>
                <w:rFonts w:ascii="Times New Roman" w:hAnsi="Times New Roman"/>
                <w:sz w:val="24"/>
                <w:szCs w:val="24"/>
              </w:rPr>
              <w:t>рекультивированных</w:t>
            </w:r>
            <w:proofErr w:type="spellEnd"/>
            <w:r w:rsidRPr="00F26024">
              <w:rPr>
                <w:rFonts w:ascii="Times New Roman" w:hAnsi="Times New Roman"/>
                <w:sz w:val="24"/>
                <w:szCs w:val="24"/>
              </w:rPr>
              <w:t xml:space="preserve"> земель, подверженных негативному воздействию накопленного экологического вреда окружающей среде, 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6024" w:rsidRPr="00F26024" w:rsidTr="000850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населения, качество жизни которого улучшится в связи с ликвидацией выявленных на 1 января 2018 г. несанкционированных свалок в границах </w:t>
            </w:r>
            <w:proofErr w:type="spellStart"/>
            <w:r w:rsidRPr="00F26024">
              <w:rPr>
                <w:rFonts w:ascii="Times New Roman" w:hAnsi="Times New Roman"/>
                <w:sz w:val="24"/>
                <w:szCs w:val="24"/>
              </w:rPr>
              <w:t>г.о.Тольятти</w:t>
            </w:r>
            <w:proofErr w:type="spellEnd"/>
            <w:r w:rsidRPr="00F260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6024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F26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6024" w:rsidRPr="00F26024" w:rsidTr="000850A9"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9. Национальный проект «Жилье и городская среда»</w:t>
            </w:r>
          </w:p>
        </w:tc>
      </w:tr>
      <w:tr w:rsidR="00F26024" w:rsidRPr="00F26024" w:rsidTr="000850A9"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9.1. Федеральный проект «Жилье»</w:t>
            </w:r>
          </w:p>
        </w:tc>
      </w:tr>
      <w:tr w:rsidR="00F26024" w:rsidRPr="00F26024" w:rsidTr="000850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Объем ввода жилья в многоквартирных жилых домах в год, тыс.м²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263,540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268,850</w:t>
            </w:r>
          </w:p>
        </w:tc>
      </w:tr>
      <w:tr w:rsidR="00F26024" w:rsidRPr="00F26024" w:rsidTr="000850A9"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9.2. Федеральный проект «Формирование комфортной городской среды»</w:t>
            </w:r>
          </w:p>
        </w:tc>
      </w:tr>
      <w:tr w:rsidR="00F26024" w:rsidRPr="00F26024" w:rsidTr="000850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(объекты)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26024" w:rsidRPr="00F26024" w:rsidTr="000850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(объекты)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F26024" w:rsidRPr="00F26024" w:rsidTr="000850A9"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10. Национальный проект «Безопасные качественные автомобильные дороги»</w:t>
            </w:r>
          </w:p>
        </w:tc>
      </w:tr>
      <w:tr w:rsidR="00F26024" w:rsidRPr="00F26024" w:rsidTr="000850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протяжённости дорожной сети городского округа Тольятти, находящаяся в нормативном состоянии, (%):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57,2 (31.12.2017)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86,5</w:t>
            </w:r>
          </w:p>
        </w:tc>
      </w:tr>
      <w:tr w:rsidR="00F26024" w:rsidRPr="00F26024" w:rsidTr="000850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 xml:space="preserve">Количество мест концентрации дорожно-транспортных происшествий (аварийно-опасных участков) на дорожной сети города (шт.)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100 (31.12.2017)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26024" w:rsidRPr="00F26024" w:rsidTr="000850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Доля контрактов на осуществление дорожной деятельности в рамках реализации национального проекта, предусматривающего использование новых технологий и материалов, включенных в реестр новых и наилучших технологий, материалов и технологических решений повторного применения, % в общем объеме новых муниципальных контрактов на выполнение работ по капитальному ремонту, ремонту и содержанию автомобильных дорог (накопленным итогом)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t>0 (31.12.2017)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6024" w:rsidRPr="00F26024" w:rsidTr="000850A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t xml:space="preserve">Доля контрактов на осуществление дорожной деятельности в рамках реализации национального проекта, предусматривающего выполнение работ на принципах контракта жизненного цикла, предусматривающего объединение в один </w:t>
            </w:r>
            <w:r w:rsidRPr="00F26024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контракт различных видов дорожных работ, % в общем объеме новых государственных контрактов на выполнение работ по капитальному ремонту, ремонту и содержанию автомобильных дорог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60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 (31.12.2017)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4" w:rsidRPr="00F26024" w:rsidRDefault="00F26024" w:rsidP="00F2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60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>Приложение 5</w:t>
      </w: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>к Стратегии социально-экономического развития городского округа Тольятти</w:t>
      </w: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>на период до 2030 года</w:t>
      </w: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024" w:rsidRPr="00F26024" w:rsidRDefault="00F26024" w:rsidP="00F2602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6024" w:rsidRPr="00F26024" w:rsidRDefault="00F26024" w:rsidP="00F2602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>Перечень стратегических проектов городского округа Тольятти</w:t>
      </w:r>
    </w:p>
    <w:p w:rsidR="00F26024" w:rsidRPr="00F26024" w:rsidRDefault="00F26024" w:rsidP="00F2602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93"/>
        <w:gridCol w:w="1840"/>
        <w:gridCol w:w="2139"/>
        <w:gridCol w:w="1759"/>
      </w:tblGrid>
      <w:tr w:rsidR="00F26024" w:rsidRPr="00F26024" w:rsidTr="000850A9">
        <w:trPr>
          <w:tblHeader/>
        </w:trPr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6024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6024">
              <w:rPr>
                <w:rFonts w:ascii="Times New Roman" w:eastAsia="Times New Roman" w:hAnsi="Times New Roman"/>
              </w:rPr>
              <w:t>Наименование проекта/объекта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6024">
              <w:rPr>
                <w:rFonts w:ascii="Times New Roman" w:eastAsia="Times New Roman" w:hAnsi="Times New Roman"/>
              </w:rPr>
              <w:t>Приоритет развития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6024">
              <w:rPr>
                <w:rFonts w:ascii="Times New Roman" w:eastAsia="Times New Roman" w:hAnsi="Times New Roman"/>
              </w:rPr>
              <w:t>Инициатор/Частный партнер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26024">
              <w:rPr>
                <w:rFonts w:ascii="Times New Roman" w:eastAsia="Times New Roman" w:hAnsi="Times New Roman"/>
              </w:rPr>
              <w:t>Срок реализации, годы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Строительство учреждений дошкольного образования с привлечением регионального и федерального финансирования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Модернизация пищеблоков в дошкольных образовательных учреждениях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2021-2024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Проектирование и строительство новых общеобразовательных учреждений в кварталах 18 и 20 Тольятти Автозаводского района г. Тольятти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2019-2021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доступности общего образования для детей с ограниченными возможностями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2021-2024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Создание интерактивной среды для формирования гибких навыков у детей (в том числе детей с ограниченными возможностями здоровья), позволяющих быстро адаптироваться в изменяющихся условиях окружающего мира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(проект «Детский университет»)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ФГБОУ ВО «Тольяттинский государственный университет»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2019-2022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инженерной школы для учащихся школ 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г. Тольятти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ФГБОУ ВО «Тольяттинский государственный университет»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Подготовка кадрового резерва для предприятий химической отрасли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ПАО «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КуйбышевАзот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2019-2020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Поддержка передового технологического образования в средней школе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Создание благоприятных условий в целях привлечения медицинских работников для работы в государственные учреждения здравоохранения Самарской области, расположенные на территории городского округа Тольятти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Министерство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здравоохранения Самарской области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2020-2024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Создание и эксплуатация объекта здравоохранения для осуществления судебно-медицинской экспертизы в городском округе Тольятти Самарской области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ООО «МКС»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2018-2021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Проектирование и строительство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Центра спортивной гимнастики «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Немов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-центр»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Самарской области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2019-2021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Проектирование и строительство легкоатлетического манежа в городском округе Тольятти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Человеческий потенциал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Самарской области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2019-2020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Комплексное развитие открытых общественных территорий Центрального района города Тольятти через вовлечение жителей и городских сообществ в процессы принятия решений с учетом идентичности территории «исторического центра» города (проект «Исторический центр Тольятти»)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Городское сообщество и идентичность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ФГБОУ ВО «Тольяттинский государственный университет»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2019-2024 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Запуск городской 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краудсорсинговой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 платформы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Городское сообщество и идентичность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Тольятти.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Союз «Торгово-промышленная палата г. Тольятти»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Координация и продвижение туристического потенциала городского округа Тольятти  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Городское сообщество и идентичность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Кампус ТГУ – туристический объект города Тольятти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Городское сообщество и идентичность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ФГБОУ ВО «Тольяттинский государственный университет»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международного конкурса инновационных бизнес-проектов «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Businessholiday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» со школой молодых ученых «Школа инновационного предпринимателя» как объекта событийного туризма в городском округе Тольятти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Городское сообщество и идентичность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ФГБОУ ВО «Поволжский государственный университет сервиса»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2020-2024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Создание общественного пространства с современным и комфортным благоустройством, являющимся визитной карточкой Автозаводского района городского округа Тольятти (проект «32 квартал»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Городское сообщество и идентичность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2019-2020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Проект «Музейный квартал» как особое общественное культурное пространство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Городское сообщество и идентичность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2020-2022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особой экономической зоны промышленно-производственного типа «Тольятти» 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Возможности для каждого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Правительство Российской Федерации.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Правительство Самарской области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2010-2059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Реконструкция агрегатов аммиака с увеличением мощности аммиака до 12200 т/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сут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Возможности для каждого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ПАО «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Тольяттиазот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2015-2025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Реконструкция агрегатов карбамида с увеличением мощности до 5200 т/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сут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Возможности для каждого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ПАО «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Тольяттиазот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2015-2020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Организация производства автомобилей на платформе LADA-В/С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Возможности для каждого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ПАО «АВТОВАЗ»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2012-2022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Локализация двигателя Н4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Возможности для каждого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ПАО «АВТОВАЗ»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2012-2023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Производство стартерных аккумуляторов: разработка, освоение нового стационарно-тягового аккумулятора с целью увеличения объемов производства и 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импортозамещения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 на рынках аккумуляторных батарей в различных областях техники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Возможности для каждого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АО «АКОМ»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2016-2023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Создание производства механизмов рулевого управления реечного типа с гидроусилителем для легковых и легких коммерческих автомобилей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Возможности для каждого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ООО «Рулевые системы»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2015-2020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Развитие индустриального парка «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Тольяттисинтез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Возможности для каждого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Тольяттисинтез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2019-2020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проекта «Жигулевская долина 2»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Возможности для каждого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Министерство строительства Самарской области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2019-2021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Альянсом «Рено-Ниссан-Мицубиси» модельного ряда автомобилей «ЛАДА», «Ниссан», «Рено» и «Мицубиси» и модернизация мощностей для их производства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Возможности для каждого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ПАО «АВТОВАЗ»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Развитие технопарка в сфере высоких технологий «Жигулевская долина»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Город больших проектов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ГАУ «Центр инновационного развития и кластерных инициатив Самарской области»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Распределенного инжинирингового центра и Регионального проектного офиса инжиниринга для управления проектами, реализуемыми ФГБОУ ВО «Тольяттинский государственный </w:t>
            </w: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университет» (ТГУ) в интересах промышленных кластеров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Город больших проектов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ФГБОУ ВО «Тольяттинский государственный университет»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2019-2020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Создание нового регионального научно-инновационного центра в области медицинской химии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Город больших проектов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ФГБОУ ВО «Тольяттинский государственный университет»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Создание независимого компетентного центра экологических и физико-химических исследований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Экогород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ФГБОУ ВО «Тольяттинский государственный университет»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2019-2020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Обеспечение воспроизводства городских лесов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Экогород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2019-2023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Использование и раскрытие пространственного потенциала г. Тольятти (городские леса) с целью сохранения рекреационных и ландшафтно-композиционных функций природной среды)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Экогород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2019-2023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Рекультивация  полигона ТБО с. 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Узюково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 с учетом реконструкции элементов конструкции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Экогород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Развитие очистных сооружений дождевых и производственных незагрязненных сточных вод ЛНС цеха ОСК ООО «АВК»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Экогород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ООО «АВК»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2021-2024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Ликвидация накопленного экологического ущерба на территории бывшего ОАО «Фосфор», ликвидация опасных отходов и остатков некондиционных продуктов бывшего ОАО «Фосфор», рекультивация территории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Экогород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2020-2024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Повышение экологической безопасности промышленных производств, внедрение современных корпоративных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принципов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экологической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ответственности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Экогород</w:t>
            </w:r>
            <w:proofErr w:type="spellEnd"/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ПАО «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Волгоцеммаш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», ПАО «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Тольяттиазот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ООО «АВК»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2020-2024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Проектирование и реконструкция набережной Автозаводского района городского округа Тольятти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Город жизни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2019-2021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существующего городского жилищного фонда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Город жизни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2019-2023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Обеспечение комплексного благоустройства знаковых и социально значимых мест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Город жизни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2022-2024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Обеспечение комплексного благоустройства внутриквартальных территорий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Город жизни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Тольятти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обхода 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г. Тольятти с мостовым переходом через реку Волгу в составе международного транспортного маршрута «Европа - Западный Китай»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Тольятти мобильный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автомобильных дорог Самарской области, министерство экономического развития и инвестиций Самарской области.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2019-2023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Организация скоростного пассажирского железнодорожного сообщения по маршруту Новокуйбышевск - Самара - международный аэропорт "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Курумоч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" - Тольятти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Тольятти мобильный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автомобильных дорог Самарской области, министерство экономического развития и инвестиций Самарской области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На стадии разработки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Проектирование, строительство и эксплуатация железнодорожных путей для обеспечения деятельности особой экономической зоны промышленно-</w:t>
            </w: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производственного типа "Тольятти"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Тольятти мобильный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Министерство транспорта и автомобильных дорог Самарской области, министерство экономического развития и инвестиций </w:t>
            </w: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Самарской области, ОАО "РЖД"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Реконструкция автомобильной дороги Тольятти – Ягодное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Тольятти мобильный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и автодорог Самарской области.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Министерство транспорта Российской Федерации.</w:t>
            </w:r>
          </w:p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Федеральное дорожное агентство (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Росавтодор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2019-2021</w:t>
            </w:r>
          </w:p>
        </w:tc>
      </w:tr>
      <w:tr w:rsidR="00F26024" w:rsidRPr="00F26024" w:rsidTr="000850A9">
        <w:tc>
          <w:tcPr>
            <w:tcW w:w="513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06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проекта «</w:t>
            </w:r>
            <w:proofErr w:type="spellStart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Велоинфраструктура</w:t>
            </w:r>
            <w:proofErr w:type="spellEnd"/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Тольятти»</w:t>
            </w:r>
          </w:p>
        </w:tc>
        <w:tc>
          <w:tcPr>
            <w:tcW w:w="187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Тольятти мобильный</w:t>
            </w:r>
          </w:p>
        </w:tc>
        <w:tc>
          <w:tcPr>
            <w:tcW w:w="2139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ФГБОУ ВО «Тольяттинский государственный университет»</w:t>
            </w:r>
          </w:p>
        </w:tc>
        <w:tc>
          <w:tcPr>
            <w:tcW w:w="1837" w:type="dxa"/>
            <w:shd w:val="clear" w:color="auto" w:fill="auto"/>
          </w:tcPr>
          <w:p w:rsidR="00F26024" w:rsidRPr="00F26024" w:rsidRDefault="00F26024" w:rsidP="00F26024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024">
              <w:rPr>
                <w:rFonts w:ascii="Times New Roman" w:eastAsia="Times New Roman" w:hAnsi="Times New Roman"/>
                <w:sz w:val="24"/>
                <w:szCs w:val="24"/>
              </w:rPr>
              <w:t>2019-2024</w:t>
            </w:r>
          </w:p>
        </w:tc>
      </w:tr>
    </w:tbl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Pr="00F26024" w:rsidRDefault="00F26024" w:rsidP="00F260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26024">
        <w:rPr>
          <w:rFonts w:ascii="Times New Roman" w:eastAsiaTheme="minorHAnsi" w:hAnsi="Times New Roman"/>
          <w:sz w:val="28"/>
          <w:szCs w:val="28"/>
        </w:rPr>
        <w:t>ПОЯСНИТЕЛЬНАЯ ЗАПИСКА</w:t>
      </w: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eastAsiaTheme="minorHAnsi" w:hAnsi="Times New Roman"/>
          <w:sz w:val="28"/>
          <w:szCs w:val="28"/>
        </w:rPr>
        <w:t>к проекту решения Думы городского округа Тольятти «</w:t>
      </w:r>
      <w:r w:rsidRPr="00F26024">
        <w:rPr>
          <w:rFonts w:ascii="Times New Roman" w:hAnsi="Times New Roman"/>
          <w:sz w:val="28"/>
          <w:szCs w:val="28"/>
        </w:rPr>
        <w:t>О корректировке Стратегии социально-экономического развития городского округа Тольятти на период до 2030 года, утвержденной решением Думы городского округа Тольятти от 25.01.2019 № 131»</w:t>
      </w: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024" w:rsidRPr="00F26024" w:rsidRDefault="00F26024" w:rsidP="00F2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eastAsiaTheme="minorHAnsi" w:hAnsi="Times New Roman"/>
          <w:sz w:val="28"/>
          <w:szCs w:val="28"/>
        </w:rPr>
        <w:t>Проект решения Думы городского округа Тольятти «</w:t>
      </w:r>
      <w:r w:rsidRPr="00F26024">
        <w:rPr>
          <w:rFonts w:ascii="Times New Roman" w:hAnsi="Times New Roman"/>
          <w:sz w:val="28"/>
          <w:szCs w:val="28"/>
        </w:rPr>
        <w:t>О корректировке Стратегии социально-экономического развития городского округа Тольятти на период до 2030 года, утвержденной решением Думы городского округа Тольятти от 25.01.2019 № 131» (далее – проект решения Думы) направляется для рассмотрения в Думу городского округа Тольятти во исполнение требования подп. 3 п. 34 Положения о стратегическом планировании социально-экономического развития городского округа Тольятти, утвержденному решением Думы городского округа Тольятти от 10.12.2014 № 545 (в ред. от 29.01.2020), согласно которому одним из оснований для корректировки стратегии социально-экономического развития городского округа Тольятти является принятие (корректировка) стратегии социально-экономического развития Самарской области.</w:t>
      </w: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>Разработчиком проекта решения Думы является департамент экономического развития администрации городского округа Тольятти.</w:t>
      </w: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 xml:space="preserve">Корректировка Стратегии социально-экономического развития Самарской области на период до 2030 года осуществлена постановлением Правительства Самарской области от 17.09.2019 № 643 </w:t>
      </w:r>
      <w:r w:rsidRPr="00F26024">
        <w:rPr>
          <w:rFonts w:ascii="Times New Roman" w:eastAsiaTheme="minorHAnsi" w:hAnsi="Times New Roman"/>
          <w:sz w:val="28"/>
          <w:szCs w:val="28"/>
        </w:rPr>
        <w:t xml:space="preserve">«О внесении изменений в постановление Правительства Самарской области от 12.07.2017 № 441 «О Стратегии социально-экономического развития Самарской области на период до 2030 года». В числе изменений, внесенных в областную Стратегию, для городского округа Тольятти существенными являются изменения, направленные на определение среднесрочных механизмов социально-экономического развития региона с учетом национальных проектов, разработанных на федеральном уровне согласно </w:t>
      </w:r>
      <w:hyperlink r:id="rId11" w:history="1">
        <w:r w:rsidRPr="00F26024">
          <w:rPr>
            <w:rFonts w:ascii="Times New Roman" w:eastAsiaTheme="minorHAnsi" w:hAnsi="Times New Roman"/>
            <w:sz w:val="28"/>
            <w:szCs w:val="28"/>
          </w:rPr>
          <w:t>Указ</w:t>
        </w:r>
      </w:hyperlink>
      <w:r w:rsidRPr="00F26024">
        <w:rPr>
          <w:rFonts w:ascii="Times New Roman" w:eastAsiaTheme="minorHAnsi" w:hAnsi="Times New Roman"/>
          <w:sz w:val="28"/>
          <w:szCs w:val="28"/>
        </w:rPr>
        <w:t>у Президента Российской Федерации от 07.05.2018 № 204 «О национальных целях и стратегических задачах развития Российской Федерации на период до 2024 года». На уровне городского округа Тольятти реализация национальных проектов осуществляется путем реализации мероприятий, предусмотренных паспортами муниципальных составляющих национальных проектов, а также (при наличии) федеральных проектов в их составе. Это обстоятельство представляется необходимым отразить в Стратегии социально-экономического развития городского округа Тольятти на период до 2030 года (далее – Стратегия) путем включения в Стратегию:</w:t>
      </w: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024">
        <w:rPr>
          <w:rFonts w:ascii="Times New Roman" w:eastAsiaTheme="minorHAnsi" w:hAnsi="Times New Roman"/>
          <w:sz w:val="28"/>
          <w:szCs w:val="28"/>
        </w:rPr>
        <w:t>1) сведений о федеральных проектах (как элементах национальных проектов), в реализации которых принимает участие городской округ Тольятти;</w:t>
      </w: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024">
        <w:rPr>
          <w:rFonts w:ascii="Times New Roman" w:eastAsiaTheme="minorHAnsi" w:hAnsi="Times New Roman"/>
          <w:sz w:val="28"/>
          <w:szCs w:val="28"/>
        </w:rPr>
        <w:lastRenderedPageBreak/>
        <w:t>2) информации о достижении стратегических целей в рамках приоритетных направлений развития городского округа Тольятти, в том числе, путем участия в реализации национальных проектов.</w:t>
      </w: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024">
        <w:rPr>
          <w:rFonts w:ascii="Times New Roman" w:eastAsiaTheme="minorHAnsi" w:hAnsi="Times New Roman"/>
          <w:sz w:val="28"/>
          <w:szCs w:val="28"/>
        </w:rPr>
        <w:t>Другие изменения в Стратегию направлены на дополнение ожидаемых результатов реализации Стратегии по приоритетным направлениям «</w:t>
      </w:r>
      <w:proofErr w:type="spellStart"/>
      <w:r w:rsidRPr="00F26024">
        <w:rPr>
          <w:rFonts w:ascii="Times New Roman" w:eastAsiaTheme="minorHAnsi" w:hAnsi="Times New Roman"/>
          <w:sz w:val="28"/>
          <w:szCs w:val="28"/>
        </w:rPr>
        <w:t>Экогород</w:t>
      </w:r>
      <w:proofErr w:type="spellEnd"/>
      <w:r w:rsidRPr="00F26024">
        <w:rPr>
          <w:rFonts w:ascii="Times New Roman" w:eastAsiaTheme="minorHAnsi" w:hAnsi="Times New Roman"/>
          <w:sz w:val="28"/>
          <w:szCs w:val="28"/>
        </w:rPr>
        <w:t>», «Город жизни» и «Город больших проектов» количественными показателями, которые на момент разработки и утверждения действующей версии Стратегии требовали уточнения. Так, плановые количественные значения целевого индикатора «Индекс качества городской среды» (далее – индекс) рассчитаны с учетом:</w:t>
      </w: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024">
        <w:rPr>
          <w:rFonts w:ascii="Times New Roman" w:eastAsiaTheme="minorHAnsi" w:hAnsi="Times New Roman"/>
          <w:sz w:val="28"/>
          <w:szCs w:val="28"/>
        </w:rPr>
        <w:t>1) результатов произведенного Министерством строительства РФ в 2019 году расчета индекса для целей реализации национального проекта «Жилье и городская среда»;</w:t>
      </w: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024">
        <w:rPr>
          <w:rFonts w:ascii="Times New Roman" w:eastAsiaTheme="minorHAnsi" w:hAnsi="Times New Roman"/>
          <w:sz w:val="28"/>
          <w:szCs w:val="28"/>
        </w:rPr>
        <w:t xml:space="preserve">2) целевого показателя повышения индекса - на 30 % согласно Указу Президента РФ от 07.05.2018 № </w:t>
      </w:r>
      <w:proofErr w:type="gramStart"/>
      <w:r w:rsidRPr="00F26024">
        <w:rPr>
          <w:rFonts w:ascii="Times New Roman" w:eastAsiaTheme="minorHAnsi" w:hAnsi="Times New Roman"/>
          <w:sz w:val="28"/>
          <w:szCs w:val="28"/>
        </w:rPr>
        <w:t>204  «</w:t>
      </w:r>
      <w:proofErr w:type="gramEnd"/>
      <w:r w:rsidRPr="00F26024">
        <w:rPr>
          <w:rFonts w:ascii="Times New Roman" w:eastAsiaTheme="minorHAnsi" w:hAnsi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года».</w:t>
      </w: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024">
        <w:rPr>
          <w:rFonts w:ascii="Times New Roman" w:eastAsiaTheme="minorHAnsi" w:hAnsi="Times New Roman"/>
          <w:sz w:val="28"/>
          <w:szCs w:val="28"/>
        </w:rPr>
        <w:t xml:space="preserve"> Принимая во внимание первичный расчет индекса в конце 2019 года, в качестве срока достижения вышеуказанного показателя его повышения может быть принят период с 2020 по 2024 годы включительно. В этом случае усредненная динамика индекса в годовом исчислении составит 6 %. Для городского округа Тольятти значение индекса в 2019 году составило 181, что соответствует нижней границе включения в группу городов с благоприятной городской средой. В отношении базового периода расчета целевых индикаторов Стратегии (2017 г.) расчет индекса не осуществлялся. При определении показателей индекса по городскому округу Тольятти на 2020, 2025 и 2030 годы вышеуказанная годовая динамика роста индекса соотнесена с </w:t>
      </w:r>
      <w:proofErr w:type="spellStart"/>
      <w:r w:rsidRPr="00F26024">
        <w:rPr>
          <w:rFonts w:ascii="Times New Roman" w:eastAsiaTheme="minorHAnsi" w:hAnsi="Times New Roman"/>
          <w:sz w:val="28"/>
          <w:szCs w:val="28"/>
        </w:rPr>
        <w:t>модернизационным</w:t>
      </w:r>
      <w:proofErr w:type="spellEnd"/>
      <w:r w:rsidRPr="00F26024">
        <w:rPr>
          <w:rFonts w:ascii="Times New Roman" w:eastAsiaTheme="minorHAnsi" w:hAnsi="Times New Roman"/>
          <w:sz w:val="28"/>
          <w:szCs w:val="28"/>
        </w:rPr>
        <w:t xml:space="preserve"> сценарием реализации Стратегии; при этом расчет динамики роста индекса по двум другим предусмотренным Стратегией возможным сценариям развития городского округа основан на гипотезе:</w:t>
      </w: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024">
        <w:rPr>
          <w:rFonts w:ascii="Times New Roman" w:eastAsiaTheme="minorHAnsi" w:hAnsi="Times New Roman"/>
          <w:sz w:val="28"/>
          <w:szCs w:val="28"/>
        </w:rPr>
        <w:t>- о 2-кратном снижении динамики роста индекса в случае развития городского округа по инерционному сценарию – до 3 % в год;</w:t>
      </w: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024">
        <w:rPr>
          <w:rFonts w:ascii="Times New Roman" w:eastAsiaTheme="minorHAnsi" w:hAnsi="Times New Roman"/>
          <w:sz w:val="28"/>
          <w:szCs w:val="28"/>
        </w:rPr>
        <w:t>- о 1,5-кратном снижении динамики роста индекса в случае развития городского округа по целевому сценарию – до 4,5 % в год;</w:t>
      </w: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024">
        <w:rPr>
          <w:rFonts w:ascii="Times New Roman" w:eastAsiaTheme="minorHAnsi" w:hAnsi="Times New Roman"/>
          <w:sz w:val="28"/>
          <w:szCs w:val="28"/>
        </w:rPr>
        <w:t>- о сохранении прогнозируемой динамики роста индекса в разрезе соответствующих сценариев на третьем этапе реализации Стратегии – в течение 2025-2030 годов.</w:t>
      </w: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024">
        <w:rPr>
          <w:rFonts w:ascii="Times New Roman" w:eastAsiaTheme="minorHAnsi" w:hAnsi="Times New Roman"/>
          <w:sz w:val="28"/>
          <w:szCs w:val="28"/>
        </w:rPr>
        <w:t xml:space="preserve">Таким образом, в случае реализации </w:t>
      </w:r>
      <w:proofErr w:type="spellStart"/>
      <w:r w:rsidRPr="00F26024">
        <w:rPr>
          <w:rFonts w:ascii="Times New Roman" w:eastAsiaTheme="minorHAnsi" w:hAnsi="Times New Roman"/>
          <w:sz w:val="28"/>
          <w:szCs w:val="28"/>
        </w:rPr>
        <w:t>модернизационного</w:t>
      </w:r>
      <w:proofErr w:type="spellEnd"/>
      <w:r w:rsidRPr="00F26024">
        <w:rPr>
          <w:rFonts w:ascii="Times New Roman" w:eastAsiaTheme="minorHAnsi" w:hAnsi="Times New Roman"/>
          <w:sz w:val="28"/>
          <w:szCs w:val="28"/>
        </w:rPr>
        <w:t xml:space="preserve"> сценария, значение индекса в 2030 году составит 300, при максимально возможном значении равном 360.</w:t>
      </w: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eastAsiaTheme="minorHAnsi" w:hAnsi="Times New Roman"/>
          <w:sz w:val="28"/>
          <w:szCs w:val="28"/>
        </w:rPr>
        <w:t xml:space="preserve">Стратегию предлагается дополнить приложением 4, содержащим информацию о </w:t>
      </w:r>
      <w:r w:rsidRPr="00F26024">
        <w:rPr>
          <w:rFonts w:ascii="Times New Roman" w:hAnsi="Times New Roman"/>
          <w:sz w:val="28"/>
          <w:szCs w:val="28"/>
        </w:rPr>
        <w:t xml:space="preserve">целевых показателях по реализации региональных составляющих национальных проектов по городскому округу Тольятти и приложением 5 с перечнем стратегических проектов городского округа </w:t>
      </w:r>
      <w:r w:rsidRPr="00F26024">
        <w:rPr>
          <w:rFonts w:ascii="Times New Roman" w:hAnsi="Times New Roman"/>
          <w:sz w:val="28"/>
          <w:szCs w:val="28"/>
        </w:rPr>
        <w:lastRenderedPageBreak/>
        <w:t xml:space="preserve">Тольятти, сроки реализации большинства из которых находятся в пределах </w:t>
      </w:r>
      <w:r w:rsidRPr="00F26024">
        <w:rPr>
          <w:rFonts w:ascii="Times New Roman" w:hAnsi="Times New Roman"/>
          <w:sz w:val="28"/>
          <w:szCs w:val="28"/>
          <w:lang w:val="en-US"/>
        </w:rPr>
        <w:t>I</w:t>
      </w:r>
      <w:r w:rsidRPr="00F26024">
        <w:rPr>
          <w:rFonts w:ascii="Times New Roman" w:hAnsi="Times New Roman"/>
          <w:sz w:val="28"/>
          <w:szCs w:val="28"/>
        </w:rPr>
        <w:t>-</w:t>
      </w:r>
      <w:r w:rsidRPr="00F26024">
        <w:rPr>
          <w:rFonts w:ascii="Times New Roman" w:hAnsi="Times New Roman"/>
          <w:sz w:val="28"/>
          <w:szCs w:val="28"/>
          <w:lang w:val="en-US"/>
        </w:rPr>
        <w:t>II</w:t>
      </w:r>
      <w:r w:rsidRPr="00F26024">
        <w:rPr>
          <w:rFonts w:ascii="Times New Roman" w:hAnsi="Times New Roman"/>
          <w:sz w:val="28"/>
          <w:szCs w:val="28"/>
        </w:rPr>
        <w:t xml:space="preserve"> этапов реализации Стратегии (до 2024 года).</w:t>
      </w: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28.06.2014 № 172-ФЗ «О стратегическом планировании в Российской Федерации» и Положения о стратегическом планировании социально-экономического развития городского округа Тольятти, проект решения Думы прошел процедуру общественного обсуждения в период с __________ по ___________ (10 рабочих дней). В течение данного срока проведения общественного обсуждения поступили предложения и замечания от _______________ граждан. </w:t>
      </w:r>
    </w:p>
    <w:p w:rsidR="00F26024" w:rsidRPr="00F26024" w:rsidRDefault="00F26024" w:rsidP="00F2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>Принятие Думой городского округа Тольятти решения «О корректировке Стратегии социально-экономического развития городского округа Тольятти на период до 2030 года, утвержденной решением Думы городского округа Тольятти от 25.01.2019 № 131» обеспечивает выполнение требований Положения о стратегическом планировании социально-экономического развития городского округа Тольятти, утвержденному решением Думы городского округа Тольятти, согласно которому Стратегия подлежит корректировке в случае корректировки стратегии социально-экономического развития Самарской области.</w:t>
      </w:r>
    </w:p>
    <w:p w:rsidR="00F26024" w:rsidRPr="00F26024" w:rsidRDefault="00F26024" w:rsidP="00F260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>Принятие Думой городского округа Тольятти предлагаемых изменений в Стратегию не предполагает необходимости принятия, внесения изменений или признания утратившими силу муниципальных правовых актов городского округа Тольятти.</w:t>
      </w:r>
    </w:p>
    <w:p w:rsidR="00F26024" w:rsidRPr="00F26024" w:rsidRDefault="00F26024" w:rsidP="00F260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24" w:rsidRPr="00F26024" w:rsidRDefault="00F26024" w:rsidP="00F260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24" w:rsidRPr="00F26024" w:rsidRDefault="00F26024" w:rsidP="00F260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24" w:rsidRPr="00F26024" w:rsidRDefault="00F26024" w:rsidP="00F260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24" w:rsidRPr="00F26024" w:rsidRDefault="00F26024" w:rsidP="00F260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024" w:rsidRPr="00F26024" w:rsidRDefault="00F26024" w:rsidP="00F2602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024">
        <w:rPr>
          <w:rFonts w:ascii="Times New Roman" w:hAnsi="Times New Roman"/>
          <w:sz w:val="28"/>
          <w:szCs w:val="28"/>
        </w:rPr>
        <w:t>Глава городского округа</w:t>
      </w:r>
      <w:r w:rsidRPr="00F26024">
        <w:rPr>
          <w:rFonts w:ascii="Times New Roman" w:hAnsi="Times New Roman"/>
          <w:sz w:val="28"/>
          <w:szCs w:val="28"/>
        </w:rPr>
        <w:tab/>
      </w:r>
      <w:r w:rsidRPr="00F26024">
        <w:rPr>
          <w:rFonts w:ascii="Times New Roman" w:hAnsi="Times New Roman"/>
          <w:sz w:val="28"/>
          <w:szCs w:val="28"/>
        </w:rPr>
        <w:tab/>
      </w:r>
      <w:r w:rsidRPr="00F26024">
        <w:rPr>
          <w:rFonts w:ascii="Times New Roman" w:hAnsi="Times New Roman"/>
          <w:sz w:val="28"/>
          <w:szCs w:val="28"/>
        </w:rPr>
        <w:tab/>
      </w:r>
      <w:r w:rsidRPr="00F26024">
        <w:rPr>
          <w:rFonts w:ascii="Times New Roman" w:hAnsi="Times New Roman"/>
          <w:sz w:val="28"/>
          <w:szCs w:val="28"/>
        </w:rPr>
        <w:tab/>
      </w:r>
      <w:r w:rsidRPr="00F26024">
        <w:rPr>
          <w:rFonts w:ascii="Times New Roman" w:hAnsi="Times New Roman"/>
          <w:sz w:val="28"/>
          <w:szCs w:val="28"/>
        </w:rPr>
        <w:tab/>
      </w:r>
      <w:r w:rsidRPr="00F26024">
        <w:rPr>
          <w:rFonts w:ascii="Times New Roman" w:hAnsi="Times New Roman"/>
          <w:sz w:val="28"/>
          <w:szCs w:val="28"/>
        </w:rPr>
        <w:tab/>
        <w:t xml:space="preserve">        С.А. </w:t>
      </w:r>
      <w:proofErr w:type="spellStart"/>
      <w:r w:rsidRPr="00F26024">
        <w:rPr>
          <w:rFonts w:ascii="Times New Roman" w:hAnsi="Times New Roman"/>
          <w:sz w:val="28"/>
          <w:szCs w:val="28"/>
        </w:rPr>
        <w:t>Анташев</w:t>
      </w:r>
      <w:proofErr w:type="spellEnd"/>
    </w:p>
    <w:p w:rsidR="00F26024" w:rsidRDefault="00F26024" w:rsidP="00091D65">
      <w:pPr>
        <w:pStyle w:val="ConsPlusNormal"/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6024" w:rsidSect="004D7301">
      <w:pgSz w:w="11906" w:h="16838" w:code="9"/>
      <w:pgMar w:top="1134" w:right="851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DD" w:rsidRDefault="003A0DDD" w:rsidP="00E60B27">
      <w:pPr>
        <w:spacing w:after="0" w:line="240" w:lineRule="auto"/>
      </w:pPr>
      <w:r>
        <w:separator/>
      </w:r>
    </w:p>
  </w:endnote>
  <w:endnote w:type="continuationSeparator" w:id="0">
    <w:p w:rsidR="003A0DDD" w:rsidRDefault="003A0DDD" w:rsidP="00E6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DD" w:rsidRDefault="003A0DDD" w:rsidP="00E60B27">
      <w:pPr>
        <w:spacing w:after="0" w:line="240" w:lineRule="auto"/>
      </w:pPr>
      <w:r>
        <w:separator/>
      </w:r>
    </w:p>
  </w:footnote>
  <w:footnote w:type="continuationSeparator" w:id="0">
    <w:p w:rsidR="003A0DDD" w:rsidRDefault="003A0DDD" w:rsidP="00E6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4785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828DA" w:rsidRPr="00D828DA" w:rsidRDefault="00D828D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828DA">
          <w:rPr>
            <w:rFonts w:ascii="Times New Roman" w:hAnsi="Times New Roman"/>
            <w:sz w:val="24"/>
            <w:szCs w:val="24"/>
          </w:rPr>
          <w:fldChar w:fldCharType="begin"/>
        </w:r>
        <w:r w:rsidRPr="00D828D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28DA">
          <w:rPr>
            <w:rFonts w:ascii="Times New Roman" w:hAnsi="Times New Roman"/>
            <w:sz w:val="24"/>
            <w:szCs w:val="24"/>
          </w:rPr>
          <w:fldChar w:fldCharType="separate"/>
        </w:r>
        <w:r w:rsidR="00F26024">
          <w:rPr>
            <w:rFonts w:ascii="Times New Roman" w:hAnsi="Times New Roman"/>
            <w:noProof/>
            <w:sz w:val="24"/>
            <w:szCs w:val="24"/>
          </w:rPr>
          <w:t>30</w:t>
        </w:r>
        <w:r w:rsidRPr="00D828D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60B27" w:rsidRDefault="00E60B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7E" w:rsidRPr="004D7301" w:rsidRDefault="008F657E">
    <w:pPr>
      <w:pStyle w:val="a3"/>
      <w:jc w:val="center"/>
      <w:rPr>
        <w:rFonts w:ascii="Times New Roman" w:hAnsi="Times New Roman"/>
        <w:sz w:val="24"/>
        <w:szCs w:val="24"/>
      </w:rPr>
    </w:pPr>
  </w:p>
  <w:p w:rsidR="002F01FA" w:rsidRDefault="002F01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6E43"/>
    <w:multiLevelType w:val="hybridMultilevel"/>
    <w:tmpl w:val="D1F68BB6"/>
    <w:lvl w:ilvl="0" w:tplc="C13A4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9791E"/>
    <w:multiLevelType w:val="hybridMultilevel"/>
    <w:tmpl w:val="42B0E3F8"/>
    <w:lvl w:ilvl="0" w:tplc="12D49456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17C1"/>
    <w:multiLevelType w:val="hybridMultilevel"/>
    <w:tmpl w:val="2C484450"/>
    <w:lvl w:ilvl="0" w:tplc="E6C6C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4C2FF7"/>
    <w:multiLevelType w:val="hybridMultilevel"/>
    <w:tmpl w:val="2D347162"/>
    <w:lvl w:ilvl="0" w:tplc="9878D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613EA5"/>
    <w:multiLevelType w:val="hybridMultilevel"/>
    <w:tmpl w:val="8CB6BCF8"/>
    <w:lvl w:ilvl="0" w:tplc="FE94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98"/>
    <w:rsid w:val="000050CE"/>
    <w:rsid w:val="00006711"/>
    <w:rsid w:val="00014BD7"/>
    <w:rsid w:val="00015133"/>
    <w:rsid w:val="00036226"/>
    <w:rsid w:val="00040986"/>
    <w:rsid w:val="0007433C"/>
    <w:rsid w:val="00084D92"/>
    <w:rsid w:val="00091D65"/>
    <w:rsid w:val="0009394E"/>
    <w:rsid w:val="000A22DF"/>
    <w:rsid w:val="000B1B3A"/>
    <w:rsid w:val="000F595F"/>
    <w:rsid w:val="00116E65"/>
    <w:rsid w:val="00120AEE"/>
    <w:rsid w:val="0012528C"/>
    <w:rsid w:val="00127341"/>
    <w:rsid w:val="00156E03"/>
    <w:rsid w:val="00171825"/>
    <w:rsid w:val="00171C61"/>
    <w:rsid w:val="001808A7"/>
    <w:rsid w:val="001F2E75"/>
    <w:rsid w:val="001F4725"/>
    <w:rsid w:val="00274AC4"/>
    <w:rsid w:val="00286C64"/>
    <w:rsid w:val="002F01FA"/>
    <w:rsid w:val="002F0EBD"/>
    <w:rsid w:val="002F2998"/>
    <w:rsid w:val="00327287"/>
    <w:rsid w:val="00330EAC"/>
    <w:rsid w:val="00355C97"/>
    <w:rsid w:val="00377AD3"/>
    <w:rsid w:val="0038744B"/>
    <w:rsid w:val="003A0DDD"/>
    <w:rsid w:val="003A5BA5"/>
    <w:rsid w:val="003B05C9"/>
    <w:rsid w:val="003B27F3"/>
    <w:rsid w:val="003C1BAF"/>
    <w:rsid w:val="003C3AE0"/>
    <w:rsid w:val="00405290"/>
    <w:rsid w:val="00406C0C"/>
    <w:rsid w:val="00421A59"/>
    <w:rsid w:val="00424FF9"/>
    <w:rsid w:val="0048415F"/>
    <w:rsid w:val="00485686"/>
    <w:rsid w:val="00492234"/>
    <w:rsid w:val="00493ABB"/>
    <w:rsid w:val="0049674D"/>
    <w:rsid w:val="004D1420"/>
    <w:rsid w:val="004D40DB"/>
    <w:rsid w:val="004D7301"/>
    <w:rsid w:val="004E3BEA"/>
    <w:rsid w:val="005159F8"/>
    <w:rsid w:val="00557015"/>
    <w:rsid w:val="00585B12"/>
    <w:rsid w:val="005A14CF"/>
    <w:rsid w:val="005A64FD"/>
    <w:rsid w:val="005C436A"/>
    <w:rsid w:val="005C5D4A"/>
    <w:rsid w:val="005C5E20"/>
    <w:rsid w:val="005C7641"/>
    <w:rsid w:val="005E74DC"/>
    <w:rsid w:val="005F167E"/>
    <w:rsid w:val="0061659C"/>
    <w:rsid w:val="00664B0B"/>
    <w:rsid w:val="00692BCE"/>
    <w:rsid w:val="006A376A"/>
    <w:rsid w:val="006A5013"/>
    <w:rsid w:val="006E2D5A"/>
    <w:rsid w:val="006E73DA"/>
    <w:rsid w:val="006F73FC"/>
    <w:rsid w:val="00711082"/>
    <w:rsid w:val="00711BA7"/>
    <w:rsid w:val="00724D25"/>
    <w:rsid w:val="00742669"/>
    <w:rsid w:val="00743DC6"/>
    <w:rsid w:val="00747A51"/>
    <w:rsid w:val="00781457"/>
    <w:rsid w:val="007D3ABB"/>
    <w:rsid w:val="007D55DA"/>
    <w:rsid w:val="007E7246"/>
    <w:rsid w:val="008133FD"/>
    <w:rsid w:val="0082722A"/>
    <w:rsid w:val="00830DA6"/>
    <w:rsid w:val="008334A3"/>
    <w:rsid w:val="00846490"/>
    <w:rsid w:val="00863092"/>
    <w:rsid w:val="00894BD9"/>
    <w:rsid w:val="008A3524"/>
    <w:rsid w:val="008A5A02"/>
    <w:rsid w:val="008B1E5B"/>
    <w:rsid w:val="008D143B"/>
    <w:rsid w:val="008F657E"/>
    <w:rsid w:val="009055BC"/>
    <w:rsid w:val="00911BF8"/>
    <w:rsid w:val="009507D7"/>
    <w:rsid w:val="00961C35"/>
    <w:rsid w:val="009731C0"/>
    <w:rsid w:val="00997921"/>
    <w:rsid w:val="009A4154"/>
    <w:rsid w:val="009D7BA1"/>
    <w:rsid w:val="009F6F61"/>
    <w:rsid w:val="00A01C1C"/>
    <w:rsid w:val="00A128D3"/>
    <w:rsid w:val="00A139D4"/>
    <w:rsid w:val="00A16F7A"/>
    <w:rsid w:val="00A33192"/>
    <w:rsid w:val="00A63356"/>
    <w:rsid w:val="00A91D46"/>
    <w:rsid w:val="00AA6C13"/>
    <w:rsid w:val="00AD1F7C"/>
    <w:rsid w:val="00B125A8"/>
    <w:rsid w:val="00B24651"/>
    <w:rsid w:val="00B361AE"/>
    <w:rsid w:val="00B62D4F"/>
    <w:rsid w:val="00B66799"/>
    <w:rsid w:val="00B72955"/>
    <w:rsid w:val="00B842C3"/>
    <w:rsid w:val="00B856D7"/>
    <w:rsid w:val="00C15B89"/>
    <w:rsid w:val="00C1716D"/>
    <w:rsid w:val="00C43796"/>
    <w:rsid w:val="00C44E87"/>
    <w:rsid w:val="00C76DA5"/>
    <w:rsid w:val="00C77343"/>
    <w:rsid w:val="00C91813"/>
    <w:rsid w:val="00C96298"/>
    <w:rsid w:val="00CA2D76"/>
    <w:rsid w:val="00CA44E4"/>
    <w:rsid w:val="00CE3623"/>
    <w:rsid w:val="00CE77CA"/>
    <w:rsid w:val="00CE795C"/>
    <w:rsid w:val="00D20DDD"/>
    <w:rsid w:val="00D43DDE"/>
    <w:rsid w:val="00D6234E"/>
    <w:rsid w:val="00D6557C"/>
    <w:rsid w:val="00D828DA"/>
    <w:rsid w:val="00D91CED"/>
    <w:rsid w:val="00DA6BBA"/>
    <w:rsid w:val="00DC2E41"/>
    <w:rsid w:val="00DD0CC5"/>
    <w:rsid w:val="00DE5DBD"/>
    <w:rsid w:val="00DF3FB0"/>
    <w:rsid w:val="00E017A8"/>
    <w:rsid w:val="00E1000B"/>
    <w:rsid w:val="00E364FE"/>
    <w:rsid w:val="00E53192"/>
    <w:rsid w:val="00E55992"/>
    <w:rsid w:val="00E60093"/>
    <w:rsid w:val="00E60B27"/>
    <w:rsid w:val="00E764DE"/>
    <w:rsid w:val="00E83E1E"/>
    <w:rsid w:val="00E948C9"/>
    <w:rsid w:val="00E9774D"/>
    <w:rsid w:val="00EA4C61"/>
    <w:rsid w:val="00EA5B6A"/>
    <w:rsid w:val="00EC634A"/>
    <w:rsid w:val="00EE3C1C"/>
    <w:rsid w:val="00F22F2D"/>
    <w:rsid w:val="00F26024"/>
    <w:rsid w:val="00F33816"/>
    <w:rsid w:val="00F60D9E"/>
    <w:rsid w:val="00FC7547"/>
    <w:rsid w:val="00FD3421"/>
    <w:rsid w:val="00FF6B9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6B94C"/>
  <w15:chartTrackingRefBased/>
  <w15:docId w15:val="{51181B16-CE07-4820-9044-7E1A75BA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9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26024"/>
    <w:pPr>
      <w:keepNext/>
      <w:spacing w:before="240" w:after="60" w:line="259" w:lineRule="auto"/>
      <w:outlineLvl w:val="2"/>
    </w:pPr>
    <w:rPr>
      <w:rFonts w:ascii="Arial" w:eastAsia="Times New Roman" w:hAnsi="Arial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6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2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27"/>
    <w:rPr>
      <w:rFonts w:ascii="Calibri" w:eastAsia="Calibri" w:hAnsi="Calibri" w:cs="Times New Roman"/>
    </w:rPr>
  </w:style>
  <w:style w:type="paragraph" w:styleId="a7">
    <w:name w:val="List Paragraph"/>
    <w:aliases w:val="ПАРАГРАФ,Абзац списка3,Абзац списка1,Абзац списка2,Цветной список - Акцент 11,СПИСОК,Второй абзац списка,Абзац списка11,Абзац списка для документа,Нумерация,List Paragraph,Bullet List,FooterText,numbered,Paragraphe de liste1,lp1,Bullet 1"/>
    <w:basedOn w:val="a"/>
    <w:link w:val="a8"/>
    <w:uiPriority w:val="34"/>
    <w:qFormat/>
    <w:rsid w:val="00091D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1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C1C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26024"/>
    <w:rPr>
      <w:rFonts w:ascii="Arial" w:eastAsia="Times New Roman" w:hAnsi="Arial" w:cs="Times New Roman"/>
      <w:i/>
      <w:sz w:val="20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F26024"/>
  </w:style>
  <w:style w:type="paragraph" w:customStyle="1" w:styleId="Default">
    <w:name w:val="Default"/>
    <w:rsid w:val="00F26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26024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qFormat/>
    <w:rsid w:val="00F260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Абзац списка Знак"/>
    <w:aliases w:val="ПАРАГРАФ Знак,Абзац списка3 Знак,Абзац списка1 Знак,Абзац списка2 Знак,Цветной список - Акцент 11 Знак,СПИСОК Знак,Второй абзац списка Знак,Абзац списка11 Знак,Абзац списка для документа Знак,Нумерация Знак,List Paragraph Знак,lp1 Знак"/>
    <w:link w:val="a7"/>
    <w:uiPriority w:val="34"/>
    <w:locked/>
    <w:rsid w:val="00F260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23FA96513C190EFA87B7AAF60A270A1F8EF4D0A91966566C105B5294BAD56492C886615C3942A3094BAFAEF3AAC2CD7329C03BC9B4BCEA0D6DCA1L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70FF153928BEBB4711AB852E3DDCBAE3321A9FC5C7E6419F79893DE69F8492030FF94402C127EAF12CAC7CFBRCzB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9813-1ADA-4D7C-B3F0-298DB80C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30</Pages>
  <Words>6941</Words>
  <Characters>39569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Константинович Дмитрий Александрович</dc:creator>
  <cp:keywords/>
  <dc:description/>
  <cp:lastModifiedBy>Константинович Дмитрий Александрович</cp:lastModifiedBy>
  <cp:revision>13</cp:revision>
  <cp:lastPrinted>2020-03-19T09:37:00Z</cp:lastPrinted>
  <dcterms:created xsi:type="dcterms:W3CDTF">2020-02-14T09:44:00Z</dcterms:created>
  <dcterms:modified xsi:type="dcterms:W3CDTF">2020-05-18T05:50:00Z</dcterms:modified>
</cp:coreProperties>
</file>