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0BA4" w:rsidRPr="0076476B" w:rsidRDefault="00A50BA4" w:rsidP="00DB50D0">
      <w:pPr>
        <w:tabs>
          <w:tab w:val="left" w:pos="1560"/>
        </w:tabs>
        <w:spacing w:line="276" w:lineRule="auto"/>
        <w:jc w:val="center"/>
        <w:rPr>
          <w:b/>
          <w:sz w:val="24"/>
          <w:szCs w:val="24"/>
        </w:rPr>
      </w:pPr>
      <w:r w:rsidRPr="0076476B">
        <w:rPr>
          <w:b/>
          <w:sz w:val="24"/>
          <w:szCs w:val="24"/>
        </w:rPr>
        <w:t>Предварительные итоги</w:t>
      </w:r>
    </w:p>
    <w:p w:rsidR="00A50BA4" w:rsidRPr="0076476B" w:rsidRDefault="00A50BA4" w:rsidP="00F76355">
      <w:pPr>
        <w:spacing w:line="276" w:lineRule="auto"/>
        <w:jc w:val="center"/>
        <w:rPr>
          <w:b/>
          <w:sz w:val="24"/>
          <w:szCs w:val="24"/>
          <w:shd w:val="clear" w:color="auto" w:fill="FFFF00"/>
        </w:rPr>
      </w:pPr>
      <w:r w:rsidRPr="0076476B">
        <w:rPr>
          <w:b/>
          <w:sz w:val="24"/>
          <w:szCs w:val="24"/>
        </w:rPr>
        <w:t>социально – экономического развития городского округа Тольятти за  1</w:t>
      </w:r>
      <w:r w:rsidRPr="0076476B">
        <w:rPr>
          <w:b/>
          <w:sz w:val="24"/>
          <w:szCs w:val="24"/>
          <w:lang w:val="en-US"/>
        </w:rPr>
        <w:t> </w:t>
      </w:r>
      <w:r w:rsidRPr="0076476B">
        <w:rPr>
          <w:b/>
          <w:sz w:val="24"/>
          <w:szCs w:val="24"/>
        </w:rPr>
        <w:t>полугодие 201</w:t>
      </w:r>
      <w:r>
        <w:rPr>
          <w:b/>
          <w:sz w:val="24"/>
          <w:szCs w:val="24"/>
        </w:rPr>
        <w:t>6</w:t>
      </w:r>
      <w:r w:rsidRPr="0076476B">
        <w:rPr>
          <w:b/>
          <w:sz w:val="24"/>
          <w:szCs w:val="24"/>
        </w:rPr>
        <w:t xml:space="preserve"> года и ожидаемые итоги социально – экономического развития городского округа Тольятти за 201</w:t>
      </w:r>
      <w:r>
        <w:rPr>
          <w:b/>
          <w:sz w:val="24"/>
          <w:szCs w:val="24"/>
        </w:rPr>
        <w:t>6</w:t>
      </w:r>
      <w:r w:rsidRPr="0076476B">
        <w:rPr>
          <w:b/>
          <w:sz w:val="24"/>
          <w:szCs w:val="24"/>
        </w:rPr>
        <w:t xml:space="preserve"> год</w:t>
      </w:r>
    </w:p>
    <w:p w:rsidR="00A50BA4" w:rsidRPr="0076476B" w:rsidRDefault="00A50BA4" w:rsidP="00A423B6">
      <w:pPr>
        <w:spacing w:line="276" w:lineRule="auto"/>
        <w:ind w:firstLine="709"/>
        <w:jc w:val="center"/>
        <w:rPr>
          <w:b/>
          <w:sz w:val="24"/>
          <w:szCs w:val="24"/>
          <w:shd w:val="clear" w:color="auto" w:fill="FFFF00"/>
        </w:rPr>
      </w:pPr>
    </w:p>
    <w:p w:rsidR="00A50BA4" w:rsidRPr="00864676" w:rsidRDefault="00A50BA4" w:rsidP="0006581E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64676">
        <w:rPr>
          <w:sz w:val="24"/>
          <w:szCs w:val="24"/>
        </w:rPr>
        <w:t>В настоящее время социально-экономическая ситуация в городском округе Тольятти по-прежнему достаточно напряженная, что обусловлено неблагоприятным воздействием на экономику города внешних макроэкономических факторов, а также проблемами функционирования градообразующего предприятия ОАО «</w:t>
      </w:r>
      <w:smartTag w:uri="urn:schemas-microsoft-com:office:smarttags" w:element="PersonName">
        <w:r w:rsidRPr="00864676">
          <w:rPr>
            <w:sz w:val="24"/>
            <w:szCs w:val="24"/>
          </w:rPr>
          <w:t>АВТОВАЗ</w:t>
        </w:r>
      </w:smartTag>
      <w:r w:rsidRPr="00864676">
        <w:rPr>
          <w:sz w:val="24"/>
          <w:szCs w:val="24"/>
        </w:rPr>
        <w:t>» и всей автомобилестроительной отрасли в целом.</w:t>
      </w:r>
    </w:p>
    <w:p w:rsidR="00A50BA4" w:rsidRPr="00864676" w:rsidRDefault="00A50BA4" w:rsidP="0006581E">
      <w:pPr>
        <w:pStyle w:val="aff1"/>
        <w:numPr>
          <w:ilvl w:val="0"/>
          <w:numId w:val="5"/>
        </w:numPr>
        <w:spacing w:line="276" w:lineRule="auto"/>
        <w:ind w:left="0" w:firstLine="709"/>
        <w:rPr>
          <w:sz w:val="24"/>
          <w:szCs w:val="24"/>
        </w:rPr>
      </w:pPr>
      <w:r w:rsidRPr="00864676">
        <w:rPr>
          <w:sz w:val="24"/>
          <w:szCs w:val="24"/>
        </w:rPr>
        <w:t>По итогам 1 полугодия текущего года по большинству социально-экономических показателей наблюдалась отрицательная динамика: продолжилось снижение промышленного производства и внешнеторгового оборота, наблюдается интенсивный рост просроченной кредиторской задолженности организаций</w:t>
      </w:r>
      <w:r>
        <w:rPr>
          <w:sz w:val="24"/>
          <w:szCs w:val="24"/>
        </w:rPr>
        <w:t xml:space="preserve"> и снижение инвестиционной активности</w:t>
      </w:r>
      <w:r w:rsidRPr="00864676">
        <w:rPr>
          <w:sz w:val="24"/>
          <w:szCs w:val="24"/>
        </w:rPr>
        <w:t xml:space="preserve">. </w:t>
      </w:r>
    </w:p>
    <w:p w:rsidR="00A50BA4" w:rsidRPr="00864676" w:rsidRDefault="00A50BA4" w:rsidP="0006581E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64676">
        <w:rPr>
          <w:sz w:val="24"/>
          <w:szCs w:val="24"/>
        </w:rPr>
        <w:t>Несмотря на замедление динамики роста индекса потребительских цен на товары и услуги, который складывается ниже среднероссийского уровня, инфляционные издержки</w:t>
      </w:r>
      <w:r>
        <w:rPr>
          <w:sz w:val="24"/>
          <w:szCs w:val="24"/>
        </w:rPr>
        <w:t xml:space="preserve"> </w:t>
      </w:r>
      <w:r w:rsidRPr="00864676">
        <w:rPr>
          <w:sz w:val="24"/>
          <w:szCs w:val="24"/>
        </w:rPr>
        <w:t>по-прежнему сказываются на снижении реальных доходов населения и его потребительской активности. Численность безработных граждан по отношению к предыдущему году увеличилась, уровень безработицы сохраняется выше среднеобластного значения.</w:t>
      </w:r>
    </w:p>
    <w:p w:rsidR="00A50BA4" w:rsidRPr="00864676" w:rsidRDefault="00A50BA4" w:rsidP="0006581E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676">
        <w:rPr>
          <w:sz w:val="24"/>
          <w:szCs w:val="24"/>
        </w:rPr>
        <w:t xml:space="preserve">По ряду показателей в январе – июне 2016 года позиция городского округа Тольятти в рейтинге городских округов Самарской области, проводимом министерством экономического развития, инвестиций и торговли Самарской области, не изменилась: 1 место по естественному приросту населения (значение показателя  - 0,4 на 1000 населения), 3 место по отгрузке промышленной продукции на душу населения (значение показателя – 271 108 руб. на человека); 4 место по среднемесячной заработной плате (значение показателя – 28 791 руб.). </w:t>
      </w:r>
    </w:p>
    <w:p w:rsidR="00A50BA4" w:rsidRPr="005552E7" w:rsidRDefault="00A50BA4" w:rsidP="0006581E">
      <w:pPr>
        <w:spacing w:line="276" w:lineRule="auto"/>
        <w:ind w:firstLine="709"/>
        <w:jc w:val="both"/>
        <w:rPr>
          <w:sz w:val="24"/>
          <w:szCs w:val="24"/>
        </w:rPr>
      </w:pPr>
      <w:r w:rsidRPr="005552E7">
        <w:rPr>
          <w:sz w:val="24"/>
          <w:szCs w:val="24"/>
        </w:rPr>
        <w:t xml:space="preserve">По </w:t>
      </w:r>
      <w:r>
        <w:rPr>
          <w:sz w:val="24"/>
          <w:szCs w:val="24"/>
        </w:rPr>
        <w:t>показателю «И</w:t>
      </w:r>
      <w:r w:rsidRPr="005552E7">
        <w:rPr>
          <w:sz w:val="24"/>
          <w:szCs w:val="24"/>
        </w:rPr>
        <w:t>ндекс промышленного производства</w:t>
      </w:r>
      <w:r>
        <w:rPr>
          <w:sz w:val="24"/>
          <w:szCs w:val="24"/>
        </w:rPr>
        <w:t>»</w:t>
      </w:r>
      <w:r w:rsidRPr="005552E7">
        <w:rPr>
          <w:sz w:val="24"/>
          <w:szCs w:val="24"/>
        </w:rPr>
        <w:t xml:space="preserve"> городской округ Тольятти ухудшил свой результат на </w:t>
      </w:r>
      <w:r>
        <w:rPr>
          <w:sz w:val="24"/>
          <w:szCs w:val="24"/>
        </w:rPr>
        <w:t>1</w:t>
      </w:r>
      <w:r w:rsidRPr="005552E7">
        <w:rPr>
          <w:sz w:val="24"/>
          <w:szCs w:val="24"/>
        </w:rPr>
        <w:t xml:space="preserve"> пункт, заняв </w:t>
      </w:r>
      <w:r>
        <w:rPr>
          <w:sz w:val="24"/>
          <w:szCs w:val="24"/>
        </w:rPr>
        <w:t>9</w:t>
      </w:r>
      <w:r w:rsidRPr="005552E7">
        <w:rPr>
          <w:sz w:val="24"/>
          <w:szCs w:val="24"/>
        </w:rPr>
        <w:t xml:space="preserve"> место (значение показателя </w:t>
      </w:r>
      <w:r>
        <w:rPr>
          <w:sz w:val="24"/>
          <w:szCs w:val="24"/>
        </w:rPr>
        <w:t>–</w:t>
      </w:r>
      <w:r w:rsidRPr="005552E7">
        <w:rPr>
          <w:sz w:val="24"/>
          <w:szCs w:val="24"/>
        </w:rPr>
        <w:t xml:space="preserve"> </w:t>
      </w:r>
      <w:r>
        <w:rPr>
          <w:sz w:val="24"/>
          <w:szCs w:val="24"/>
        </w:rPr>
        <w:t>82,4</w:t>
      </w:r>
      <w:r w:rsidRPr="005552E7">
        <w:rPr>
          <w:sz w:val="24"/>
          <w:szCs w:val="24"/>
        </w:rPr>
        <w:t xml:space="preserve"> %). По показателю </w:t>
      </w:r>
      <w:r>
        <w:rPr>
          <w:sz w:val="24"/>
          <w:szCs w:val="24"/>
        </w:rPr>
        <w:t xml:space="preserve">«Инвестиции в основной капитал на душу населения» </w:t>
      </w:r>
      <w:r w:rsidRPr="005552E7">
        <w:rPr>
          <w:sz w:val="24"/>
          <w:szCs w:val="24"/>
        </w:rPr>
        <w:t xml:space="preserve">снизился с </w:t>
      </w:r>
      <w:r>
        <w:rPr>
          <w:sz w:val="24"/>
          <w:szCs w:val="24"/>
        </w:rPr>
        <w:t>3</w:t>
      </w:r>
      <w:r w:rsidRPr="005552E7">
        <w:rPr>
          <w:sz w:val="24"/>
          <w:szCs w:val="24"/>
        </w:rPr>
        <w:t xml:space="preserve"> места на </w:t>
      </w:r>
      <w:r>
        <w:rPr>
          <w:sz w:val="24"/>
          <w:szCs w:val="24"/>
        </w:rPr>
        <w:t>5</w:t>
      </w:r>
      <w:r w:rsidRPr="005552E7">
        <w:rPr>
          <w:sz w:val="24"/>
          <w:szCs w:val="24"/>
        </w:rPr>
        <w:t xml:space="preserve"> (значение показателя </w:t>
      </w:r>
      <w:r>
        <w:rPr>
          <w:sz w:val="24"/>
          <w:szCs w:val="24"/>
        </w:rPr>
        <w:t>–</w:t>
      </w:r>
      <w:r w:rsidRPr="005552E7">
        <w:rPr>
          <w:sz w:val="24"/>
          <w:szCs w:val="24"/>
        </w:rPr>
        <w:t xml:space="preserve"> </w:t>
      </w:r>
      <w:r>
        <w:rPr>
          <w:sz w:val="24"/>
          <w:szCs w:val="24"/>
        </w:rPr>
        <w:t>17 230</w:t>
      </w:r>
      <w:r w:rsidRPr="005552E7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5552E7">
        <w:rPr>
          <w:sz w:val="24"/>
          <w:szCs w:val="24"/>
        </w:rPr>
        <w:t xml:space="preserve"> на человека). </w:t>
      </w:r>
    </w:p>
    <w:p w:rsidR="00A50BA4" w:rsidRDefault="00A50BA4" w:rsidP="0006581E">
      <w:pPr>
        <w:spacing w:line="276" w:lineRule="auto"/>
        <w:ind w:firstLine="709"/>
        <w:jc w:val="both"/>
        <w:rPr>
          <w:sz w:val="24"/>
          <w:szCs w:val="24"/>
        </w:rPr>
      </w:pPr>
      <w:r w:rsidRPr="005552E7">
        <w:rPr>
          <w:sz w:val="24"/>
          <w:szCs w:val="24"/>
        </w:rPr>
        <w:t xml:space="preserve">По уровню официально зарегистрированной безработицы городской округ Тольятти </w:t>
      </w:r>
      <w:r>
        <w:rPr>
          <w:sz w:val="24"/>
          <w:szCs w:val="24"/>
        </w:rPr>
        <w:t>на</w:t>
      </w:r>
      <w:r w:rsidRPr="005552E7">
        <w:rPr>
          <w:sz w:val="24"/>
          <w:szCs w:val="24"/>
        </w:rPr>
        <w:t xml:space="preserve"> 8 </w:t>
      </w:r>
      <w:r>
        <w:rPr>
          <w:sz w:val="24"/>
          <w:szCs w:val="24"/>
        </w:rPr>
        <w:t>позиции</w:t>
      </w:r>
      <w:r w:rsidRPr="005552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</w:t>
      </w:r>
      <w:r w:rsidRPr="005552E7">
        <w:rPr>
          <w:sz w:val="24"/>
          <w:szCs w:val="24"/>
        </w:rPr>
        <w:t>значение</w:t>
      </w:r>
      <w:r>
        <w:rPr>
          <w:sz w:val="24"/>
          <w:szCs w:val="24"/>
        </w:rPr>
        <w:t>м</w:t>
      </w:r>
      <w:r w:rsidRPr="005552E7">
        <w:rPr>
          <w:sz w:val="24"/>
          <w:szCs w:val="24"/>
        </w:rPr>
        <w:t xml:space="preserve"> показателя </w:t>
      </w:r>
      <w:r>
        <w:rPr>
          <w:sz w:val="24"/>
          <w:szCs w:val="24"/>
        </w:rPr>
        <w:t>–</w:t>
      </w:r>
      <w:r w:rsidRPr="005552E7">
        <w:rPr>
          <w:sz w:val="24"/>
          <w:szCs w:val="24"/>
        </w:rPr>
        <w:t xml:space="preserve"> </w:t>
      </w:r>
      <w:r>
        <w:rPr>
          <w:sz w:val="24"/>
          <w:szCs w:val="24"/>
        </w:rPr>
        <w:t>2,1</w:t>
      </w:r>
      <w:r w:rsidRPr="005552E7">
        <w:rPr>
          <w:sz w:val="24"/>
          <w:szCs w:val="24"/>
        </w:rPr>
        <w:t xml:space="preserve"> %. </w:t>
      </w:r>
    </w:p>
    <w:p w:rsidR="00A50BA4" w:rsidRPr="005552E7" w:rsidRDefault="00A50BA4" w:rsidP="0006581E">
      <w:pPr>
        <w:spacing w:line="276" w:lineRule="auto"/>
        <w:ind w:firstLine="709"/>
        <w:jc w:val="both"/>
        <w:rPr>
          <w:sz w:val="24"/>
          <w:szCs w:val="24"/>
        </w:rPr>
      </w:pPr>
      <w:r w:rsidRPr="005552E7">
        <w:rPr>
          <w:sz w:val="24"/>
          <w:szCs w:val="24"/>
        </w:rPr>
        <w:t xml:space="preserve">При этом </w:t>
      </w:r>
      <w:r>
        <w:rPr>
          <w:sz w:val="24"/>
          <w:szCs w:val="24"/>
        </w:rPr>
        <w:t>Тольятти</w:t>
      </w:r>
      <w:r w:rsidRPr="005552E7">
        <w:rPr>
          <w:sz w:val="24"/>
          <w:szCs w:val="24"/>
        </w:rPr>
        <w:t xml:space="preserve"> занял 3 место со значением </w:t>
      </w:r>
      <w:r>
        <w:rPr>
          <w:sz w:val="24"/>
          <w:szCs w:val="24"/>
        </w:rPr>
        <w:t>4 012</w:t>
      </w:r>
      <w:r w:rsidRPr="005552E7">
        <w:rPr>
          <w:sz w:val="24"/>
          <w:szCs w:val="24"/>
        </w:rPr>
        <w:t xml:space="preserve"> рубля на человека по </w:t>
      </w:r>
      <w:r>
        <w:rPr>
          <w:sz w:val="24"/>
          <w:szCs w:val="24"/>
        </w:rPr>
        <w:t xml:space="preserve">показателю </w:t>
      </w:r>
      <w:r w:rsidRPr="005552E7">
        <w:rPr>
          <w:sz w:val="24"/>
          <w:szCs w:val="24"/>
        </w:rPr>
        <w:t>«Бюджетная обеспеченность за счет налоговых и неналоговых доходов на душу населения»</w:t>
      </w:r>
      <w:r>
        <w:rPr>
          <w:sz w:val="24"/>
          <w:szCs w:val="24"/>
        </w:rPr>
        <w:t xml:space="preserve"> и 4 место со значением 7 639 рублей на человека по показателю «</w:t>
      </w:r>
      <w:r w:rsidRPr="005552E7">
        <w:rPr>
          <w:sz w:val="24"/>
          <w:szCs w:val="24"/>
        </w:rPr>
        <w:t xml:space="preserve">Бюджетная обеспеченность </w:t>
      </w:r>
      <w:r>
        <w:rPr>
          <w:sz w:val="24"/>
          <w:szCs w:val="24"/>
        </w:rPr>
        <w:t xml:space="preserve">с учетом безвозмездных перечислений на душу населения», улучшив результат в рейтинге на 1 и 2 пункта соответственно. </w:t>
      </w:r>
    </w:p>
    <w:p w:rsidR="00A50BA4" w:rsidRDefault="00A50BA4" w:rsidP="00A978F3">
      <w:pPr>
        <w:pStyle w:val="1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49">
        <w:rPr>
          <w:rFonts w:ascii="Times New Roman" w:hAnsi="Times New Roman" w:cs="Times New Roman"/>
          <w:bCs/>
          <w:sz w:val="24"/>
          <w:szCs w:val="24"/>
        </w:rPr>
        <w:t xml:space="preserve">Основные показатели социально-экономического развития </w:t>
      </w:r>
      <w:r w:rsidRPr="00943D49">
        <w:rPr>
          <w:rFonts w:ascii="Times New Roman" w:hAnsi="Times New Roman" w:cs="Times New Roman"/>
          <w:sz w:val="24"/>
          <w:szCs w:val="24"/>
        </w:rPr>
        <w:t>экономики городского округа Тольятти представлены в следующей таблице:</w:t>
      </w:r>
    </w:p>
    <w:tbl>
      <w:tblPr>
        <w:tblW w:w="9356" w:type="dxa"/>
        <w:tblInd w:w="108" w:type="dxa"/>
        <w:tblLayout w:type="fixed"/>
        <w:tblLook w:val="0000"/>
      </w:tblPr>
      <w:tblGrid>
        <w:gridCol w:w="3119"/>
        <w:gridCol w:w="1417"/>
        <w:gridCol w:w="1134"/>
        <w:gridCol w:w="1134"/>
        <w:gridCol w:w="1276"/>
        <w:gridCol w:w="1276"/>
      </w:tblGrid>
      <w:tr w:rsidR="00A50BA4" w:rsidRPr="00943D49" w:rsidTr="003B59D5">
        <w:trPr>
          <w:tblHeader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943D49" w:rsidRDefault="00A50BA4" w:rsidP="00434444">
            <w:pPr>
              <w:snapToGrid w:val="0"/>
              <w:spacing w:line="276" w:lineRule="auto"/>
              <w:ind w:firstLine="709"/>
              <w:jc w:val="both"/>
              <w:rPr>
                <w:sz w:val="24"/>
                <w:szCs w:val="24"/>
                <w:shd w:val="clear" w:color="auto" w:fill="FFFF00"/>
              </w:rPr>
            </w:pPr>
          </w:p>
          <w:p w:rsidR="00A50BA4" w:rsidRPr="00943D49" w:rsidRDefault="00A50BA4" w:rsidP="00434444">
            <w:pPr>
              <w:snapToGrid w:val="0"/>
              <w:spacing w:line="276" w:lineRule="auto"/>
              <w:ind w:firstLine="709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943D4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A50BA4" w:rsidRPr="00943D49" w:rsidTr="003B59D5">
        <w:trPr>
          <w:tblHeader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943D49" w:rsidRDefault="00A50BA4" w:rsidP="00434444">
            <w:pPr>
              <w:snapToGrid w:val="0"/>
              <w:spacing w:line="276" w:lineRule="auto"/>
              <w:ind w:firstLine="709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943D49" w:rsidRDefault="00A50BA4" w:rsidP="00CF1CB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январь-июнь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год</w:t>
            </w:r>
          </w:p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(оценка)</w:t>
            </w:r>
          </w:p>
        </w:tc>
      </w:tr>
      <w:tr w:rsidR="00A50BA4" w:rsidRPr="00943D49" w:rsidTr="003B59D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943D49" w:rsidRDefault="00A50BA4" w:rsidP="00CF1CBC">
            <w:pPr>
              <w:snapToGrid w:val="0"/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Индекс потребительских цен, декабрь к декабрю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</w:tr>
      <w:tr w:rsidR="00A50BA4" w:rsidRPr="00943D49" w:rsidTr="003B59D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943D49" w:rsidRDefault="00A50BA4" w:rsidP="00CF1CBC">
            <w:pPr>
              <w:snapToGrid w:val="0"/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lastRenderedPageBreak/>
              <w:t xml:space="preserve">Объем отгруженной промышленной продукции собственного производства (по разделам D,E)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млрд.</w:t>
            </w:r>
            <w:r>
              <w:rPr>
                <w:sz w:val="24"/>
                <w:szCs w:val="24"/>
              </w:rPr>
              <w:t xml:space="preserve"> </w:t>
            </w:r>
            <w:r w:rsidRPr="00943D4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2B5024" w:rsidRDefault="00A50BA4" w:rsidP="00CF1CB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193,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2B5024" w:rsidRDefault="00A50BA4" w:rsidP="00CF1CBC">
            <w:pPr>
              <w:jc w:val="center"/>
              <w:rPr>
                <w:sz w:val="24"/>
                <w:szCs w:val="24"/>
                <w:lang w:val="en-US"/>
              </w:rPr>
            </w:pPr>
            <w:r w:rsidRPr="002B5024">
              <w:rPr>
                <w:sz w:val="24"/>
                <w:szCs w:val="24"/>
              </w:rPr>
              <w:t>38</w:t>
            </w:r>
            <w:r w:rsidRPr="002B5024">
              <w:rPr>
                <w:sz w:val="24"/>
                <w:szCs w:val="24"/>
                <w:lang w:val="en-US"/>
              </w:rPr>
              <w:t>9</w:t>
            </w:r>
            <w:r w:rsidRPr="002B5024">
              <w:rPr>
                <w:sz w:val="24"/>
                <w:szCs w:val="24"/>
              </w:rPr>
              <w:t>,</w:t>
            </w:r>
            <w:r w:rsidRPr="002B5024">
              <w:rPr>
                <w:sz w:val="24"/>
                <w:szCs w:val="24"/>
                <w:lang w:val="en-US"/>
              </w:rPr>
              <w:t>4</w:t>
            </w:r>
          </w:p>
        </w:tc>
      </w:tr>
      <w:tr w:rsidR="00A50BA4" w:rsidRPr="00943D49" w:rsidTr="003B59D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943D49" w:rsidRDefault="00A50BA4" w:rsidP="00CF1CBC">
            <w:pPr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2B5024" w:rsidRDefault="00A50BA4" w:rsidP="00CF1CBC">
            <w:pPr>
              <w:jc w:val="center"/>
              <w:rPr>
                <w:sz w:val="24"/>
                <w:szCs w:val="24"/>
                <w:lang w:val="en-US"/>
              </w:rPr>
            </w:pPr>
            <w:r w:rsidRPr="002B5024">
              <w:rPr>
                <w:sz w:val="24"/>
                <w:szCs w:val="24"/>
              </w:rPr>
              <w:t>8</w:t>
            </w:r>
            <w:r w:rsidRPr="002B5024">
              <w:rPr>
                <w:sz w:val="24"/>
                <w:szCs w:val="24"/>
                <w:lang w:val="en-US"/>
              </w:rPr>
              <w:t>3</w:t>
            </w:r>
            <w:r w:rsidRPr="002B5024">
              <w:rPr>
                <w:sz w:val="24"/>
                <w:szCs w:val="24"/>
              </w:rPr>
              <w:t>,</w:t>
            </w:r>
            <w:r w:rsidRPr="002B5024">
              <w:rPr>
                <w:sz w:val="24"/>
                <w:szCs w:val="24"/>
                <w:lang w:val="en-US"/>
              </w:rPr>
              <w:t>6</w:t>
            </w:r>
          </w:p>
        </w:tc>
      </w:tr>
      <w:tr w:rsidR="00A50BA4" w:rsidRPr="00943D49" w:rsidTr="003B59D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943D49" w:rsidRDefault="00A50BA4" w:rsidP="00CF1CBC">
            <w:pPr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млрд.</w:t>
            </w:r>
            <w:r>
              <w:rPr>
                <w:sz w:val="24"/>
                <w:szCs w:val="24"/>
              </w:rPr>
              <w:t xml:space="preserve"> </w:t>
            </w:r>
            <w:r w:rsidRPr="00943D4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A50BA4" w:rsidRPr="00943D49" w:rsidTr="003B59D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943D49" w:rsidRDefault="00A50BA4" w:rsidP="00CF1CBC">
            <w:pPr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Прибыль до налогообложения прибыльных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млрд.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7D31FB" w:rsidRDefault="00A50BA4" w:rsidP="00CF1CBC">
            <w:pPr>
              <w:jc w:val="center"/>
              <w:rPr>
                <w:sz w:val="24"/>
                <w:szCs w:val="24"/>
                <w:highlight w:val="yellow"/>
              </w:rPr>
            </w:pPr>
            <w:r w:rsidRPr="00CC71EF">
              <w:rPr>
                <w:sz w:val="24"/>
                <w:szCs w:val="24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7D31FB" w:rsidRDefault="00A50BA4" w:rsidP="00CF1CBC">
            <w:pPr>
              <w:jc w:val="center"/>
              <w:rPr>
                <w:sz w:val="24"/>
                <w:szCs w:val="24"/>
                <w:highlight w:val="yellow"/>
              </w:rPr>
            </w:pPr>
            <w:r w:rsidRPr="00CC71EF">
              <w:rPr>
                <w:sz w:val="24"/>
                <w:szCs w:val="24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C71EF" w:rsidRDefault="00A50BA4" w:rsidP="00CF1CBC">
            <w:pPr>
              <w:jc w:val="center"/>
              <w:rPr>
                <w:sz w:val="24"/>
                <w:szCs w:val="24"/>
              </w:rPr>
            </w:pPr>
            <w:r w:rsidRPr="00CC71EF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CC71EF" w:rsidRDefault="00A50BA4" w:rsidP="00CF1CBC">
            <w:pPr>
              <w:jc w:val="center"/>
              <w:rPr>
                <w:sz w:val="24"/>
                <w:szCs w:val="24"/>
              </w:rPr>
            </w:pPr>
            <w:r w:rsidRPr="00CC71EF">
              <w:rPr>
                <w:sz w:val="24"/>
                <w:szCs w:val="24"/>
              </w:rPr>
              <w:t>25,9</w:t>
            </w:r>
          </w:p>
        </w:tc>
      </w:tr>
      <w:tr w:rsidR="00A50BA4" w:rsidRPr="00943D49" w:rsidTr="003B59D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943D49" w:rsidRDefault="00A50BA4" w:rsidP="00CF1CBC">
            <w:pPr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Ввод в действие жилых домов (квартир)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43D4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943D49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284,3</w:t>
            </w:r>
          </w:p>
        </w:tc>
      </w:tr>
      <w:tr w:rsidR="00A50BA4" w:rsidRPr="00943D49" w:rsidTr="003B59D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943D49" w:rsidRDefault="00A50BA4" w:rsidP="00CF1CBC">
            <w:pPr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 xml:space="preserve">Уровень </w:t>
            </w:r>
            <w:r>
              <w:rPr>
                <w:sz w:val="24"/>
                <w:szCs w:val="24"/>
              </w:rPr>
              <w:t>официальной</w:t>
            </w:r>
            <w:r w:rsidRPr="00943D49">
              <w:rPr>
                <w:sz w:val="24"/>
                <w:szCs w:val="24"/>
              </w:rPr>
              <w:t xml:space="preserve"> безработицы относительно населения в трудоспособном возрасте (среднегодовой)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F6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</w:tr>
      <w:tr w:rsidR="00A50BA4" w:rsidRPr="00943D49" w:rsidTr="003B59D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943D49" w:rsidRDefault="00A50BA4" w:rsidP="00CF1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начисленная заработная плата работников организаций, не относящихся к субъектам малого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 w:rsidRPr="00FF6ECA">
              <w:rPr>
                <w:sz w:val="24"/>
                <w:szCs w:val="24"/>
              </w:rPr>
              <w:t>27952,5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29 686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 w:rsidRPr="00FF6ECA">
              <w:rPr>
                <w:sz w:val="24"/>
                <w:szCs w:val="24"/>
              </w:rPr>
              <w:t>2879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30 460</w:t>
            </w:r>
          </w:p>
        </w:tc>
      </w:tr>
      <w:tr w:rsidR="00A50BA4" w:rsidRPr="00943D49" w:rsidTr="003B59D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943D49" w:rsidRDefault="00A50BA4" w:rsidP="00CF1CBC">
            <w:pPr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Реальная начисленная заработная плата одного работника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  <w:tr w:rsidR="00A50BA4" w:rsidRPr="00A44276" w:rsidTr="003B59D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943D49" w:rsidRDefault="00A50BA4" w:rsidP="00CF1CBC">
            <w:pPr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Оборот розничной торговли по полному кругу предприятий и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 w:rsidRPr="00943D49">
              <w:rPr>
                <w:sz w:val="24"/>
                <w:szCs w:val="24"/>
              </w:rPr>
              <w:t>млрд.</w:t>
            </w:r>
            <w:r>
              <w:rPr>
                <w:sz w:val="24"/>
                <w:szCs w:val="24"/>
              </w:rPr>
              <w:t xml:space="preserve"> </w:t>
            </w:r>
            <w:r w:rsidRPr="00943D4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43D49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164,2</w:t>
            </w:r>
          </w:p>
        </w:tc>
      </w:tr>
    </w:tbl>
    <w:p w:rsidR="00A50BA4" w:rsidRDefault="00A50BA4" w:rsidP="00A978F3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0BA4" w:rsidRPr="00E828C3" w:rsidRDefault="00A50BA4" w:rsidP="00A978F3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 w:val="24"/>
          <w:szCs w:val="24"/>
        </w:rPr>
      </w:pPr>
      <w:r w:rsidRPr="00E828C3">
        <w:rPr>
          <w:sz w:val="24"/>
          <w:szCs w:val="24"/>
        </w:rPr>
        <w:t>В 1 полугодии 2016 год</w:t>
      </w:r>
      <w:r w:rsidRPr="00D71626">
        <w:rPr>
          <w:sz w:val="24"/>
          <w:szCs w:val="24"/>
        </w:rPr>
        <w:t>а</w:t>
      </w:r>
      <w:r w:rsidRPr="00E828C3">
        <w:rPr>
          <w:b/>
          <w:sz w:val="24"/>
          <w:szCs w:val="24"/>
        </w:rPr>
        <w:t xml:space="preserve"> цены на потребительские товары и услуги</w:t>
      </w:r>
      <w:r w:rsidRPr="00E828C3">
        <w:rPr>
          <w:sz w:val="24"/>
          <w:szCs w:val="24"/>
        </w:rPr>
        <w:t xml:space="preserve"> увеличились на 3,0 %, что меньше, чем в Российской Федерации на 0,3 п.п. и ниже чем за аналогичный период 2015 года на 5,3 п.п. </w:t>
      </w:r>
    </w:p>
    <w:p w:rsidR="00A50BA4" w:rsidRPr="008E0EDD" w:rsidRDefault="00A50BA4" w:rsidP="00A978F3">
      <w:pPr>
        <w:pStyle w:val="aff1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Pr="008E0EDD">
        <w:rPr>
          <w:sz w:val="24"/>
          <w:szCs w:val="24"/>
        </w:rPr>
        <w:t>ндекс потребительских цен на продовольственные товары составил 103,9 %, на непродовольственные товары и платные услуги – 102,9 % и 101,9 % соответственно.</w:t>
      </w:r>
    </w:p>
    <w:p w:rsidR="00A50BA4" w:rsidRPr="00153A3A" w:rsidRDefault="00A50BA4" w:rsidP="00A978F3">
      <w:pPr>
        <w:pStyle w:val="aff1"/>
        <w:spacing w:line="276" w:lineRule="auto"/>
        <w:rPr>
          <w:sz w:val="24"/>
          <w:szCs w:val="24"/>
        </w:rPr>
      </w:pPr>
      <w:r w:rsidRPr="00153A3A">
        <w:rPr>
          <w:sz w:val="24"/>
          <w:szCs w:val="24"/>
        </w:rPr>
        <w:t>Так, в среднем, сосиски, сардельки подорожали на 6,1 %, яйца – на 9,1 %, макаронные изделия – на 11,4 %, кисломолочная продукция - на 10 %. Снижение цен наблюдалось на картофель - на 15,4 %, капуст</w:t>
      </w:r>
      <w:r>
        <w:rPr>
          <w:sz w:val="24"/>
          <w:szCs w:val="24"/>
        </w:rPr>
        <w:t>у</w:t>
      </w:r>
      <w:r w:rsidRPr="00153A3A">
        <w:rPr>
          <w:sz w:val="24"/>
          <w:szCs w:val="24"/>
        </w:rPr>
        <w:t xml:space="preserve"> белокочанн</w:t>
      </w:r>
      <w:r>
        <w:rPr>
          <w:sz w:val="24"/>
          <w:szCs w:val="24"/>
        </w:rPr>
        <w:t>ую</w:t>
      </w:r>
      <w:r w:rsidRPr="00153A3A">
        <w:rPr>
          <w:sz w:val="24"/>
          <w:szCs w:val="24"/>
        </w:rPr>
        <w:t xml:space="preserve"> – на 19,5 %, колбас</w:t>
      </w:r>
      <w:r w:rsidR="005B4080">
        <w:rPr>
          <w:sz w:val="24"/>
          <w:szCs w:val="24"/>
        </w:rPr>
        <w:t>у</w:t>
      </w:r>
      <w:r w:rsidRPr="00153A3A">
        <w:rPr>
          <w:sz w:val="24"/>
          <w:szCs w:val="24"/>
        </w:rPr>
        <w:t xml:space="preserve"> варен</w:t>
      </w:r>
      <w:r w:rsidR="005B4080">
        <w:rPr>
          <w:sz w:val="24"/>
          <w:szCs w:val="24"/>
        </w:rPr>
        <w:t>ую</w:t>
      </w:r>
      <w:r w:rsidRPr="00153A3A">
        <w:rPr>
          <w:sz w:val="24"/>
          <w:szCs w:val="24"/>
        </w:rPr>
        <w:t xml:space="preserve"> </w:t>
      </w:r>
      <w:r w:rsidR="005B4080">
        <w:rPr>
          <w:sz w:val="24"/>
          <w:szCs w:val="24"/>
        </w:rPr>
        <w:t>-</w:t>
      </w:r>
      <w:r w:rsidRPr="00153A3A">
        <w:rPr>
          <w:sz w:val="24"/>
          <w:szCs w:val="24"/>
        </w:rPr>
        <w:t xml:space="preserve"> на 2,2 %. Увеличились розничные цены на автомобильное топливо. </w:t>
      </w:r>
    </w:p>
    <w:p w:rsidR="00A50BA4" w:rsidRPr="008E0EDD" w:rsidRDefault="00A50BA4" w:rsidP="00A978F3">
      <w:pPr>
        <w:pStyle w:val="aff1"/>
        <w:spacing w:line="276" w:lineRule="auto"/>
        <w:rPr>
          <w:sz w:val="24"/>
          <w:szCs w:val="24"/>
        </w:rPr>
      </w:pPr>
      <w:r w:rsidRPr="008E0EDD">
        <w:rPr>
          <w:sz w:val="24"/>
          <w:szCs w:val="24"/>
        </w:rPr>
        <w:t>В целом за 2016 год уровень инфляции (</w:t>
      </w:r>
      <w:r w:rsidRPr="00864676">
        <w:rPr>
          <w:sz w:val="24"/>
          <w:szCs w:val="24"/>
        </w:rPr>
        <w:t>декабрь 2016 года к декабрю 2015</w:t>
      </w:r>
      <w:r w:rsidRPr="008E0EDD">
        <w:rPr>
          <w:sz w:val="24"/>
          <w:szCs w:val="24"/>
        </w:rPr>
        <w:t xml:space="preserve"> года) на потребительском рынке как региона, так и городского округа Тольятти, оценивается на уровне 106,4 %.  </w:t>
      </w:r>
    </w:p>
    <w:p w:rsidR="00A50BA4" w:rsidRPr="00392DFF" w:rsidRDefault="00A50BA4" w:rsidP="00A978F3">
      <w:pPr>
        <w:numPr>
          <w:ilvl w:val="0"/>
          <w:numId w:val="3"/>
        </w:numPr>
        <w:spacing w:line="276" w:lineRule="auto"/>
        <w:ind w:left="0" w:right="-144" w:firstLine="709"/>
        <w:jc w:val="both"/>
        <w:rPr>
          <w:bCs/>
          <w:spacing w:val="2"/>
          <w:sz w:val="24"/>
          <w:szCs w:val="24"/>
        </w:rPr>
      </w:pPr>
      <w:r w:rsidRPr="00392DFF">
        <w:rPr>
          <w:sz w:val="24"/>
          <w:szCs w:val="24"/>
        </w:rPr>
        <w:t xml:space="preserve">Стоимость минимального набора продуктов питания, входящих в потребительскую корзину мужчины трудоспособного возраста, в июне 2016 года составила в Тольятти </w:t>
      </w:r>
      <w:r w:rsidR="001144E4">
        <w:rPr>
          <w:sz w:val="24"/>
          <w:szCs w:val="24"/>
        </w:rPr>
        <w:t xml:space="preserve">                </w:t>
      </w:r>
      <w:r w:rsidRPr="00392DFF">
        <w:rPr>
          <w:sz w:val="24"/>
          <w:szCs w:val="24"/>
        </w:rPr>
        <w:lastRenderedPageBreak/>
        <w:t>4</w:t>
      </w:r>
      <w:r>
        <w:rPr>
          <w:sz w:val="24"/>
          <w:szCs w:val="24"/>
        </w:rPr>
        <w:t xml:space="preserve"> </w:t>
      </w:r>
      <w:r w:rsidRPr="00392DFF">
        <w:rPr>
          <w:sz w:val="24"/>
          <w:szCs w:val="24"/>
        </w:rPr>
        <w:t>004,2 руб. в расчете на месяц, что выше, чем в целом по Самарской области на 93 руб. и по городскому округу Самара на 105,8 руб. (для сравнения, в среднем по Российской Федерации стоимость минимального набора продуктов питания составила 3</w:t>
      </w:r>
      <w:r>
        <w:rPr>
          <w:sz w:val="24"/>
          <w:szCs w:val="24"/>
        </w:rPr>
        <w:t xml:space="preserve"> </w:t>
      </w:r>
      <w:r w:rsidRPr="00392DFF">
        <w:rPr>
          <w:sz w:val="24"/>
          <w:szCs w:val="24"/>
        </w:rPr>
        <w:t>816,6 руб.</w:t>
      </w:r>
      <w:r>
        <w:rPr>
          <w:sz w:val="24"/>
          <w:szCs w:val="24"/>
        </w:rPr>
        <w:t>).</w:t>
      </w:r>
      <w:r w:rsidRPr="00392DFF">
        <w:rPr>
          <w:sz w:val="24"/>
          <w:szCs w:val="24"/>
        </w:rPr>
        <w:t xml:space="preserve"> </w:t>
      </w:r>
    </w:p>
    <w:p w:rsidR="00A50BA4" w:rsidRPr="00392DFF" w:rsidRDefault="00A50BA4" w:rsidP="009A3B1B">
      <w:pPr>
        <w:numPr>
          <w:ilvl w:val="0"/>
          <w:numId w:val="3"/>
        </w:numPr>
        <w:spacing w:line="276" w:lineRule="auto"/>
        <w:ind w:left="0" w:right="-2" w:firstLine="709"/>
        <w:jc w:val="both"/>
        <w:rPr>
          <w:bCs/>
          <w:spacing w:val="2"/>
          <w:sz w:val="24"/>
          <w:szCs w:val="24"/>
        </w:rPr>
      </w:pPr>
      <w:r w:rsidRPr="00392DFF">
        <w:rPr>
          <w:b/>
          <w:bCs/>
          <w:spacing w:val="2"/>
          <w:sz w:val="24"/>
          <w:szCs w:val="24"/>
        </w:rPr>
        <w:t>Рост тарифов на регулируемые виды услуг</w:t>
      </w:r>
      <w:r w:rsidRPr="00392DFF">
        <w:rPr>
          <w:bCs/>
          <w:spacing w:val="2"/>
          <w:sz w:val="24"/>
          <w:szCs w:val="24"/>
        </w:rPr>
        <w:t xml:space="preserve"> организаций коммунального комплекса за 2016 год не превысил прогнозных значений показателей.</w:t>
      </w:r>
    </w:p>
    <w:p w:rsidR="00A50BA4" w:rsidRPr="002742CE" w:rsidRDefault="00A50BA4" w:rsidP="009A3B1B">
      <w:pPr>
        <w:spacing w:line="276" w:lineRule="auto"/>
        <w:ind w:right="-2" w:firstLine="709"/>
        <w:jc w:val="both"/>
        <w:rPr>
          <w:bCs/>
          <w:spacing w:val="2"/>
          <w:sz w:val="24"/>
          <w:szCs w:val="24"/>
        </w:rPr>
      </w:pPr>
      <w:r w:rsidRPr="002742CE">
        <w:rPr>
          <w:bCs/>
          <w:spacing w:val="2"/>
          <w:sz w:val="24"/>
          <w:szCs w:val="24"/>
        </w:rPr>
        <w:t xml:space="preserve">Предельные индексы роста совокупной платы граждан за коммунальные услуги на 2016 год утверждены постановлением Губернатора Самарской области от 25.12.15  </w:t>
      </w:r>
      <w:r>
        <w:rPr>
          <w:bCs/>
          <w:spacing w:val="2"/>
          <w:sz w:val="24"/>
          <w:szCs w:val="24"/>
        </w:rPr>
        <w:t xml:space="preserve">  </w:t>
      </w:r>
      <w:r w:rsidRPr="002742CE">
        <w:rPr>
          <w:bCs/>
          <w:spacing w:val="2"/>
          <w:sz w:val="24"/>
          <w:szCs w:val="24"/>
        </w:rPr>
        <w:t xml:space="preserve">№ 327. </w:t>
      </w:r>
    </w:p>
    <w:p w:rsidR="00A50BA4" w:rsidRPr="002742CE" w:rsidRDefault="00A50BA4" w:rsidP="009A3B1B">
      <w:pPr>
        <w:numPr>
          <w:ilvl w:val="0"/>
          <w:numId w:val="3"/>
        </w:numPr>
        <w:suppressAutoHyphens w:val="0"/>
        <w:spacing w:line="276" w:lineRule="auto"/>
        <w:ind w:left="0" w:right="-2" w:firstLine="709"/>
        <w:jc w:val="both"/>
        <w:rPr>
          <w:bCs/>
          <w:spacing w:val="2"/>
          <w:sz w:val="24"/>
          <w:szCs w:val="24"/>
        </w:rPr>
      </w:pPr>
      <w:r w:rsidRPr="0030769A">
        <w:rPr>
          <w:bCs/>
          <w:spacing w:val="2"/>
          <w:sz w:val="24"/>
          <w:szCs w:val="24"/>
        </w:rPr>
        <w:t>Первую половину 2016 года жители городского округа Тольятти расплачивались за жилищно-коммунальные услуги по тарифам 2015 года</w:t>
      </w:r>
      <w:r>
        <w:rPr>
          <w:bCs/>
          <w:spacing w:val="2"/>
          <w:sz w:val="24"/>
          <w:szCs w:val="24"/>
        </w:rPr>
        <w:t xml:space="preserve">, </w:t>
      </w:r>
      <w:r w:rsidRPr="002742CE">
        <w:rPr>
          <w:bCs/>
          <w:spacing w:val="2"/>
          <w:sz w:val="24"/>
          <w:szCs w:val="24"/>
        </w:rPr>
        <w:t>за исключением услуг отопления в Автозаводском районе городского округа Тольятти.</w:t>
      </w:r>
    </w:p>
    <w:p w:rsidR="00A50BA4" w:rsidRPr="0030769A" w:rsidRDefault="00A50BA4" w:rsidP="009A3B1B">
      <w:pPr>
        <w:spacing w:line="276" w:lineRule="auto"/>
        <w:ind w:right="-2" w:firstLine="709"/>
        <w:jc w:val="both"/>
        <w:rPr>
          <w:bCs/>
          <w:spacing w:val="2"/>
          <w:sz w:val="24"/>
          <w:szCs w:val="24"/>
        </w:rPr>
      </w:pPr>
      <w:r w:rsidRPr="0030769A">
        <w:rPr>
          <w:bCs/>
          <w:spacing w:val="2"/>
          <w:sz w:val="24"/>
          <w:szCs w:val="24"/>
        </w:rPr>
        <w:t>Тарифы на второе полугодие 2016 года (отопление, водопотребление, водоотведение, горячая вода и электроснабжение) установлены Министерством  энергетики и жилищно-коммунального хозяйства Самарской области.</w:t>
      </w:r>
    </w:p>
    <w:p w:rsidR="00A50BA4" w:rsidRPr="0030769A" w:rsidRDefault="00A50BA4" w:rsidP="009A3B1B">
      <w:pPr>
        <w:spacing w:line="276" w:lineRule="auto"/>
        <w:ind w:right="-2" w:firstLine="709"/>
        <w:jc w:val="both"/>
        <w:rPr>
          <w:bCs/>
          <w:spacing w:val="2"/>
          <w:sz w:val="24"/>
          <w:szCs w:val="24"/>
        </w:rPr>
      </w:pPr>
      <w:r w:rsidRPr="0030769A">
        <w:rPr>
          <w:bCs/>
          <w:spacing w:val="2"/>
          <w:sz w:val="24"/>
          <w:szCs w:val="24"/>
        </w:rPr>
        <w:t xml:space="preserve">Тарифы на теплоэнергию </w:t>
      </w:r>
      <w:r>
        <w:rPr>
          <w:bCs/>
          <w:spacing w:val="2"/>
          <w:sz w:val="24"/>
          <w:szCs w:val="24"/>
        </w:rPr>
        <w:t>по</w:t>
      </w:r>
      <w:r w:rsidRPr="0030769A">
        <w:rPr>
          <w:bCs/>
          <w:spacing w:val="2"/>
          <w:sz w:val="24"/>
          <w:szCs w:val="24"/>
        </w:rPr>
        <w:t xml:space="preserve"> городско</w:t>
      </w:r>
      <w:r>
        <w:rPr>
          <w:bCs/>
          <w:spacing w:val="2"/>
          <w:sz w:val="24"/>
          <w:szCs w:val="24"/>
        </w:rPr>
        <w:t>му</w:t>
      </w:r>
      <w:r w:rsidRPr="0030769A">
        <w:rPr>
          <w:bCs/>
          <w:spacing w:val="2"/>
          <w:sz w:val="24"/>
          <w:szCs w:val="24"/>
        </w:rPr>
        <w:t xml:space="preserve"> округ</w:t>
      </w:r>
      <w:r>
        <w:rPr>
          <w:bCs/>
          <w:spacing w:val="2"/>
          <w:sz w:val="24"/>
          <w:szCs w:val="24"/>
        </w:rPr>
        <w:t>у</w:t>
      </w:r>
      <w:r w:rsidRPr="0030769A">
        <w:rPr>
          <w:bCs/>
          <w:spacing w:val="2"/>
          <w:sz w:val="24"/>
          <w:szCs w:val="24"/>
        </w:rPr>
        <w:t xml:space="preserve"> Тольятти в 2016 году составили:</w:t>
      </w:r>
    </w:p>
    <w:p w:rsidR="00A50BA4" w:rsidRPr="0030769A" w:rsidRDefault="00A50BA4" w:rsidP="009A3B1B">
      <w:pPr>
        <w:spacing w:line="276" w:lineRule="auto"/>
        <w:ind w:right="-2" w:firstLine="709"/>
        <w:jc w:val="both"/>
        <w:rPr>
          <w:bCs/>
          <w:spacing w:val="2"/>
          <w:sz w:val="24"/>
          <w:szCs w:val="24"/>
        </w:rPr>
      </w:pPr>
      <w:r w:rsidRPr="0030769A">
        <w:rPr>
          <w:bCs/>
          <w:spacing w:val="2"/>
          <w:sz w:val="24"/>
          <w:szCs w:val="24"/>
        </w:rPr>
        <w:t>Для ПАО «Т Плюс» (СЦТ Автозаводский район г.о. Тольятти):</w:t>
      </w:r>
    </w:p>
    <w:p w:rsidR="00A50BA4" w:rsidRPr="0030769A" w:rsidRDefault="00A50BA4" w:rsidP="009A3B1B">
      <w:pPr>
        <w:spacing w:line="276" w:lineRule="auto"/>
        <w:ind w:right="-2" w:firstLine="709"/>
        <w:jc w:val="both"/>
        <w:rPr>
          <w:bCs/>
          <w:spacing w:val="2"/>
          <w:sz w:val="24"/>
          <w:szCs w:val="24"/>
        </w:rPr>
      </w:pPr>
      <w:r w:rsidRPr="0030769A">
        <w:rPr>
          <w:bCs/>
          <w:spacing w:val="2"/>
          <w:sz w:val="24"/>
          <w:szCs w:val="24"/>
        </w:rPr>
        <w:t>- с 01.01.2016 г. по 30.06.2016 г.  – 1 339,3</w:t>
      </w:r>
      <w:r>
        <w:rPr>
          <w:bCs/>
          <w:spacing w:val="2"/>
          <w:sz w:val="24"/>
          <w:szCs w:val="24"/>
        </w:rPr>
        <w:t>0</w:t>
      </w:r>
      <w:r w:rsidRPr="0030769A">
        <w:rPr>
          <w:bCs/>
          <w:spacing w:val="2"/>
          <w:sz w:val="24"/>
          <w:szCs w:val="24"/>
        </w:rPr>
        <w:t xml:space="preserve"> руб./Гкал с НДС, снижение на 0,2 %</w:t>
      </w:r>
      <w:r>
        <w:rPr>
          <w:bCs/>
          <w:spacing w:val="2"/>
          <w:sz w:val="24"/>
          <w:szCs w:val="24"/>
        </w:rPr>
        <w:t xml:space="preserve"> </w:t>
      </w:r>
      <w:r w:rsidRPr="0030769A">
        <w:rPr>
          <w:bCs/>
          <w:spacing w:val="2"/>
          <w:sz w:val="24"/>
          <w:szCs w:val="24"/>
        </w:rPr>
        <w:t>по сравнению со вторым полугодием 2015 года;</w:t>
      </w:r>
    </w:p>
    <w:p w:rsidR="00A50BA4" w:rsidRPr="00B518A6" w:rsidRDefault="00A50BA4" w:rsidP="009A3B1B">
      <w:pPr>
        <w:spacing w:line="276" w:lineRule="auto"/>
        <w:ind w:right="-2" w:firstLine="709"/>
        <w:jc w:val="both"/>
        <w:rPr>
          <w:bCs/>
          <w:spacing w:val="2"/>
          <w:sz w:val="24"/>
          <w:szCs w:val="24"/>
        </w:rPr>
      </w:pPr>
      <w:r w:rsidRPr="00B518A6">
        <w:rPr>
          <w:bCs/>
          <w:spacing w:val="2"/>
          <w:sz w:val="24"/>
          <w:szCs w:val="24"/>
        </w:rPr>
        <w:t xml:space="preserve">- с 01.07.2016 г. по 31.12.2016 г. – 1 385,32 руб./Гкал с НДС с ростом </w:t>
      </w:r>
      <w:r>
        <w:rPr>
          <w:bCs/>
          <w:spacing w:val="2"/>
          <w:sz w:val="24"/>
          <w:szCs w:val="24"/>
        </w:rPr>
        <w:t>3,4</w:t>
      </w:r>
      <w:r w:rsidRPr="00B518A6">
        <w:rPr>
          <w:bCs/>
          <w:spacing w:val="2"/>
          <w:sz w:val="24"/>
          <w:szCs w:val="24"/>
        </w:rPr>
        <w:t xml:space="preserve"> %.</w:t>
      </w:r>
    </w:p>
    <w:p w:rsidR="00A50BA4" w:rsidRPr="0030769A" w:rsidRDefault="00A50BA4" w:rsidP="009A3B1B">
      <w:pPr>
        <w:spacing w:line="276" w:lineRule="auto"/>
        <w:ind w:right="-2" w:firstLine="709"/>
        <w:jc w:val="both"/>
        <w:rPr>
          <w:bCs/>
          <w:spacing w:val="2"/>
          <w:sz w:val="24"/>
          <w:szCs w:val="24"/>
        </w:rPr>
      </w:pPr>
      <w:r w:rsidRPr="0030769A">
        <w:rPr>
          <w:bCs/>
          <w:spacing w:val="2"/>
          <w:sz w:val="24"/>
          <w:szCs w:val="24"/>
        </w:rPr>
        <w:t xml:space="preserve">Для ПАО «Т Плюс» (СЦТ </w:t>
      </w:r>
      <w:r>
        <w:rPr>
          <w:bCs/>
          <w:spacing w:val="2"/>
          <w:sz w:val="24"/>
          <w:szCs w:val="24"/>
        </w:rPr>
        <w:t>Центральный и Комсомольский районы г.о.Тольятти</w:t>
      </w:r>
      <w:r w:rsidRPr="0030769A">
        <w:rPr>
          <w:bCs/>
          <w:spacing w:val="2"/>
          <w:sz w:val="24"/>
          <w:szCs w:val="24"/>
        </w:rPr>
        <w:t>):</w:t>
      </w:r>
    </w:p>
    <w:p w:rsidR="00A50BA4" w:rsidRPr="00B518A6" w:rsidRDefault="00A50BA4" w:rsidP="009A3B1B">
      <w:pPr>
        <w:spacing w:line="276" w:lineRule="auto"/>
        <w:ind w:right="-2" w:firstLine="709"/>
        <w:jc w:val="both"/>
        <w:rPr>
          <w:bCs/>
          <w:spacing w:val="2"/>
          <w:sz w:val="24"/>
          <w:szCs w:val="24"/>
        </w:rPr>
      </w:pPr>
      <w:r w:rsidRPr="00B518A6">
        <w:rPr>
          <w:bCs/>
          <w:spacing w:val="2"/>
          <w:sz w:val="24"/>
          <w:szCs w:val="24"/>
        </w:rPr>
        <w:t>- с 01.01.201</w:t>
      </w:r>
      <w:r>
        <w:rPr>
          <w:bCs/>
          <w:spacing w:val="2"/>
          <w:sz w:val="24"/>
          <w:szCs w:val="24"/>
        </w:rPr>
        <w:t>6</w:t>
      </w:r>
      <w:r w:rsidRPr="00B518A6">
        <w:rPr>
          <w:bCs/>
          <w:spacing w:val="2"/>
          <w:sz w:val="24"/>
          <w:szCs w:val="24"/>
        </w:rPr>
        <w:t xml:space="preserve"> г. по 30.06.201</w:t>
      </w:r>
      <w:r>
        <w:rPr>
          <w:bCs/>
          <w:spacing w:val="2"/>
          <w:sz w:val="24"/>
          <w:szCs w:val="24"/>
        </w:rPr>
        <w:t>6</w:t>
      </w:r>
      <w:r w:rsidRPr="00B518A6">
        <w:rPr>
          <w:bCs/>
          <w:spacing w:val="2"/>
          <w:sz w:val="24"/>
          <w:szCs w:val="24"/>
        </w:rPr>
        <w:t xml:space="preserve"> г. – </w:t>
      </w:r>
      <w:r>
        <w:rPr>
          <w:bCs/>
          <w:spacing w:val="2"/>
          <w:sz w:val="24"/>
          <w:szCs w:val="24"/>
        </w:rPr>
        <w:t>1 248,44</w:t>
      </w:r>
      <w:r w:rsidRPr="00B518A6">
        <w:rPr>
          <w:bCs/>
          <w:spacing w:val="2"/>
          <w:sz w:val="24"/>
          <w:szCs w:val="24"/>
        </w:rPr>
        <w:t xml:space="preserve"> руб./Гкал с НДС на уровне второго полугодия 201</w:t>
      </w:r>
      <w:r>
        <w:rPr>
          <w:bCs/>
          <w:spacing w:val="2"/>
          <w:sz w:val="24"/>
          <w:szCs w:val="24"/>
        </w:rPr>
        <w:t>5</w:t>
      </w:r>
      <w:r w:rsidRPr="00B518A6">
        <w:rPr>
          <w:bCs/>
          <w:spacing w:val="2"/>
          <w:sz w:val="24"/>
          <w:szCs w:val="24"/>
        </w:rPr>
        <w:t xml:space="preserve"> года;</w:t>
      </w:r>
    </w:p>
    <w:p w:rsidR="00A50BA4" w:rsidRPr="00B518A6" w:rsidRDefault="00A50BA4" w:rsidP="009A3B1B">
      <w:pPr>
        <w:spacing w:line="276" w:lineRule="auto"/>
        <w:ind w:right="-2" w:firstLine="709"/>
        <w:jc w:val="both"/>
        <w:rPr>
          <w:bCs/>
          <w:spacing w:val="2"/>
          <w:sz w:val="24"/>
          <w:szCs w:val="24"/>
        </w:rPr>
      </w:pPr>
      <w:r w:rsidRPr="00B518A6">
        <w:rPr>
          <w:bCs/>
          <w:spacing w:val="2"/>
          <w:sz w:val="24"/>
          <w:szCs w:val="24"/>
        </w:rPr>
        <w:t>- с 01.07.201</w:t>
      </w:r>
      <w:r>
        <w:rPr>
          <w:bCs/>
          <w:spacing w:val="2"/>
          <w:sz w:val="24"/>
          <w:szCs w:val="24"/>
        </w:rPr>
        <w:t>6</w:t>
      </w:r>
      <w:r w:rsidRPr="00B518A6">
        <w:rPr>
          <w:bCs/>
          <w:spacing w:val="2"/>
          <w:sz w:val="24"/>
          <w:szCs w:val="24"/>
        </w:rPr>
        <w:t xml:space="preserve"> г. по 31.12.201</w:t>
      </w:r>
      <w:r>
        <w:rPr>
          <w:bCs/>
          <w:spacing w:val="2"/>
          <w:sz w:val="24"/>
          <w:szCs w:val="24"/>
        </w:rPr>
        <w:t>6</w:t>
      </w:r>
      <w:r w:rsidRPr="00B518A6">
        <w:rPr>
          <w:bCs/>
          <w:spacing w:val="2"/>
          <w:sz w:val="24"/>
          <w:szCs w:val="24"/>
        </w:rPr>
        <w:t xml:space="preserve"> г. – </w:t>
      </w:r>
      <w:r>
        <w:rPr>
          <w:bCs/>
          <w:spacing w:val="2"/>
          <w:sz w:val="24"/>
          <w:szCs w:val="24"/>
        </w:rPr>
        <w:t>1 290,92</w:t>
      </w:r>
      <w:r w:rsidRPr="00B518A6">
        <w:rPr>
          <w:bCs/>
          <w:spacing w:val="2"/>
          <w:sz w:val="24"/>
          <w:szCs w:val="24"/>
        </w:rPr>
        <w:t xml:space="preserve"> руб./Гкал с НДС с ростом </w:t>
      </w:r>
      <w:r>
        <w:rPr>
          <w:bCs/>
          <w:spacing w:val="2"/>
          <w:sz w:val="24"/>
          <w:szCs w:val="24"/>
        </w:rPr>
        <w:t>3,4</w:t>
      </w:r>
      <w:r w:rsidRPr="00B518A6">
        <w:rPr>
          <w:bCs/>
          <w:spacing w:val="2"/>
          <w:sz w:val="24"/>
          <w:szCs w:val="24"/>
        </w:rPr>
        <w:t xml:space="preserve"> %.</w:t>
      </w:r>
    </w:p>
    <w:p w:rsidR="00A50BA4" w:rsidRPr="002742CE" w:rsidRDefault="00A50BA4" w:rsidP="009A3B1B">
      <w:pPr>
        <w:pStyle w:val="1f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CE">
        <w:rPr>
          <w:rFonts w:ascii="Times New Roman" w:hAnsi="Times New Roman" w:cs="Times New Roman"/>
          <w:sz w:val="24"/>
          <w:szCs w:val="24"/>
        </w:rPr>
        <w:t xml:space="preserve">Тарифы на услуги по водоснабжению, водоотведению и очистке сточных вод организаций коммунального комплекса городского округа Тольятти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42CE">
        <w:rPr>
          <w:rFonts w:ascii="Times New Roman" w:hAnsi="Times New Roman" w:cs="Times New Roman"/>
          <w:sz w:val="24"/>
          <w:szCs w:val="24"/>
        </w:rPr>
        <w:t xml:space="preserve"> полугодии 2016 года остались на уровне второго полугодия 2015 года, а во втором полугодии рост  по городскому округу Тольятти составил:</w:t>
      </w:r>
    </w:p>
    <w:p w:rsidR="00A50BA4" w:rsidRPr="002742CE" w:rsidRDefault="00A50BA4" w:rsidP="009A3B1B">
      <w:pPr>
        <w:pStyle w:val="1f"/>
        <w:numPr>
          <w:ilvl w:val="0"/>
          <w:numId w:val="12"/>
        </w:numPr>
        <w:spacing w:line="276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CE">
        <w:rPr>
          <w:rFonts w:ascii="Times New Roman" w:hAnsi="Times New Roman" w:cs="Times New Roman"/>
          <w:sz w:val="24"/>
          <w:szCs w:val="24"/>
        </w:rPr>
        <w:t>по водоснабжению:</w:t>
      </w:r>
    </w:p>
    <w:p w:rsidR="00A50BA4" w:rsidRPr="002742CE" w:rsidRDefault="00A50BA4" w:rsidP="009A3B1B">
      <w:pPr>
        <w:pStyle w:val="1f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CE">
        <w:rPr>
          <w:rFonts w:ascii="Times New Roman" w:hAnsi="Times New Roman" w:cs="Times New Roman"/>
          <w:sz w:val="24"/>
          <w:szCs w:val="24"/>
        </w:rPr>
        <w:t>для ООО «Волжские коммунальные системы» (Центральный и Комсомольский районы г.о. Тольятти) с ростом 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CE">
        <w:rPr>
          <w:rFonts w:ascii="Times New Roman" w:hAnsi="Times New Roman" w:cs="Times New Roman"/>
          <w:sz w:val="24"/>
          <w:szCs w:val="24"/>
        </w:rPr>
        <w:t>%;</w:t>
      </w:r>
    </w:p>
    <w:p w:rsidR="00A50BA4" w:rsidRPr="002742CE" w:rsidRDefault="00A50BA4" w:rsidP="009A3B1B">
      <w:pPr>
        <w:pStyle w:val="1f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CE">
        <w:rPr>
          <w:rFonts w:ascii="Times New Roman" w:hAnsi="Times New Roman" w:cs="Times New Roman"/>
          <w:sz w:val="24"/>
          <w:szCs w:val="24"/>
        </w:rPr>
        <w:t>для ОАО «ТЕВИС» (Автозаводский район г.о. Тольятти) с ростом 5,8 %.</w:t>
      </w:r>
    </w:p>
    <w:p w:rsidR="00A50BA4" w:rsidRPr="002742CE" w:rsidRDefault="00A50BA4" w:rsidP="009A3B1B">
      <w:pPr>
        <w:pStyle w:val="1f"/>
        <w:numPr>
          <w:ilvl w:val="0"/>
          <w:numId w:val="12"/>
        </w:numPr>
        <w:spacing w:line="276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CE">
        <w:rPr>
          <w:rFonts w:ascii="Times New Roman" w:hAnsi="Times New Roman" w:cs="Times New Roman"/>
          <w:sz w:val="24"/>
          <w:szCs w:val="24"/>
        </w:rPr>
        <w:t>по водоотведению и очистке сточных вод:</w:t>
      </w:r>
    </w:p>
    <w:p w:rsidR="00A50BA4" w:rsidRPr="002742CE" w:rsidRDefault="00A50BA4" w:rsidP="009A3B1B">
      <w:pPr>
        <w:pStyle w:val="1f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CE">
        <w:rPr>
          <w:rFonts w:ascii="Times New Roman" w:hAnsi="Times New Roman" w:cs="Times New Roman"/>
          <w:sz w:val="24"/>
          <w:szCs w:val="24"/>
        </w:rPr>
        <w:t>для ООО «Волжские коммунальные системы» (Центральный и Комсомольский районы г.о. Тольятти) с ростом 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CE">
        <w:rPr>
          <w:rFonts w:ascii="Times New Roman" w:hAnsi="Times New Roman" w:cs="Times New Roman"/>
          <w:sz w:val="24"/>
          <w:szCs w:val="24"/>
        </w:rPr>
        <w:t>%;</w:t>
      </w:r>
    </w:p>
    <w:p w:rsidR="00A50BA4" w:rsidRPr="002742CE" w:rsidRDefault="00A50BA4" w:rsidP="0006581E">
      <w:pPr>
        <w:pStyle w:val="1f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CE">
        <w:rPr>
          <w:rFonts w:ascii="Times New Roman" w:hAnsi="Times New Roman" w:cs="Times New Roman"/>
          <w:sz w:val="24"/>
          <w:szCs w:val="24"/>
        </w:rPr>
        <w:t>для ОАО «ТЕВИС» (Автозаводский район г.о. Тольятти) с ростом 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CE">
        <w:rPr>
          <w:rFonts w:ascii="Times New Roman" w:hAnsi="Times New Roman" w:cs="Times New Roman"/>
          <w:sz w:val="24"/>
          <w:szCs w:val="24"/>
        </w:rPr>
        <w:t>% для не нормируемых абонентов (население) и 9,3 % для абонентов, для которых устанавливаются нормативы водоотведения (сброса) по составу сточных вод.</w:t>
      </w:r>
    </w:p>
    <w:p w:rsidR="00A50BA4" w:rsidRPr="002742CE" w:rsidRDefault="00A50BA4" w:rsidP="0006581E">
      <w:pPr>
        <w:pStyle w:val="ConsPlusTitle"/>
        <w:spacing w:line="276" w:lineRule="auto"/>
        <w:ind w:right="-2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42CE">
        <w:rPr>
          <w:rFonts w:ascii="Times New Roman" w:hAnsi="Times New Roman" w:cs="Times New Roman"/>
          <w:b w:val="0"/>
          <w:bCs w:val="0"/>
          <w:sz w:val="24"/>
          <w:szCs w:val="24"/>
        </w:rPr>
        <w:t>Рост тарифов на электрическую энергию для населения с 01.07.2016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742CE">
        <w:rPr>
          <w:rFonts w:ascii="Times New Roman" w:hAnsi="Times New Roman" w:cs="Times New Roman"/>
          <w:b w:val="0"/>
          <w:bCs w:val="0"/>
          <w:sz w:val="24"/>
          <w:szCs w:val="24"/>
        </w:rPr>
        <w:t>г. составил:</w:t>
      </w:r>
    </w:p>
    <w:p w:rsidR="00A50BA4" w:rsidRPr="002742CE" w:rsidRDefault="00A50BA4" w:rsidP="0006581E">
      <w:pPr>
        <w:pStyle w:val="ConsPlusTitle"/>
        <w:spacing w:line="276" w:lineRule="auto"/>
        <w:ind w:right="-2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42CE">
        <w:rPr>
          <w:rFonts w:ascii="Times New Roman" w:hAnsi="Times New Roman" w:cs="Times New Roman"/>
          <w:b w:val="0"/>
          <w:bCs w:val="0"/>
          <w:sz w:val="24"/>
          <w:szCs w:val="24"/>
        </w:rPr>
        <w:t>- одноставочный тариф – 6,7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742CE">
        <w:rPr>
          <w:rFonts w:ascii="Times New Roman" w:hAnsi="Times New Roman" w:cs="Times New Roman"/>
          <w:b w:val="0"/>
          <w:bCs w:val="0"/>
          <w:sz w:val="24"/>
          <w:szCs w:val="24"/>
        </w:rPr>
        <w:t>%;</w:t>
      </w:r>
    </w:p>
    <w:p w:rsidR="00A50BA4" w:rsidRPr="002742CE" w:rsidRDefault="00A50BA4" w:rsidP="0006581E">
      <w:pPr>
        <w:pStyle w:val="ConsPlusTitle"/>
        <w:spacing w:line="276" w:lineRule="auto"/>
        <w:ind w:right="-2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42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одноставочный тариф, дифференцированный по двум зонам суток – 9,8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742CE">
        <w:rPr>
          <w:rFonts w:ascii="Times New Roman" w:hAnsi="Times New Roman" w:cs="Times New Roman"/>
          <w:b w:val="0"/>
          <w:bCs w:val="0"/>
          <w:sz w:val="24"/>
          <w:szCs w:val="24"/>
        </w:rPr>
        <w:t>%.</w:t>
      </w:r>
    </w:p>
    <w:p w:rsidR="00A50BA4" w:rsidRDefault="00A50BA4" w:rsidP="0006581E">
      <w:pPr>
        <w:pStyle w:val="ConsPlusTitle"/>
        <w:spacing w:line="276" w:lineRule="auto"/>
        <w:ind w:right="-2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42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Рост тарифов на газ природный, реализуемый населению Самарской области, с 01.07.2016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</w:t>
      </w:r>
      <w:r w:rsidRPr="002742CE">
        <w:rPr>
          <w:rFonts w:ascii="Times New Roman" w:hAnsi="Times New Roman" w:cs="Times New Roman"/>
          <w:b w:val="0"/>
          <w:bCs w:val="0"/>
          <w:sz w:val="24"/>
          <w:szCs w:val="24"/>
        </w:rPr>
        <w:t>составил 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742CE">
        <w:rPr>
          <w:rFonts w:ascii="Times New Roman" w:hAnsi="Times New Roman" w:cs="Times New Roman"/>
          <w:b w:val="0"/>
          <w:bCs w:val="0"/>
          <w:sz w:val="24"/>
          <w:szCs w:val="24"/>
        </w:rPr>
        <w:t>%.</w:t>
      </w:r>
    </w:p>
    <w:p w:rsidR="00A50BA4" w:rsidRPr="002742CE" w:rsidRDefault="00A50BA4" w:rsidP="0006581E">
      <w:pPr>
        <w:pStyle w:val="ConsPlusTitle"/>
        <w:spacing w:line="276" w:lineRule="auto"/>
        <w:ind w:right="-2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42CE">
        <w:rPr>
          <w:rFonts w:ascii="Times New Roman" w:hAnsi="Times New Roman" w:cs="Times New Roman"/>
          <w:b w:val="0"/>
          <w:bCs w:val="0"/>
          <w:sz w:val="24"/>
          <w:szCs w:val="24"/>
        </w:rPr>
        <w:t>Рост тарифов по содержанию жилых помещений для нанимателей муниципального жилищного фонда с 01.01.2016 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2742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степени благоустройства не превысил 4,8 % (без учета влияния субсидий на утилизацию твердых бытовых отходов).</w:t>
      </w:r>
    </w:p>
    <w:p w:rsidR="00A50BA4" w:rsidRPr="002742CE" w:rsidRDefault="00A50BA4" w:rsidP="0006581E">
      <w:pPr>
        <w:pStyle w:val="1f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CE">
        <w:rPr>
          <w:rFonts w:ascii="Times New Roman" w:hAnsi="Times New Roman" w:cs="Times New Roman"/>
          <w:sz w:val="24"/>
          <w:szCs w:val="24"/>
        </w:rPr>
        <w:lastRenderedPageBreak/>
        <w:t>Постановлением мэрии городского округа Тольятти от 22.12.2015г. № 4132-п/1 установлены следующие тарифы за проезд пассажиров и провоз багажа в транспорте общего пользования при осуществлении муниципальными предприятиями регулярных перевозок на 2016 год:</w:t>
      </w:r>
    </w:p>
    <w:p w:rsidR="00A50BA4" w:rsidRPr="002742CE" w:rsidRDefault="00A50BA4" w:rsidP="0006581E">
      <w:pPr>
        <w:pStyle w:val="1f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CE">
        <w:rPr>
          <w:rFonts w:ascii="Times New Roman" w:hAnsi="Times New Roman" w:cs="Times New Roman"/>
          <w:sz w:val="24"/>
          <w:szCs w:val="24"/>
        </w:rPr>
        <w:t>- тариф за проезд пассажиров за наличную оплату в размере 25 рублей;</w:t>
      </w:r>
    </w:p>
    <w:p w:rsidR="00A50BA4" w:rsidRPr="002742CE" w:rsidRDefault="00A50BA4" w:rsidP="0006581E">
      <w:pPr>
        <w:pStyle w:val="1f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CE">
        <w:rPr>
          <w:rFonts w:ascii="Times New Roman" w:hAnsi="Times New Roman" w:cs="Times New Roman"/>
          <w:sz w:val="24"/>
          <w:szCs w:val="24"/>
        </w:rPr>
        <w:t>- тариф за проезд пассажиров за безналичную оплату с использованием автоматизированной системы учета в размере 23 рубля;</w:t>
      </w:r>
    </w:p>
    <w:p w:rsidR="00A50BA4" w:rsidRPr="002742CE" w:rsidRDefault="00A50BA4" w:rsidP="0006581E">
      <w:pPr>
        <w:pStyle w:val="1f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CE">
        <w:rPr>
          <w:rFonts w:ascii="Times New Roman" w:hAnsi="Times New Roman" w:cs="Times New Roman"/>
          <w:sz w:val="24"/>
          <w:szCs w:val="24"/>
        </w:rPr>
        <w:t>- стоимость льготного электронного проездного билета на месяц на два вида транспорта (автобус, троллейбус) для студентов ВУЗов (дневных отделений) с использованием автоматизированной системы учета и безналичной оплаты проезда в размере 840 рублей;</w:t>
      </w:r>
    </w:p>
    <w:p w:rsidR="00A50BA4" w:rsidRPr="002742CE" w:rsidRDefault="00A50BA4" w:rsidP="0006581E">
      <w:pPr>
        <w:pStyle w:val="1f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CE">
        <w:rPr>
          <w:rFonts w:ascii="Times New Roman" w:hAnsi="Times New Roman" w:cs="Times New Roman"/>
          <w:sz w:val="24"/>
          <w:szCs w:val="24"/>
        </w:rPr>
        <w:t>- стоимость льготного электронного проездного билета на месяц на два вида транспорта (автобус, троллейбус) для учащихся колледжей (техникумов), технических лицеев (училищ), школ, гимназий с использованием автоматизированной системы учета и безналичной оплаты проезда в размере 600 рублей;</w:t>
      </w:r>
    </w:p>
    <w:p w:rsidR="00A50BA4" w:rsidRPr="002742CE" w:rsidRDefault="00A50BA4" w:rsidP="0006581E">
      <w:pPr>
        <w:pStyle w:val="1f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CE">
        <w:rPr>
          <w:rFonts w:ascii="Times New Roman" w:hAnsi="Times New Roman" w:cs="Times New Roman"/>
          <w:sz w:val="24"/>
          <w:szCs w:val="24"/>
        </w:rPr>
        <w:t>- стоимость электронного проездного билета на два вида транспорта (автобус, троллейбус) с использованием автоматизированной системы учета и безналичной оплаты проезда в размере 1 000 рублей.</w:t>
      </w:r>
    </w:p>
    <w:p w:rsidR="00A50BA4" w:rsidRPr="00A44276" w:rsidRDefault="00A50BA4" w:rsidP="00736025">
      <w:pPr>
        <w:pStyle w:val="1f"/>
        <w:spacing w:line="276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50BA4" w:rsidRPr="002B5024" w:rsidRDefault="00A50BA4" w:rsidP="00AD29B1">
      <w:pPr>
        <w:pStyle w:val="1f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24">
        <w:rPr>
          <w:rFonts w:ascii="Times New Roman" w:hAnsi="Times New Roman" w:cs="Times New Roman"/>
          <w:b/>
          <w:sz w:val="24"/>
          <w:szCs w:val="24"/>
        </w:rPr>
        <w:t xml:space="preserve">Промышленное производство </w:t>
      </w:r>
    </w:p>
    <w:p w:rsidR="00A50BA4" w:rsidRDefault="00A50BA4" w:rsidP="00AD29B1">
      <w:pPr>
        <w:pStyle w:val="1f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24">
        <w:rPr>
          <w:rFonts w:ascii="Times New Roman" w:hAnsi="Times New Roman" w:cs="Times New Roman"/>
          <w:b/>
          <w:sz w:val="24"/>
          <w:szCs w:val="24"/>
        </w:rPr>
        <w:t>(обрабатывающие производства, производство и распределение электроэнергии, газа и воды)</w:t>
      </w:r>
    </w:p>
    <w:p w:rsidR="00A50BA4" w:rsidRPr="002B5024" w:rsidRDefault="00A50BA4" w:rsidP="00AD29B1">
      <w:pPr>
        <w:pStyle w:val="1f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BA4" w:rsidRPr="00A423B6" w:rsidRDefault="00A50BA4" w:rsidP="00A423B6">
      <w:pPr>
        <w:pStyle w:val="38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3B6">
        <w:rPr>
          <w:rFonts w:ascii="Times New Roman" w:hAnsi="Times New Roman" w:cs="Times New Roman"/>
          <w:sz w:val="24"/>
          <w:szCs w:val="24"/>
        </w:rPr>
        <w:t>Промышленность</w:t>
      </w:r>
      <w:bookmarkStart w:id="0" w:name="промышлен"/>
      <w:bookmarkEnd w:id="0"/>
      <w:r w:rsidRPr="00A423B6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представляет собой многоотраслевой комплекс, в структуре которого преобладает обрабатывающий сектор. В городск</w:t>
      </w:r>
      <w:r>
        <w:rPr>
          <w:rFonts w:ascii="Times New Roman" w:hAnsi="Times New Roman" w:cs="Times New Roman"/>
          <w:sz w:val="24"/>
          <w:szCs w:val="24"/>
        </w:rPr>
        <w:t>ом округе насчитывается около 1</w:t>
      </w:r>
      <w:r w:rsidRPr="00A93572">
        <w:rPr>
          <w:rFonts w:ascii="Times New Roman" w:hAnsi="Times New Roman" w:cs="Times New Roman"/>
          <w:sz w:val="24"/>
          <w:szCs w:val="24"/>
        </w:rPr>
        <w:t>0</w:t>
      </w:r>
      <w:r w:rsidRPr="00A423B6">
        <w:rPr>
          <w:rFonts w:ascii="Times New Roman" w:hAnsi="Times New Roman" w:cs="Times New Roman"/>
          <w:sz w:val="24"/>
          <w:szCs w:val="24"/>
        </w:rPr>
        <w:t>0 крупных и средних промышленных организаций.</w:t>
      </w:r>
    </w:p>
    <w:p w:rsidR="00A50BA4" w:rsidRPr="00A423B6" w:rsidRDefault="00A50BA4" w:rsidP="00A423B6">
      <w:pPr>
        <w:pStyle w:val="38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3B6">
        <w:rPr>
          <w:rFonts w:ascii="Times New Roman" w:hAnsi="Times New Roman" w:cs="Times New Roman"/>
          <w:sz w:val="24"/>
          <w:szCs w:val="24"/>
        </w:rPr>
        <w:t xml:space="preserve">В 1 полугодии 2016 года в городском округе Тольятти наблюдался спад промышленного производства к уровню соответствующего периода прошлого года. Так, индекс производства по отношению к 1 полугодию 2015 года составил  82,4 %, в том числе по обрабатывающим производствам – 82,5 %, в производстве и распределении электроэнергии, газа и воды – 81,0 %. </w:t>
      </w:r>
    </w:p>
    <w:p w:rsidR="00A50BA4" w:rsidRPr="0006581E" w:rsidRDefault="00A50BA4" w:rsidP="00A423B6">
      <w:pPr>
        <w:pStyle w:val="38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1E">
        <w:rPr>
          <w:rFonts w:ascii="Times New Roman" w:hAnsi="Times New Roman" w:cs="Times New Roman"/>
          <w:sz w:val="24"/>
          <w:szCs w:val="24"/>
        </w:rPr>
        <w:t xml:space="preserve">Объем отгруженной промышленной продукции в 1 полугодии 2016 года сократился на 1,7 % в сравнении с соответствующим периодом прошлого года и составил 193 156,9 млн. руб. </w:t>
      </w:r>
    </w:p>
    <w:p w:rsidR="00A50BA4" w:rsidRPr="0006581E" w:rsidRDefault="00A50BA4" w:rsidP="00A423B6">
      <w:pPr>
        <w:pStyle w:val="38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1E">
        <w:rPr>
          <w:rFonts w:ascii="Times New Roman" w:hAnsi="Times New Roman" w:cs="Times New Roman"/>
          <w:sz w:val="24"/>
          <w:szCs w:val="24"/>
        </w:rPr>
        <w:t>Падение объемов производства промышленной продукции обусловлено, в первую очередь, результатами деятельности предприятий автомобилестроительного сектора, доля которого в промышленности городского округа по-прежнему значительна (57,1 %).</w:t>
      </w:r>
    </w:p>
    <w:p w:rsidR="00A50BA4" w:rsidRPr="0006581E" w:rsidRDefault="00A50BA4" w:rsidP="00A423B6">
      <w:pPr>
        <w:pStyle w:val="3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81E">
        <w:rPr>
          <w:rFonts w:ascii="Times New Roman" w:hAnsi="Times New Roman" w:cs="Times New Roman"/>
          <w:color w:val="000000"/>
          <w:sz w:val="24"/>
          <w:szCs w:val="24"/>
        </w:rPr>
        <w:t xml:space="preserve">В январе-июне 2016 года производство транспортных средств и оборудования в городском округе Тольятти снизилось на 32,2 % к соответствующему периоду прошлого года. </w:t>
      </w:r>
    </w:p>
    <w:p w:rsidR="00A50BA4" w:rsidRPr="0006581E" w:rsidRDefault="00A50BA4" w:rsidP="00A423B6">
      <w:pPr>
        <w:pStyle w:val="3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81E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Произведено 147,7  тыс. легковых автомобилей, из них на долю ОАО «АВТОВАЗ» пришлось около 90 %. Выпуск автомобилей LADA снизился в отчетном периоде в 1,8 раза, а контрактная сборка автомобилей альянса «Renault-Nissan» </w:t>
      </w:r>
      <w:hyperlink r:id="rId8" w:tgtFrame="_blank" w:history="1">
        <w:r w:rsidRPr="0006581E">
          <w:rPr>
            <w:rFonts w:ascii="Times New Roman" w:hAnsi="Times New Roman" w:cs="Times New Roman"/>
            <w:color w:val="000000"/>
            <w:sz w:val="24"/>
            <w:szCs w:val="24"/>
          </w:rPr>
          <w:t>-</w:t>
        </w:r>
      </w:hyperlink>
      <w:r w:rsidRPr="0006581E">
        <w:rPr>
          <w:rFonts w:ascii="Times New Roman" w:hAnsi="Times New Roman" w:cs="Times New Roman"/>
          <w:color w:val="000000"/>
          <w:sz w:val="24"/>
          <w:szCs w:val="24"/>
        </w:rPr>
        <w:t xml:space="preserve"> на 21,3 %. </w:t>
      </w:r>
    </w:p>
    <w:p w:rsidR="00191994" w:rsidRDefault="00A50BA4" w:rsidP="00A423B6">
      <w:pPr>
        <w:pStyle w:val="aff1"/>
        <w:spacing w:line="276" w:lineRule="auto"/>
        <w:rPr>
          <w:color w:val="000000"/>
          <w:sz w:val="24"/>
          <w:szCs w:val="24"/>
        </w:rPr>
      </w:pPr>
      <w:r w:rsidRPr="00676FE1">
        <w:rPr>
          <w:sz w:val="24"/>
          <w:szCs w:val="24"/>
        </w:rPr>
        <w:t xml:space="preserve">При этом, объем отгруженной продукции в автомобилестроении в 1 полугодии </w:t>
      </w:r>
      <w:r w:rsidRPr="00676FE1">
        <w:rPr>
          <w:sz w:val="24"/>
          <w:szCs w:val="24"/>
        </w:rPr>
        <w:lastRenderedPageBreak/>
        <w:t>2016 года сократился</w:t>
      </w:r>
      <w:r w:rsidRPr="0006581E">
        <w:rPr>
          <w:sz w:val="24"/>
          <w:szCs w:val="24"/>
        </w:rPr>
        <w:t xml:space="preserve"> не столь значительно, как производство - на 2,5 % к уровню 1 полугодия 2015 года до 110 285,7 млн. руб.</w:t>
      </w:r>
      <w:r w:rsidR="005077F7">
        <w:rPr>
          <w:sz w:val="24"/>
          <w:szCs w:val="24"/>
        </w:rPr>
        <w:t xml:space="preserve"> </w:t>
      </w:r>
    </w:p>
    <w:p w:rsidR="00A50BA4" w:rsidRPr="0006581E" w:rsidRDefault="005077F7" w:rsidP="00A423B6">
      <w:pPr>
        <w:pStyle w:val="aff1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A50BA4" w:rsidRPr="0006581E">
        <w:rPr>
          <w:color w:val="000000"/>
          <w:sz w:val="24"/>
          <w:szCs w:val="24"/>
        </w:rPr>
        <w:t xml:space="preserve">а период с июля 2015 года по июнь 2016 года ОАО «АВТОВАЗ» 4 раза корректировал розничные цены на легковые автомобили в сторону увеличения: в августе и сентябре 2015 года, в феврале и мае 2016 года. Суммарное повышение ряда комплектаций составило около 12 %; </w:t>
      </w:r>
    </w:p>
    <w:p w:rsidR="00A50BA4" w:rsidRPr="0006581E" w:rsidRDefault="005077F7" w:rsidP="00A423B6">
      <w:pPr>
        <w:pStyle w:val="aff1"/>
        <w:spacing w:line="276" w:lineRule="auto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871DDD">
        <w:rPr>
          <w:color w:val="000000"/>
          <w:sz w:val="24"/>
          <w:szCs w:val="24"/>
        </w:rPr>
        <w:t xml:space="preserve"> текущем году отмечено </w:t>
      </w:r>
      <w:r w:rsidR="00A50BA4" w:rsidRPr="0006581E">
        <w:rPr>
          <w:color w:val="000000"/>
          <w:sz w:val="24"/>
          <w:szCs w:val="24"/>
        </w:rPr>
        <w:t>увеличение доли продаж более дорогих автомобилей производства ОАО «АВТОВАЗ» (продажи бюджетных автомобилей старого модельного ряда серьезно упали – от 30 до 50 %, в то время как более дорогостоящие новинки Lada показывают стабильный уровень продаж).</w:t>
      </w:r>
    </w:p>
    <w:p w:rsidR="00A50BA4" w:rsidRPr="0006581E" w:rsidRDefault="00871DDD" w:rsidP="00A423B6">
      <w:pPr>
        <w:pStyle w:val="aff1"/>
        <w:spacing w:line="276" w:lineRule="auto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06581E">
        <w:rPr>
          <w:color w:val="000000"/>
          <w:sz w:val="24"/>
          <w:szCs w:val="24"/>
        </w:rPr>
        <w:t xml:space="preserve">а совместном предприятии </w:t>
      </w:r>
      <w:r w:rsidRPr="0006581E">
        <w:rPr>
          <w:sz w:val="24"/>
          <w:szCs w:val="24"/>
        </w:rPr>
        <w:t>ЗАО «GM-АВТОВАЗ»</w:t>
      </w:r>
      <w:r>
        <w:rPr>
          <w:sz w:val="24"/>
          <w:szCs w:val="24"/>
        </w:rPr>
        <w:t xml:space="preserve"> в</w:t>
      </w:r>
      <w:r w:rsidR="00A50BA4" w:rsidRPr="0006581E">
        <w:rPr>
          <w:color w:val="000000"/>
          <w:sz w:val="24"/>
          <w:szCs w:val="24"/>
        </w:rPr>
        <w:t xml:space="preserve"> 1 полугодии 2016 года </w:t>
      </w:r>
      <w:r>
        <w:rPr>
          <w:color w:val="000000"/>
          <w:sz w:val="24"/>
          <w:szCs w:val="24"/>
        </w:rPr>
        <w:t xml:space="preserve">также наблюдалось снижение </w:t>
      </w:r>
      <w:r w:rsidR="00A50BA4" w:rsidRPr="0006581E">
        <w:rPr>
          <w:color w:val="000000"/>
          <w:sz w:val="24"/>
          <w:szCs w:val="24"/>
        </w:rPr>
        <w:t>производств</w:t>
      </w:r>
      <w:r>
        <w:rPr>
          <w:color w:val="000000"/>
          <w:sz w:val="24"/>
          <w:szCs w:val="24"/>
        </w:rPr>
        <w:t>а</w:t>
      </w:r>
      <w:r w:rsidR="00A50BA4" w:rsidRPr="0006581E">
        <w:rPr>
          <w:color w:val="000000"/>
          <w:sz w:val="24"/>
          <w:szCs w:val="24"/>
        </w:rPr>
        <w:t xml:space="preserve"> Chevrolet Niva.</w:t>
      </w:r>
    </w:p>
    <w:p w:rsidR="00A50BA4" w:rsidRPr="0006581E" w:rsidRDefault="00A50BA4" w:rsidP="00A423B6">
      <w:pPr>
        <w:pStyle w:val="aff1"/>
        <w:spacing w:line="276" w:lineRule="auto"/>
        <w:ind w:firstLine="720"/>
        <w:rPr>
          <w:sz w:val="24"/>
          <w:szCs w:val="24"/>
        </w:rPr>
      </w:pPr>
      <w:r w:rsidRPr="0006581E">
        <w:rPr>
          <w:sz w:val="24"/>
          <w:szCs w:val="24"/>
        </w:rPr>
        <w:t xml:space="preserve">Помимо ОАО «АВТОВАЗ» и ЗАО «GM-АВТОВАЗ» в автомобилестроительный кластер входит значительное число организаций городского округа Тольятти, производящих </w:t>
      </w:r>
      <w:r w:rsidR="00191994">
        <w:rPr>
          <w:sz w:val="24"/>
          <w:szCs w:val="24"/>
        </w:rPr>
        <w:t>автомобильную продукцию</w:t>
      </w:r>
      <w:r w:rsidRPr="0006581E">
        <w:rPr>
          <w:sz w:val="24"/>
          <w:szCs w:val="24"/>
        </w:rPr>
        <w:t xml:space="preserve">, а также оказывающих услуги. Производство частей и принадлежностей автомобилей  в 1 полугодии 2016 года снизилось к аналогичному периоду прошлого года на 11,8 %. </w:t>
      </w:r>
    </w:p>
    <w:p w:rsidR="00A50BA4" w:rsidRPr="0006581E" w:rsidRDefault="00A50BA4" w:rsidP="00A423B6">
      <w:pPr>
        <w:pStyle w:val="aff1"/>
        <w:spacing w:line="276" w:lineRule="auto"/>
        <w:ind w:firstLine="720"/>
        <w:rPr>
          <w:sz w:val="24"/>
          <w:szCs w:val="24"/>
        </w:rPr>
      </w:pPr>
      <w:r w:rsidRPr="0006581E">
        <w:rPr>
          <w:sz w:val="24"/>
          <w:szCs w:val="24"/>
        </w:rPr>
        <w:t>В химической промышленности, удельный вес которой в 1 полугодии 2016 года составил 27,7 %, объем отгруженной продукции увеличился на 1,3 % к 1 полугодию 2015 года до 53 454,3 млн. руб. В текущем году на экспортно ориентированных химических предприятиях города наблюдается замедление темпов роста объемов реализации продукции за счет эффекта «высокой базы» 2015 года. По итогам 6 месяцев прирост производства в химии (на 5,8 %) обеспечен увеличением выпуска следующих видов продукции: минеральных удобрений (на 18,8 %), аммиака (на 7,9 %), азота (на 6,2 %).</w:t>
      </w:r>
    </w:p>
    <w:p w:rsidR="00A50BA4" w:rsidRPr="0006581E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 w:rsidRPr="0006581E">
        <w:rPr>
          <w:sz w:val="24"/>
          <w:szCs w:val="24"/>
        </w:rPr>
        <w:t>Производство и распределение электроэнергии, газа и воды снизилось на 19 %, что обусловлено снижением выпуска электроэнергии (на 12 %) и тепловой энергии (на 6,9 %).</w:t>
      </w:r>
    </w:p>
    <w:p w:rsidR="00A50BA4" w:rsidRPr="0006581E" w:rsidRDefault="00A50BA4" w:rsidP="00A423B6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1E">
        <w:rPr>
          <w:color w:val="000000"/>
          <w:sz w:val="24"/>
          <w:szCs w:val="24"/>
        </w:rPr>
        <w:t>Падение объемов промышленного производства в 1 полугодии 2016 года также наблюдал</w:t>
      </w:r>
      <w:r>
        <w:rPr>
          <w:color w:val="000000"/>
          <w:sz w:val="24"/>
          <w:szCs w:val="24"/>
        </w:rPr>
        <w:t>о</w:t>
      </w:r>
      <w:r w:rsidRPr="0006581E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ь</w:t>
      </w:r>
      <w:r w:rsidRPr="0006581E">
        <w:rPr>
          <w:color w:val="000000"/>
          <w:sz w:val="24"/>
          <w:szCs w:val="24"/>
        </w:rPr>
        <w:t xml:space="preserve"> в: целлюлозно-бумажном производстве (индекс производства – 45,3 %), производстве электрооборудования (индекс производства – 56,9 %), текстильном и швейном производстве (индекс производства -  64,0 %), металлургическом производстве и производстве готовых металлических изделий (индекс производства – 73,7 %), производстве прочих неметаллических минеральных продуктов (индекс производства -  74,1 %), прочих производствах (индекс производства – 92,6 %), производстве резиновых и пластмассовых изделий (индекс производства – 93,9 %). </w:t>
      </w:r>
    </w:p>
    <w:p w:rsidR="00A50BA4" w:rsidRPr="0006581E" w:rsidRDefault="00A50BA4" w:rsidP="00A423B6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1E">
        <w:rPr>
          <w:color w:val="000000"/>
          <w:sz w:val="24"/>
          <w:szCs w:val="24"/>
        </w:rPr>
        <w:t xml:space="preserve">Позитивный вклад в промышленность в январе-июне 2016 года внесли: производство машин и оборудования (индекс производства – 113,2 %) и производство пищевых продуктов (индекс производства – 109,3 %). </w:t>
      </w:r>
    </w:p>
    <w:p w:rsidR="00A50BA4" w:rsidRPr="0006581E" w:rsidRDefault="00A50BA4" w:rsidP="00A423B6">
      <w:pPr>
        <w:pStyle w:val="38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1E">
        <w:rPr>
          <w:rFonts w:ascii="Times New Roman" w:hAnsi="Times New Roman" w:cs="Times New Roman"/>
          <w:sz w:val="24"/>
          <w:szCs w:val="24"/>
        </w:rPr>
        <w:t xml:space="preserve">Во втором полугодии 2016 года в городском округе Тольятти </w:t>
      </w:r>
      <w:r w:rsidR="00191994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Pr="0006581E">
        <w:rPr>
          <w:rFonts w:ascii="Times New Roman" w:hAnsi="Times New Roman" w:cs="Times New Roman"/>
          <w:sz w:val="24"/>
          <w:szCs w:val="24"/>
        </w:rPr>
        <w:t>промышленно</w:t>
      </w:r>
      <w:r w:rsidR="00191994">
        <w:rPr>
          <w:rFonts w:ascii="Times New Roman" w:hAnsi="Times New Roman" w:cs="Times New Roman"/>
          <w:sz w:val="24"/>
          <w:szCs w:val="24"/>
        </w:rPr>
        <w:t>го</w:t>
      </w:r>
      <w:r w:rsidRPr="0006581E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191994">
        <w:rPr>
          <w:rFonts w:ascii="Times New Roman" w:hAnsi="Times New Roman" w:cs="Times New Roman"/>
          <w:sz w:val="24"/>
          <w:szCs w:val="24"/>
        </w:rPr>
        <w:t>а</w:t>
      </w:r>
      <w:r w:rsidRPr="0006581E">
        <w:rPr>
          <w:rFonts w:ascii="Times New Roman" w:hAnsi="Times New Roman" w:cs="Times New Roman"/>
          <w:sz w:val="24"/>
          <w:szCs w:val="24"/>
        </w:rPr>
        <w:t xml:space="preserve"> </w:t>
      </w:r>
      <w:r w:rsidR="00191994">
        <w:rPr>
          <w:rFonts w:ascii="Times New Roman" w:hAnsi="Times New Roman" w:cs="Times New Roman"/>
          <w:sz w:val="24"/>
          <w:szCs w:val="24"/>
        </w:rPr>
        <w:t>по-прежнему отрицательная</w:t>
      </w:r>
      <w:r w:rsidRPr="0006581E">
        <w:rPr>
          <w:rFonts w:ascii="Times New Roman" w:hAnsi="Times New Roman" w:cs="Times New Roman"/>
          <w:sz w:val="24"/>
          <w:szCs w:val="24"/>
        </w:rPr>
        <w:t xml:space="preserve">. Так, в июле текущего года индекс производства составил 83,1 %, в августе – 85,7 %. </w:t>
      </w:r>
    </w:p>
    <w:p w:rsidR="00A50BA4" w:rsidRPr="0006581E" w:rsidRDefault="00A50BA4" w:rsidP="00A423B6">
      <w:pPr>
        <w:pStyle w:val="38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1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В связи с введением </w:t>
      </w:r>
      <w:r w:rsidRPr="0006581E">
        <w:rPr>
          <w:rFonts w:ascii="Times New Roman" w:hAnsi="Times New Roman" w:cs="Times New Roman"/>
          <w:sz w:val="24"/>
          <w:szCs w:val="24"/>
        </w:rPr>
        <w:t xml:space="preserve"> четырехдневного режима работы с февраля по август 2016 года и режима простоя в сентябре 2016 года на ОАО «АВТОВАЗ», остановками производства на ОАО «АВТОВАЗ» и ЗАО «GM-АВТОВАЗ» на время  единого корпоративного отпуска в период с 25 июля по 14 августа 2016 года, </w:t>
      </w:r>
      <w:r w:rsidRPr="0006581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объемы производства в автомобилестроении в июле 2016 года сокращены на 30,7 %, в августе – на 26,8 %.</w:t>
      </w:r>
      <w:r w:rsidRPr="000658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BA4" w:rsidRPr="0006581E" w:rsidRDefault="00A50BA4" w:rsidP="00A423B6">
      <w:pPr>
        <w:pStyle w:val="38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1E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общее падение продаж автомобилей производства ОАО «АВТОВАЗ», в 1 полугодии 2016 года доля Lada на российском рынке легковых автомобилей составила 19,8 % против 19 % января-июня 2015 года, а новые модели автозавода удерживают лидирующие позиции на российском авторынке по итогам продаж 1 полугодия. Так, Lada XRay вошел в ТОП-25 российского авторынка (производство запущено в 2015 году на сборочной площадке в Тольятти; продажи кроссовера на российском рынке начались в феврале 2016 года), Lada Vesta – в ТОП-5 (производство запущено в 2015 году на сборочной площадке в Ижевске; продажи на российском рынке начались в конце 2015 года).     </w:t>
      </w:r>
    </w:p>
    <w:p w:rsidR="00A50BA4" w:rsidRPr="0006581E" w:rsidRDefault="00A50BA4" w:rsidP="00A423B6">
      <w:pPr>
        <w:pStyle w:val="Default"/>
        <w:spacing w:line="276" w:lineRule="auto"/>
        <w:ind w:firstLine="709"/>
        <w:jc w:val="both"/>
      </w:pPr>
      <w:r w:rsidRPr="0006581E">
        <w:t xml:space="preserve">В сентябре 2016 года, в связи с изменением спроса на автомобильную продукцию, ОАО «АВТОВАЗ» объявило о введении с 3 октября по 25 ноября десятичасового рабочего дня на линии В0, где собирают LADA Largus, </w:t>
      </w:r>
      <w:r w:rsidRPr="0006581E">
        <w:rPr>
          <w:lang w:val="en-US"/>
        </w:rPr>
        <w:t>Lada</w:t>
      </w:r>
      <w:r w:rsidRPr="0006581E">
        <w:t xml:space="preserve"> XRay и автомобили альянса </w:t>
      </w:r>
      <w:r w:rsidRPr="0006581E">
        <w:rPr>
          <w:lang w:val="en-US"/>
        </w:rPr>
        <w:t>Renault</w:t>
      </w:r>
      <w:r w:rsidRPr="0006581E">
        <w:t>-</w:t>
      </w:r>
      <w:r w:rsidRPr="0006581E">
        <w:rPr>
          <w:lang w:val="en-US"/>
        </w:rPr>
        <w:t>Nissan</w:t>
      </w:r>
      <w:r w:rsidRPr="0006581E">
        <w:t xml:space="preserve">, в то время как остальные производства на тольяттинской площадке с 17 октября по 19 февраля 2017 года будут работать в режиме четырехдневной рабочей недели. </w:t>
      </w:r>
    </w:p>
    <w:p w:rsidR="00A50BA4" w:rsidRPr="0006581E" w:rsidRDefault="00191994" w:rsidP="00A423B6">
      <w:pPr>
        <w:pStyle w:val="Default"/>
        <w:spacing w:line="276" w:lineRule="auto"/>
        <w:ind w:firstLine="709"/>
        <w:jc w:val="both"/>
      </w:pPr>
      <w:r>
        <w:t>Таким образом,</w:t>
      </w:r>
      <w:r w:rsidR="00A50BA4" w:rsidRPr="0006581E">
        <w:t xml:space="preserve"> по итогам 2016 года ожидается сокращение объемов производства и реализации продукции в автомобилестроении к уровню 2015 года. Производство легковых автомобилей в городском округе Тольятти, по оценке, снизится на 26,8 % к 2015 году до 287 тыс. штук (в 2015 году произведено 391,9 тыс. штук). Благодаря ценовой составляющей, объем отгруженной продукции в производстве транспортных средств и оборудования по итогам 2016 года увеличится на 0,5 % к прошлому году до 218 384,6 млн. руб.</w:t>
      </w:r>
    </w:p>
    <w:p w:rsidR="00A50BA4" w:rsidRPr="0006581E" w:rsidRDefault="00A50BA4" w:rsidP="00A423B6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6581E">
        <w:rPr>
          <w:bCs/>
          <w:sz w:val="24"/>
          <w:szCs w:val="24"/>
        </w:rPr>
        <w:t>В условиях сложившейся макроэкономической ситуации о</w:t>
      </w:r>
      <w:r w:rsidRPr="0006581E">
        <w:rPr>
          <w:sz w:val="24"/>
          <w:szCs w:val="24"/>
        </w:rPr>
        <w:t>бъем реализации химической продукции по городскому округу за</w:t>
      </w:r>
      <w:r>
        <w:rPr>
          <w:sz w:val="24"/>
          <w:szCs w:val="24"/>
        </w:rPr>
        <w:t xml:space="preserve"> 2016 год оценочно составит 109 </w:t>
      </w:r>
      <w:r w:rsidRPr="0006581E">
        <w:rPr>
          <w:sz w:val="24"/>
          <w:szCs w:val="24"/>
        </w:rPr>
        <w:t>0</w:t>
      </w:r>
      <w:r w:rsidRPr="00A93572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Pr="00A93572">
        <w:rPr>
          <w:sz w:val="24"/>
          <w:szCs w:val="24"/>
        </w:rPr>
        <w:t>,1</w:t>
      </w:r>
      <w:r w:rsidRPr="0006581E">
        <w:rPr>
          <w:sz w:val="24"/>
          <w:szCs w:val="24"/>
        </w:rPr>
        <w:t xml:space="preserve"> мл</w:t>
      </w:r>
      <w:r w:rsidRPr="00396FCA">
        <w:rPr>
          <w:sz w:val="24"/>
          <w:szCs w:val="24"/>
        </w:rPr>
        <w:t>н</w:t>
      </w:r>
      <w:r w:rsidRPr="0006581E">
        <w:rPr>
          <w:sz w:val="24"/>
          <w:szCs w:val="24"/>
        </w:rPr>
        <w:t>. руб., что на 2 % ниже, чем в 2015 году (индекс производства 104,0 %).</w:t>
      </w:r>
    </w:p>
    <w:p w:rsidR="00A50BA4" w:rsidRPr="0006581E" w:rsidRDefault="00A50BA4" w:rsidP="00A423B6">
      <w:pPr>
        <w:widowControl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06581E">
        <w:rPr>
          <w:bCs/>
          <w:sz w:val="24"/>
          <w:szCs w:val="24"/>
        </w:rPr>
        <w:t xml:space="preserve">Снижение производства в 2016 году к 2015 году будут демонстрировать: </w:t>
      </w:r>
    </w:p>
    <w:p w:rsidR="00A50BA4" w:rsidRPr="0006581E" w:rsidRDefault="00A50BA4" w:rsidP="00A423B6">
      <w:pPr>
        <w:widowControl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06581E">
        <w:rPr>
          <w:bCs/>
          <w:sz w:val="24"/>
          <w:szCs w:val="24"/>
        </w:rPr>
        <w:t>- текстильное и швейное производство (индекс производства – 79,7 %). Объем отгруженной продукции – 1 150,9 млн. руб.;</w:t>
      </w:r>
    </w:p>
    <w:p w:rsidR="00A50BA4" w:rsidRPr="0006581E" w:rsidRDefault="00A50BA4" w:rsidP="00A423B6">
      <w:pPr>
        <w:pStyle w:val="38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1E">
        <w:rPr>
          <w:rFonts w:ascii="Times New Roman" w:hAnsi="Times New Roman" w:cs="Times New Roman"/>
          <w:sz w:val="24"/>
          <w:szCs w:val="24"/>
        </w:rPr>
        <w:t>- целлюлозно-бумажное производство (индекс производства – 82,8 %). Объем отгруженной продукции – 209,6 млн. руб.;</w:t>
      </w:r>
    </w:p>
    <w:p w:rsidR="00A50BA4" w:rsidRPr="0006581E" w:rsidRDefault="00A50BA4" w:rsidP="00A423B6">
      <w:pPr>
        <w:pStyle w:val="af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1E">
        <w:rPr>
          <w:rFonts w:ascii="Times New Roman" w:hAnsi="Times New Roman" w:cs="Times New Roman"/>
          <w:sz w:val="24"/>
          <w:szCs w:val="24"/>
        </w:rPr>
        <w:t>- производство резиновых и пластмассовых изделий  - (индекс производства – 99,7 %). Объем отгруженной продукции – 3 809,6 млн. руб.;</w:t>
      </w:r>
    </w:p>
    <w:p w:rsidR="00A50BA4" w:rsidRPr="0006581E" w:rsidRDefault="00A50BA4" w:rsidP="00A423B6">
      <w:pPr>
        <w:pStyle w:val="af9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6581E">
        <w:rPr>
          <w:rFonts w:ascii="Times New Roman" w:hAnsi="Times New Roman" w:cs="Times New Roman"/>
          <w:sz w:val="24"/>
          <w:szCs w:val="24"/>
        </w:rPr>
        <w:t xml:space="preserve">- производство прочих неметаллических минеральных продуктов (индекс производства – 68,7 %): выпуск кирпича керамического неогнеупорного строительного сократится на 7,5 %, производство конструкций и деталей сборных железобетонных  - в 1,7 раза. Объем отгруженной продукции составит 1 564,9 млрд. руб.; </w:t>
      </w:r>
      <w:r w:rsidRPr="0006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0BA4" w:rsidRPr="0006581E" w:rsidRDefault="00A50BA4" w:rsidP="00A423B6">
      <w:pPr>
        <w:pStyle w:val="af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1E">
        <w:rPr>
          <w:rFonts w:ascii="Times New Roman" w:hAnsi="Times New Roman" w:cs="Times New Roman"/>
          <w:spacing w:val="-4"/>
          <w:sz w:val="24"/>
          <w:szCs w:val="24"/>
        </w:rPr>
        <w:t xml:space="preserve">- металлургическое производство </w:t>
      </w:r>
      <w:r w:rsidRPr="0006581E">
        <w:rPr>
          <w:rFonts w:ascii="Times New Roman" w:hAnsi="Times New Roman" w:cs="Times New Roman"/>
          <w:sz w:val="24"/>
          <w:szCs w:val="24"/>
        </w:rPr>
        <w:t>(индекс производства – 84,2 %). Объем отгруженной продукции – 3 452,8 млн. руб.;</w:t>
      </w:r>
    </w:p>
    <w:p w:rsidR="00A50BA4" w:rsidRDefault="00A50BA4" w:rsidP="00A423B6">
      <w:pPr>
        <w:pStyle w:val="3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1E">
        <w:rPr>
          <w:rFonts w:ascii="Times New Roman" w:hAnsi="Times New Roman" w:cs="Times New Roman"/>
          <w:sz w:val="24"/>
          <w:szCs w:val="24"/>
        </w:rPr>
        <w:t>- производство машин и оборудования (индекс производства – 94,7 %). Объем отгруженной продукции – 5 464,8 млн. руб.;</w:t>
      </w:r>
    </w:p>
    <w:p w:rsidR="00A50BA4" w:rsidRPr="0006581E" w:rsidRDefault="00A50BA4" w:rsidP="00A423B6">
      <w:pPr>
        <w:pStyle w:val="3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1E">
        <w:rPr>
          <w:rFonts w:ascii="Times New Roman" w:hAnsi="Times New Roman" w:cs="Times New Roman"/>
          <w:sz w:val="24"/>
          <w:szCs w:val="24"/>
        </w:rPr>
        <w:t>- производство электрооборудования, оптического и электронного оборудования  (индекс производства – 78,5 %). Объем отгруженной продукции – 6 235,8 млн. руб.;</w:t>
      </w:r>
    </w:p>
    <w:p w:rsidR="00A50BA4" w:rsidRPr="0006581E" w:rsidRDefault="00A50BA4" w:rsidP="00A423B6">
      <w:pPr>
        <w:pStyle w:val="af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1E">
        <w:rPr>
          <w:rFonts w:ascii="Times New Roman" w:hAnsi="Times New Roman" w:cs="Times New Roman"/>
          <w:sz w:val="24"/>
          <w:szCs w:val="24"/>
        </w:rPr>
        <w:t>- прочие производства (индекс производства – 88,6 %). Объем отгруженной продукции – 4 220,1 млн. руб.;</w:t>
      </w:r>
    </w:p>
    <w:p w:rsidR="00A50BA4" w:rsidRPr="0006581E" w:rsidRDefault="00A50BA4" w:rsidP="00A423B6">
      <w:pPr>
        <w:pStyle w:val="af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1E">
        <w:rPr>
          <w:rFonts w:ascii="Times New Roman" w:hAnsi="Times New Roman" w:cs="Times New Roman"/>
          <w:sz w:val="24"/>
          <w:szCs w:val="24"/>
        </w:rPr>
        <w:t>- производство и распределение электроэнергии, газа и воды (индекс производства – 81,8 %). Объем отгруженной продукции – 23 189,2 млн. руб.</w:t>
      </w:r>
    </w:p>
    <w:p w:rsidR="00A50BA4" w:rsidRPr="0006581E" w:rsidRDefault="00A50BA4" w:rsidP="00A423B6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6581E">
        <w:rPr>
          <w:sz w:val="24"/>
          <w:szCs w:val="24"/>
        </w:rPr>
        <w:lastRenderedPageBreak/>
        <w:t>Позитивный вклад в динамику производства в 2016 году по отношению к 2015 году внесет  производство пищевых продуктов (индекс производства – 111,2 %). Оценочно увеличится производство кондитерских изделий (в 2,5 раза), производство хлеба и хлебобулочных изделий сократится на 9,8 %. Объем отгруженной продукции – 12 660,4 млн. руб.</w:t>
      </w:r>
    </w:p>
    <w:p w:rsidR="00A50BA4" w:rsidRPr="0006581E" w:rsidRDefault="00A50BA4" w:rsidP="00A423B6">
      <w:pPr>
        <w:spacing w:line="276" w:lineRule="auto"/>
        <w:ind w:right="-1" w:firstLine="709"/>
        <w:jc w:val="both"/>
        <w:rPr>
          <w:color w:val="1A1A1A"/>
          <w:sz w:val="24"/>
          <w:szCs w:val="24"/>
          <w:shd w:val="clear" w:color="auto" w:fill="FFFFFF"/>
        </w:rPr>
      </w:pPr>
      <w:r w:rsidRPr="0006581E">
        <w:rPr>
          <w:color w:val="1A1A1A"/>
          <w:sz w:val="24"/>
          <w:szCs w:val="24"/>
          <w:shd w:val="clear" w:color="auto" w:fill="FFFFFF"/>
        </w:rPr>
        <w:t xml:space="preserve">В целом, по итогам 2016 года индекс промышленного производства в городском округе Тольятти оценочно составит 83,6 %, в том числе по обрабатывающим производствам – 83,8 %, в производстве и распределении электроэнергии, газа и воды – 81,8 %. </w:t>
      </w:r>
    </w:p>
    <w:p w:rsidR="00A50BA4" w:rsidRPr="0006581E" w:rsidRDefault="00A50BA4" w:rsidP="00A423B6">
      <w:pPr>
        <w:pStyle w:val="Default"/>
        <w:spacing w:line="276" w:lineRule="auto"/>
        <w:ind w:firstLine="709"/>
        <w:jc w:val="both"/>
      </w:pPr>
      <w:r w:rsidRPr="0006581E">
        <w:rPr>
          <w:color w:val="1A1A1A"/>
          <w:shd w:val="clear" w:color="auto" w:fill="FFFFFF"/>
        </w:rPr>
        <w:t xml:space="preserve">При этом </w:t>
      </w:r>
      <w:r w:rsidRPr="0006581E">
        <w:t>объем отгруженных промышленных товаров собственного производства  крупных и средних предприятий,  по оценке, сократится по отношению к 2015 году на                0,4 % в действующих ценах и составит 389 390,8 млн. руб., в том числе по обрабатывающим производствам – 366 201,6 млн. руб. (рост на 0,2 %), в производстве и распределении электроэнергии, газа и воды – 23 189,2 млн. руб. (спад на 10,0 %).</w:t>
      </w:r>
    </w:p>
    <w:p w:rsidR="00A50BA4" w:rsidRPr="00A44276" w:rsidRDefault="00A50BA4" w:rsidP="00EE20D8">
      <w:pPr>
        <w:pStyle w:val="38"/>
        <w:spacing w:line="276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0BA4" w:rsidRPr="00066E74" w:rsidRDefault="00A50BA4" w:rsidP="00AD29B1">
      <w:pPr>
        <w:pStyle w:val="38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66E74">
        <w:rPr>
          <w:rFonts w:ascii="Times New Roman" w:hAnsi="Times New Roman" w:cs="Times New Roman"/>
          <w:sz w:val="24"/>
          <w:szCs w:val="24"/>
        </w:rPr>
        <w:t>Ожидаемое выполнение прогнозных показателей</w:t>
      </w:r>
    </w:p>
    <w:p w:rsidR="00A50BA4" w:rsidRDefault="00A50BA4" w:rsidP="00AD29B1">
      <w:pPr>
        <w:pStyle w:val="38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66E74">
        <w:rPr>
          <w:rFonts w:ascii="Times New Roman" w:hAnsi="Times New Roman" w:cs="Times New Roman"/>
          <w:sz w:val="24"/>
          <w:szCs w:val="24"/>
        </w:rPr>
        <w:t xml:space="preserve">промышленного производства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66E74">
        <w:rPr>
          <w:rFonts w:ascii="Times New Roman" w:hAnsi="Times New Roman" w:cs="Times New Roman"/>
          <w:sz w:val="24"/>
          <w:szCs w:val="24"/>
        </w:rPr>
        <w:t xml:space="preserve"> 2016 год</w:t>
      </w:r>
    </w:p>
    <w:tbl>
      <w:tblPr>
        <w:tblW w:w="9641" w:type="dxa"/>
        <w:tblInd w:w="-35" w:type="dxa"/>
        <w:tblLayout w:type="fixed"/>
        <w:tblLook w:val="0000"/>
      </w:tblPr>
      <w:tblGrid>
        <w:gridCol w:w="4254"/>
        <w:gridCol w:w="1418"/>
        <w:gridCol w:w="1417"/>
        <w:gridCol w:w="1275"/>
        <w:gridCol w:w="1277"/>
      </w:tblGrid>
      <w:tr w:rsidR="00A50BA4" w:rsidRPr="00066E74" w:rsidTr="00152387">
        <w:trPr>
          <w:tblHeader/>
        </w:trPr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152387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152387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2546FC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 xml:space="preserve">Прогноз </w:t>
            </w:r>
            <w:r>
              <w:rPr>
                <w:sz w:val="24"/>
                <w:szCs w:val="24"/>
              </w:rPr>
              <w:t xml:space="preserve">на </w:t>
            </w: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6E74" w:rsidRDefault="00A50BA4" w:rsidP="002546FC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 (оценка)</w:t>
            </w:r>
          </w:p>
        </w:tc>
      </w:tr>
      <w:tr w:rsidR="00A50BA4" w:rsidRPr="00066E74" w:rsidTr="00152387">
        <w:trPr>
          <w:tblHeader/>
        </w:trPr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152387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1523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152387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1 вариант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152387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2 вариант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6E74" w:rsidRDefault="00A50BA4" w:rsidP="0015238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rPr>
                <w:b/>
                <w:sz w:val="24"/>
                <w:szCs w:val="24"/>
              </w:rPr>
            </w:pPr>
            <w:r w:rsidRPr="0006581E">
              <w:rPr>
                <w:b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b/>
                <w:sz w:val="24"/>
                <w:szCs w:val="24"/>
              </w:rPr>
            </w:pPr>
            <w:r w:rsidRPr="0006581E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b/>
                <w:sz w:val="24"/>
                <w:szCs w:val="24"/>
              </w:rPr>
            </w:pPr>
            <w:r w:rsidRPr="0006581E">
              <w:rPr>
                <w:b/>
                <w:sz w:val="24"/>
                <w:szCs w:val="24"/>
              </w:rPr>
              <w:t>390 770,4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b/>
                <w:sz w:val="24"/>
                <w:szCs w:val="24"/>
              </w:rPr>
            </w:pPr>
            <w:r w:rsidRPr="0006581E">
              <w:rPr>
                <w:b/>
                <w:sz w:val="24"/>
                <w:szCs w:val="24"/>
              </w:rPr>
              <w:t>398 357,8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b/>
                <w:sz w:val="24"/>
                <w:szCs w:val="24"/>
              </w:rPr>
            </w:pPr>
            <w:r w:rsidRPr="0006581E">
              <w:rPr>
                <w:b/>
                <w:sz w:val="24"/>
                <w:szCs w:val="24"/>
              </w:rPr>
              <w:t>389 390,8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363 230,7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370 101,2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366 201,6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10 011,7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10 305,3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12 660,4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558,0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561,4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1 150,9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Целлюлозно-бумажное производство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123,6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125,1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209,6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Химическое производство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120 634,7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122 181,3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109 048,1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2 671,0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2 706,3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3 809,6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2 429,1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2 461,8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1 564,9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3 207,9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3 230,1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3 452,8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4 106,0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4 114,2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5 464,8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4 070,0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4 082,3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6 235,8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Производство транспортных средств и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211 709,8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216 617,0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218 384,6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Прочие производства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3 708,9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3 716,4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4 220,1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27 529,7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28 256,6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23 189,2</w:t>
            </w:r>
          </w:p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rPr>
                <w:b/>
                <w:sz w:val="24"/>
                <w:szCs w:val="24"/>
              </w:rPr>
            </w:pPr>
            <w:r w:rsidRPr="0006581E">
              <w:rPr>
                <w:b/>
                <w:sz w:val="24"/>
                <w:szCs w:val="24"/>
              </w:rPr>
              <w:lastRenderedPageBreak/>
              <w:t xml:space="preserve">Индекс промышленного производства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b/>
                <w:sz w:val="24"/>
                <w:szCs w:val="24"/>
              </w:rPr>
            </w:pPr>
            <w:r w:rsidRPr="0006581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b/>
                <w:sz w:val="24"/>
                <w:szCs w:val="24"/>
              </w:rPr>
            </w:pPr>
            <w:r w:rsidRPr="0006581E">
              <w:rPr>
                <w:b/>
                <w:sz w:val="24"/>
                <w:szCs w:val="24"/>
              </w:rPr>
              <w:t>94,2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b/>
                <w:sz w:val="24"/>
                <w:szCs w:val="24"/>
              </w:rPr>
            </w:pPr>
            <w:r w:rsidRPr="0006581E">
              <w:rPr>
                <w:b/>
                <w:sz w:val="24"/>
                <w:szCs w:val="24"/>
              </w:rPr>
              <w:t>96,1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b/>
                <w:sz w:val="24"/>
                <w:szCs w:val="24"/>
              </w:rPr>
            </w:pPr>
            <w:r w:rsidRPr="0006581E">
              <w:rPr>
                <w:b/>
                <w:sz w:val="24"/>
                <w:szCs w:val="24"/>
              </w:rPr>
              <w:t>83,6</w:t>
            </w:r>
          </w:p>
        </w:tc>
      </w:tr>
      <w:tr w:rsidR="00A50BA4" w:rsidRPr="00066E74" w:rsidTr="00152387">
        <w:trPr>
          <w:trHeight w:val="39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42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96,2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83,8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111,2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96,7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79,7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Целлюлозно-бумажное производство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82,8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Химическое производство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101,4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102,7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104,0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99,7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68,7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101,4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102,1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84,2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Default="00A50BA4" w:rsidP="003227FD">
            <w:pPr>
              <w:jc w:val="center"/>
            </w:pPr>
            <w:r w:rsidRPr="001B284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100,2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94,7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Default="00A50BA4" w:rsidP="003227FD">
            <w:pPr>
              <w:jc w:val="center"/>
            </w:pPr>
            <w:r w:rsidRPr="001B284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99,3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78,5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Производство транспортных средств и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71,8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177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Прочие производства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06581E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88,6</w:t>
            </w:r>
          </w:p>
        </w:tc>
      </w:tr>
      <w:tr w:rsidR="00A50BA4" w:rsidRPr="00066E74" w:rsidTr="0015238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ind w:left="35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94,6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581E" w:rsidRDefault="00A50BA4" w:rsidP="00CF1CBC">
            <w:pPr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81,8</w:t>
            </w:r>
          </w:p>
        </w:tc>
      </w:tr>
    </w:tbl>
    <w:p w:rsidR="00A50BA4" w:rsidRPr="00066E74" w:rsidRDefault="00A50BA4" w:rsidP="00EE20D8">
      <w:pPr>
        <w:widowControl w:val="0"/>
        <w:autoSpaceDE w:val="0"/>
        <w:spacing w:line="276" w:lineRule="auto"/>
        <w:ind w:firstLine="709"/>
        <w:jc w:val="both"/>
        <w:rPr>
          <w:sz w:val="24"/>
          <w:szCs w:val="24"/>
        </w:rPr>
      </w:pPr>
    </w:p>
    <w:p w:rsidR="00A50BA4" w:rsidRPr="00F95750" w:rsidRDefault="00A50BA4" w:rsidP="00AD29B1">
      <w:pPr>
        <w:pStyle w:val="38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95750">
        <w:rPr>
          <w:rFonts w:ascii="Times New Roman" w:hAnsi="Times New Roman" w:cs="Times New Roman"/>
          <w:sz w:val="24"/>
          <w:szCs w:val="24"/>
        </w:rPr>
        <w:t>Ожидаемое выполнение прогнозных показателей</w:t>
      </w:r>
    </w:p>
    <w:p w:rsidR="00A50BA4" w:rsidRDefault="00A50BA4" w:rsidP="00AD29B1">
      <w:pPr>
        <w:pStyle w:val="38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95750">
        <w:rPr>
          <w:rFonts w:ascii="Times New Roman" w:hAnsi="Times New Roman" w:cs="Times New Roman"/>
          <w:sz w:val="24"/>
          <w:szCs w:val="24"/>
        </w:rPr>
        <w:t>по производству промышленной продукции в натуральном выражении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95750">
        <w:rPr>
          <w:rFonts w:ascii="Times New Roman" w:hAnsi="Times New Roman" w:cs="Times New Roman"/>
          <w:sz w:val="24"/>
          <w:szCs w:val="24"/>
        </w:rPr>
        <w:t xml:space="preserve"> 2016 год</w:t>
      </w:r>
    </w:p>
    <w:p w:rsidR="00A50BA4" w:rsidRPr="00F95750" w:rsidRDefault="00A50BA4" w:rsidP="00AD29B1">
      <w:pPr>
        <w:pStyle w:val="38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Ind w:w="-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283"/>
        <w:gridCol w:w="1417"/>
        <w:gridCol w:w="1559"/>
        <w:gridCol w:w="1560"/>
        <w:gridCol w:w="1701"/>
      </w:tblGrid>
      <w:tr w:rsidR="00A50BA4" w:rsidRPr="00A44276" w:rsidTr="002546FC">
        <w:trPr>
          <w:trHeight w:val="416"/>
          <w:tblHeader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7A575A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4A455B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.5pt;height:1.5pt;visibility:visible" filled="t">
                  <v:imagedata r:id="rId9" o:title=""/>
                </v:shape>
              </w:pict>
            </w:r>
            <w:r w:rsidR="00A50BA4" w:rsidRPr="00F95750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  <w:r w:rsidRPr="00F95750">
              <w:rPr>
                <w:sz w:val="24"/>
                <w:szCs w:val="24"/>
              </w:rPr>
              <w:t xml:space="preserve"> изм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CF1CBC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 xml:space="preserve">Прогноз </w:t>
            </w:r>
            <w:r>
              <w:rPr>
                <w:sz w:val="24"/>
                <w:szCs w:val="24"/>
              </w:rPr>
              <w:t xml:space="preserve">на </w:t>
            </w: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6E74" w:rsidRDefault="00A50BA4" w:rsidP="00CF1CBC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 (оценка)</w:t>
            </w:r>
          </w:p>
        </w:tc>
      </w:tr>
      <w:tr w:rsidR="00A50BA4" w:rsidRPr="00A44276" w:rsidTr="003B59D5">
        <w:trPr>
          <w:trHeight w:val="481"/>
          <w:tblHeader/>
        </w:trPr>
        <w:tc>
          <w:tcPr>
            <w:tcW w:w="3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1 вариант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2 вариант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0BA4" w:rsidRPr="00A44276" w:rsidTr="003B59D5">
        <w:trPr>
          <w:trHeight w:val="48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тыс.тонн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32,2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33,2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33,0</w:t>
            </w:r>
          </w:p>
        </w:tc>
      </w:tr>
      <w:tr w:rsidR="00A50BA4" w:rsidRPr="00A44276" w:rsidTr="003B59D5">
        <w:trPr>
          <w:trHeight w:val="48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тыс.тонн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8,0</w:t>
            </w:r>
          </w:p>
        </w:tc>
      </w:tr>
      <w:tr w:rsidR="00A50BA4" w:rsidRPr="00066E74" w:rsidTr="003B59D5">
        <w:trPr>
          <w:trHeight w:val="48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Пластмассы в первичных формах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тыс.тонн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496,0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503,0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487,0</w:t>
            </w:r>
          </w:p>
        </w:tc>
      </w:tr>
      <w:tr w:rsidR="00A50BA4" w:rsidRPr="00A44276" w:rsidTr="003B59D5">
        <w:trPr>
          <w:trHeight w:val="48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ind w:firstLine="7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Кирпич керамический неогнеупорный строительный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Default="00A50BA4" w:rsidP="00CF1CBC">
            <w:pPr>
              <w:snapToGrid w:val="0"/>
              <w:ind w:firstLine="7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млн.усл.</w:t>
            </w:r>
          </w:p>
          <w:p w:rsidR="00A50BA4" w:rsidRPr="00F95750" w:rsidRDefault="00A50BA4" w:rsidP="00CF1CBC">
            <w:pPr>
              <w:snapToGrid w:val="0"/>
              <w:ind w:firstLine="7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кирп.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ind w:firstLine="7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96,5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ind w:firstLine="7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97,8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95,0</w:t>
            </w:r>
          </w:p>
        </w:tc>
      </w:tr>
      <w:tr w:rsidR="00A50BA4" w:rsidRPr="00A44276" w:rsidTr="003B59D5">
        <w:trPr>
          <w:trHeight w:val="48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ind w:firstLine="7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Конструкции и детали сборные железобетонные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F95750" w:rsidRDefault="00A50BA4" w:rsidP="00CF1CBC">
            <w:pPr>
              <w:snapToGrid w:val="0"/>
              <w:ind w:firstLine="7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тыс. куб. метров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ind w:firstLine="7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136,1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ind w:firstLine="7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137,9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80,0</w:t>
            </w:r>
          </w:p>
        </w:tc>
      </w:tr>
      <w:tr w:rsidR="00A50BA4" w:rsidRPr="00A44276" w:rsidTr="003B59D5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 xml:space="preserve">Производство легковых автомобилей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тыс.штук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349,0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357,0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287,0</w:t>
            </w:r>
          </w:p>
        </w:tc>
      </w:tr>
      <w:tr w:rsidR="00A50BA4" w:rsidRPr="00A44276" w:rsidTr="003B59D5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Производство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гигаватт-час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4 640,0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4 760,0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F9575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F95750">
              <w:rPr>
                <w:sz w:val="24"/>
                <w:szCs w:val="24"/>
              </w:rPr>
              <w:t>4 400,0</w:t>
            </w:r>
          </w:p>
        </w:tc>
      </w:tr>
    </w:tbl>
    <w:p w:rsidR="00A50BA4" w:rsidRPr="00995660" w:rsidRDefault="00A50BA4" w:rsidP="00A423B6">
      <w:pPr>
        <w:widowControl w:val="0"/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995660">
        <w:rPr>
          <w:sz w:val="24"/>
          <w:szCs w:val="24"/>
        </w:rPr>
        <w:lastRenderedPageBreak/>
        <w:t>Учитывая сложившуюся динамику промышленного производства в текущем году, оценка объема отгруженной промышленной продукции в 2016 году в химическом производстве, производстве прочих неметаллических изделий, производстве и распределении электроэнергии, газа и воды, а также в целом по городскому округу</w:t>
      </w:r>
      <w:r>
        <w:rPr>
          <w:sz w:val="24"/>
          <w:szCs w:val="24"/>
        </w:rPr>
        <w:t xml:space="preserve"> Тольятти </w:t>
      </w:r>
      <w:r w:rsidRPr="00995660">
        <w:rPr>
          <w:sz w:val="24"/>
          <w:szCs w:val="24"/>
        </w:rPr>
        <w:t>снижена. По остальным видам экономической деятельности оценка изменена в сторону увеличения. Что касается индекса промышленного производства, то его оценка снижена в целом по городскому округу и по всем видам экономической деятельности, за исключением пищевой и химической промышленности</w:t>
      </w:r>
      <w:r w:rsidRPr="00392DFF">
        <w:rPr>
          <w:sz w:val="24"/>
          <w:szCs w:val="24"/>
        </w:rPr>
        <w:t>. Увеличение отгрузки отдельных видов экономической деятельности при одновременном снижении производства объясняется ценовым фактором - значительное повышение стоимости промышленной продукции в 2016 году наблюдалось практически во всех видах экономической деятельности, кроме химического производства. Стабил</w:t>
      </w:r>
      <w:r w:rsidRPr="00995660">
        <w:rPr>
          <w:sz w:val="24"/>
          <w:szCs w:val="24"/>
        </w:rPr>
        <w:t>изация  курса доллара остановила стремительный рост стоимости экспортно ориентированной химической продукции.</w:t>
      </w:r>
    </w:p>
    <w:p w:rsidR="00A50BA4" w:rsidRPr="00A44276" w:rsidRDefault="00A50BA4" w:rsidP="00C16FFD">
      <w:pPr>
        <w:spacing w:line="276" w:lineRule="auto"/>
        <w:ind w:firstLine="709"/>
        <w:jc w:val="both"/>
        <w:rPr>
          <w:sz w:val="24"/>
          <w:szCs w:val="24"/>
          <w:highlight w:val="yellow"/>
        </w:rPr>
      </w:pPr>
    </w:p>
    <w:p w:rsidR="00A50BA4" w:rsidRPr="00CB0334" w:rsidRDefault="00A50BA4" w:rsidP="00AD29B1">
      <w:pPr>
        <w:spacing w:line="276" w:lineRule="auto"/>
        <w:jc w:val="center"/>
        <w:rPr>
          <w:b/>
          <w:sz w:val="24"/>
          <w:szCs w:val="24"/>
        </w:rPr>
      </w:pPr>
      <w:bookmarkStart w:id="1" w:name="финансы"/>
      <w:bookmarkEnd w:id="1"/>
      <w:r w:rsidRPr="00CB0334">
        <w:rPr>
          <w:b/>
          <w:sz w:val="24"/>
          <w:szCs w:val="24"/>
        </w:rPr>
        <w:t>Инвестиции в основной капитал</w:t>
      </w:r>
    </w:p>
    <w:p w:rsidR="00A50BA4" w:rsidRPr="00A44276" w:rsidRDefault="00A50BA4" w:rsidP="00A423B6">
      <w:pPr>
        <w:spacing w:line="276" w:lineRule="auto"/>
        <w:ind w:firstLine="709"/>
        <w:jc w:val="center"/>
        <w:rPr>
          <w:b/>
          <w:sz w:val="24"/>
          <w:szCs w:val="24"/>
          <w:highlight w:val="yellow"/>
        </w:rPr>
      </w:pPr>
    </w:p>
    <w:p w:rsidR="00A50BA4" w:rsidRDefault="00A50BA4" w:rsidP="002546FC">
      <w:pPr>
        <w:spacing w:line="276" w:lineRule="auto"/>
        <w:ind w:firstLine="709"/>
        <w:jc w:val="both"/>
        <w:rPr>
          <w:sz w:val="24"/>
          <w:szCs w:val="24"/>
        </w:rPr>
      </w:pPr>
      <w:r w:rsidRPr="006159A8">
        <w:rPr>
          <w:sz w:val="24"/>
          <w:szCs w:val="24"/>
        </w:rPr>
        <w:t xml:space="preserve">В 1 полугодии 2016 года </w:t>
      </w:r>
      <w:r w:rsidRPr="006159A8">
        <w:rPr>
          <w:sz w:val="24"/>
          <w:szCs w:val="24"/>
          <w:lang w:eastAsia="en-US"/>
        </w:rPr>
        <w:t>на развитие экономики и социальной сферы за счет всех источников финансирования по городскому округу Тольятти (по крупным и средним предприятиям) освоено 12 278,5 млн. руб. инвестиций в основной капитал, что меньше, чем в 1 полугодии 2015 года на 51,1 % в сопоставимых ценах. Доля Тольятти в общем объеме инвестиций в основной капитал по Самарской области уменьшилась</w:t>
      </w:r>
      <w:r w:rsidRPr="006159A8">
        <w:rPr>
          <w:color w:val="FF0000"/>
          <w:sz w:val="24"/>
          <w:szCs w:val="24"/>
          <w:lang w:eastAsia="en-US"/>
        </w:rPr>
        <w:t xml:space="preserve"> </w:t>
      </w:r>
      <w:r w:rsidRPr="006159A8">
        <w:rPr>
          <w:sz w:val="24"/>
          <w:szCs w:val="24"/>
          <w:lang w:eastAsia="en-US"/>
        </w:rPr>
        <w:t>на 9,4 п.п.</w:t>
      </w:r>
      <w:r w:rsidRPr="006159A8">
        <w:rPr>
          <w:color w:val="FF0000"/>
          <w:sz w:val="24"/>
          <w:szCs w:val="24"/>
          <w:lang w:eastAsia="en-US"/>
        </w:rPr>
        <w:t xml:space="preserve"> </w:t>
      </w:r>
      <w:r w:rsidRPr="006159A8">
        <w:rPr>
          <w:sz w:val="24"/>
          <w:szCs w:val="24"/>
          <w:lang w:eastAsia="en-US"/>
        </w:rPr>
        <w:t>и составила 16,8 %.</w:t>
      </w:r>
    </w:p>
    <w:p w:rsidR="00A50BA4" w:rsidRPr="00D9551A" w:rsidRDefault="00A50BA4" w:rsidP="002546FC">
      <w:pPr>
        <w:spacing w:line="276" w:lineRule="auto"/>
        <w:ind w:firstLine="709"/>
        <w:jc w:val="both"/>
        <w:rPr>
          <w:sz w:val="24"/>
          <w:szCs w:val="24"/>
        </w:rPr>
      </w:pPr>
      <w:r w:rsidRPr="00D9551A">
        <w:rPr>
          <w:sz w:val="24"/>
          <w:szCs w:val="24"/>
        </w:rPr>
        <w:t>Основной источник финансирования инвестиций – собственные средства предприятий и организаций, их доля в 1 полугодии 2016 года составила 57,1 %  от общего объема инвестиций (в 1 полугодии 2015 года – 36,1 %). За счет привлеченных средств освоено 42,9 %  инвестиций (в 1 полугодии 2015 года – 63,9 %).</w:t>
      </w:r>
    </w:p>
    <w:p w:rsidR="00A50BA4" w:rsidRDefault="00A50BA4" w:rsidP="002546FC">
      <w:pPr>
        <w:spacing w:line="276" w:lineRule="auto"/>
        <w:ind w:firstLine="709"/>
        <w:jc w:val="both"/>
        <w:rPr>
          <w:sz w:val="24"/>
          <w:szCs w:val="24"/>
        </w:rPr>
      </w:pPr>
      <w:r w:rsidRPr="00CF7308">
        <w:rPr>
          <w:sz w:val="24"/>
          <w:szCs w:val="24"/>
        </w:rPr>
        <w:t xml:space="preserve">В общем объеме инвестиций в основной капитал по городскому округу основная доля пришлась на крупные и средние предприятия промышленного сектора </w:t>
      </w:r>
      <w:r w:rsidRPr="008746AF">
        <w:rPr>
          <w:sz w:val="24"/>
          <w:szCs w:val="24"/>
        </w:rPr>
        <w:t>экономики – 87,3%, или 10 713,7 млн. руб. (на 50,</w:t>
      </w:r>
      <w:r w:rsidRPr="0025242F">
        <w:rPr>
          <w:sz w:val="24"/>
          <w:szCs w:val="24"/>
        </w:rPr>
        <w:t>6 % меньше соответствующего</w:t>
      </w:r>
      <w:r w:rsidRPr="008746AF">
        <w:rPr>
          <w:sz w:val="24"/>
          <w:szCs w:val="24"/>
        </w:rPr>
        <w:t xml:space="preserve"> периода прошлого года), в том числе на обрабатывающие производства – 83,3 %, или 10 222,0 млн.руб.; на производство и распределение электроэнергии, газа и воды – 4,0 % или 491,7 млн.руб.</w:t>
      </w:r>
      <w:r>
        <w:rPr>
          <w:sz w:val="24"/>
          <w:szCs w:val="24"/>
        </w:rPr>
        <w:t xml:space="preserve"> </w:t>
      </w:r>
    </w:p>
    <w:p w:rsidR="00A50BA4" w:rsidRDefault="00A50BA4" w:rsidP="002546FC">
      <w:pPr>
        <w:spacing w:line="276" w:lineRule="auto"/>
        <w:ind w:firstLine="709"/>
        <w:jc w:val="both"/>
        <w:rPr>
          <w:sz w:val="24"/>
          <w:szCs w:val="24"/>
        </w:rPr>
      </w:pPr>
      <w:r w:rsidRPr="00AA4400">
        <w:rPr>
          <w:sz w:val="24"/>
          <w:szCs w:val="24"/>
        </w:rPr>
        <w:t>Снижение объема капиталовложений в текущем году наблюдается по наиболее инвестиционноёмким отраслям промышленности городского округа – автомобилестроению и химическому производству</w:t>
      </w:r>
      <w:r>
        <w:rPr>
          <w:sz w:val="24"/>
          <w:szCs w:val="24"/>
        </w:rPr>
        <w:t xml:space="preserve"> в</w:t>
      </w:r>
      <w:r w:rsidRPr="00AA4400">
        <w:rPr>
          <w:sz w:val="24"/>
          <w:szCs w:val="24"/>
        </w:rPr>
        <w:t xml:space="preserve"> 1 полугодии 2016 года к соответствующему периоду прошлого года </w:t>
      </w:r>
      <w:r>
        <w:rPr>
          <w:sz w:val="24"/>
          <w:szCs w:val="24"/>
        </w:rPr>
        <w:t>-</w:t>
      </w:r>
      <w:r w:rsidRPr="00AA4400">
        <w:rPr>
          <w:sz w:val="24"/>
          <w:szCs w:val="24"/>
        </w:rPr>
        <w:t xml:space="preserve"> в автомобилестроении </w:t>
      </w:r>
      <w:r w:rsidRPr="001877B9">
        <w:rPr>
          <w:sz w:val="24"/>
          <w:szCs w:val="24"/>
        </w:rPr>
        <w:t>на 68,6 % до</w:t>
      </w:r>
      <w:r>
        <w:rPr>
          <w:sz w:val="24"/>
          <w:szCs w:val="24"/>
        </w:rPr>
        <w:t xml:space="preserve"> </w:t>
      </w:r>
      <w:r w:rsidRPr="00AA440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A4400">
        <w:rPr>
          <w:sz w:val="24"/>
          <w:szCs w:val="24"/>
        </w:rPr>
        <w:t>197,0 млн.</w:t>
      </w:r>
      <w:r>
        <w:rPr>
          <w:sz w:val="24"/>
          <w:szCs w:val="24"/>
        </w:rPr>
        <w:t xml:space="preserve"> </w:t>
      </w:r>
      <w:r w:rsidRPr="00AA4400">
        <w:rPr>
          <w:sz w:val="24"/>
          <w:szCs w:val="24"/>
        </w:rPr>
        <w:t>руб.</w:t>
      </w:r>
      <w:r>
        <w:rPr>
          <w:sz w:val="24"/>
          <w:szCs w:val="24"/>
        </w:rPr>
        <w:t xml:space="preserve"> (в </w:t>
      </w:r>
      <w:r w:rsidRPr="00AA4400">
        <w:rPr>
          <w:sz w:val="24"/>
          <w:szCs w:val="24"/>
        </w:rPr>
        <w:t>1 полугодии 201</w:t>
      </w:r>
      <w:r>
        <w:rPr>
          <w:sz w:val="24"/>
          <w:szCs w:val="24"/>
        </w:rPr>
        <w:t>5</w:t>
      </w:r>
      <w:r w:rsidRPr="00AA4400">
        <w:rPr>
          <w:sz w:val="24"/>
          <w:szCs w:val="24"/>
        </w:rPr>
        <w:t xml:space="preserve"> года </w:t>
      </w:r>
      <w:r>
        <w:rPr>
          <w:sz w:val="24"/>
          <w:szCs w:val="24"/>
        </w:rPr>
        <w:t>- 13 352,3</w:t>
      </w:r>
      <w:r w:rsidRPr="001877B9">
        <w:rPr>
          <w:sz w:val="24"/>
          <w:szCs w:val="24"/>
        </w:rPr>
        <w:t xml:space="preserve"> </w:t>
      </w:r>
      <w:r w:rsidRPr="00AA4400">
        <w:rPr>
          <w:sz w:val="24"/>
          <w:szCs w:val="24"/>
        </w:rPr>
        <w:t>млн.</w:t>
      </w:r>
      <w:r>
        <w:rPr>
          <w:sz w:val="24"/>
          <w:szCs w:val="24"/>
        </w:rPr>
        <w:t xml:space="preserve"> </w:t>
      </w:r>
      <w:r w:rsidRPr="00AA4400">
        <w:rPr>
          <w:sz w:val="24"/>
          <w:szCs w:val="24"/>
        </w:rPr>
        <w:t>руб</w:t>
      </w:r>
      <w:r>
        <w:rPr>
          <w:sz w:val="24"/>
          <w:szCs w:val="24"/>
        </w:rPr>
        <w:t>.)</w:t>
      </w:r>
      <w:r w:rsidRPr="00AA4400">
        <w:rPr>
          <w:sz w:val="24"/>
          <w:szCs w:val="24"/>
        </w:rPr>
        <w:t xml:space="preserve">, в химической промышленности </w:t>
      </w:r>
      <w:r w:rsidRPr="00564EC9">
        <w:rPr>
          <w:sz w:val="24"/>
          <w:szCs w:val="24"/>
        </w:rPr>
        <w:t>на 28,5 %</w:t>
      </w:r>
      <w:r>
        <w:rPr>
          <w:sz w:val="24"/>
          <w:szCs w:val="24"/>
        </w:rPr>
        <w:t xml:space="preserve"> до </w:t>
      </w:r>
      <w:r w:rsidRPr="00AA4400">
        <w:rPr>
          <w:sz w:val="24"/>
          <w:szCs w:val="24"/>
        </w:rPr>
        <w:t>5 443,1 млн.</w:t>
      </w:r>
      <w:r>
        <w:rPr>
          <w:sz w:val="24"/>
          <w:szCs w:val="24"/>
        </w:rPr>
        <w:t xml:space="preserve"> </w:t>
      </w:r>
      <w:r w:rsidRPr="00AA4400">
        <w:rPr>
          <w:sz w:val="24"/>
          <w:szCs w:val="24"/>
        </w:rPr>
        <w:t>руб.</w:t>
      </w:r>
      <w:r>
        <w:rPr>
          <w:sz w:val="24"/>
          <w:szCs w:val="24"/>
        </w:rPr>
        <w:t xml:space="preserve"> (в 1</w:t>
      </w:r>
      <w:r w:rsidRPr="00AA4400">
        <w:rPr>
          <w:sz w:val="24"/>
          <w:szCs w:val="24"/>
        </w:rPr>
        <w:t xml:space="preserve"> полугодии 201</w:t>
      </w:r>
      <w:r>
        <w:rPr>
          <w:sz w:val="24"/>
          <w:szCs w:val="24"/>
        </w:rPr>
        <w:t>5</w:t>
      </w:r>
      <w:r w:rsidRPr="00AA4400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– 7 610,4</w:t>
      </w:r>
      <w:r w:rsidRPr="001877B9">
        <w:rPr>
          <w:sz w:val="24"/>
          <w:szCs w:val="24"/>
        </w:rPr>
        <w:t xml:space="preserve"> </w:t>
      </w:r>
      <w:r w:rsidRPr="00AA4400">
        <w:rPr>
          <w:sz w:val="24"/>
          <w:szCs w:val="24"/>
        </w:rPr>
        <w:t>млн.</w:t>
      </w:r>
      <w:r>
        <w:rPr>
          <w:sz w:val="24"/>
          <w:szCs w:val="24"/>
        </w:rPr>
        <w:t xml:space="preserve"> </w:t>
      </w:r>
      <w:r w:rsidRPr="00AA4400">
        <w:rPr>
          <w:sz w:val="24"/>
          <w:szCs w:val="24"/>
        </w:rPr>
        <w:t>руб</w:t>
      </w:r>
      <w:r>
        <w:rPr>
          <w:sz w:val="24"/>
          <w:szCs w:val="24"/>
        </w:rPr>
        <w:t>.).</w:t>
      </w:r>
      <w:r w:rsidRPr="00AA4400">
        <w:rPr>
          <w:sz w:val="24"/>
          <w:szCs w:val="24"/>
        </w:rPr>
        <w:t xml:space="preserve"> </w:t>
      </w:r>
    </w:p>
    <w:p w:rsidR="00BA4EE3" w:rsidRDefault="00A50BA4" w:rsidP="002546FC">
      <w:pPr>
        <w:spacing w:line="276" w:lineRule="auto"/>
        <w:ind w:firstLine="709"/>
        <w:jc w:val="both"/>
        <w:rPr>
          <w:sz w:val="24"/>
          <w:szCs w:val="24"/>
        </w:rPr>
      </w:pPr>
      <w:r w:rsidRPr="0069477B">
        <w:rPr>
          <w:sz w:val="24"/>
          <w:szCs w:val="24"/>
        </w:rPr>
        <w:t>В текущем году на ОАО «АВТОВАЗ»</w:t>
      </w:r>
      <w:r>
        <w:rPr>
          <w:sz w:val="24"/>
          <w:szCs w:val="24"/>
        </w:rPr>
        <w:t xml:space="preserve"> отмечено существенное снижение объемов финансирования инвестиционных проектов, направленных на разработку и производство новых автомобилей семейства </w:t>
      </w:r>
      <w:r w:rsidRPr="00FF42B9">
        <w:rPr>
          <w:sz w:val="24"/>
          <w:szCs w:val="24"/>
        </w:rPr>
        <w:t>LADA</w:t>
      </w:r>
      <w:r w:rsidRPr="0069477B">
        <w:rPr>
          <w:sz w:val="24"/>
          <w:szCs w:val="24"/>
        </w:rPr>
        <w:t xml:space="preserve"> </w:t>
      </w:r>
      <w:r w:rsidRPr="00FF42B9">
        <w:rPr>
          <w:sz w:val="24"/>
          <w:szCs w:val="24"/>
        </w:rPr>
        <w:t>B</w:t>
      </w:r>
      <w:r w:rsidRPr="0069477B">
        <w:rPr>
          <w:sz w:val="24"/>
          <w:szCs w:val="24"/>
        </w:rPr>
        <w:t>/</w:t>
      </w:r>
      <w:r w:rsidRPr="00FF42B9">
        <w:rPr>
          <w:sz w:val="24"/>
          <w:szCs w:val="24"/>
        </w:rPr>
        <w:t>C</w:t>
      </w:r>
      <w:r>
        <w:rPr>
          <w:sz w:val="24"/>
          <w:szCs w:val="24"/>
        </w:rPr>
        <w:t xml:space="preserve">, автомобилей на платформе В0 и семейства автомобилей </w:t>
      </w:r>
      <w:r w:rsidRPr="00FF42B9">
        <w:rPr>
          <w:sz w:val="24"/>
          <w:szCs w:val="24"/>
        </w:rPr>
        <w:t>XRAY</w:t>
      </w:r>
      <w:r>
        <w:rPr>
          <w:sz w:val="24"/>
          <w:szCs w:val="24"/>
        </w:rPr>
        <w:t xml:space="preserve">. </w:t>
      </w:r>
    </w:p>
    <w:p w:rsidR="00A50BA4" w:rsidRPr="0043035E" w:rsidRDefault="00A50BA4" w:rsidP="002546F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ОАО «КуйбышевАзот» в 1 полугодии 2016 года также снизил объемы капиталовложений относительно соответствующего периода 2015 года.</w:t>
      </w:r>
      <w:r w:rsidR="00BA4EE3">
        <w:rPr>
          <w:sz w:val="24"/>
          <w:szCs w:val="24"/>
        </w:rPr>
        <w:t xml:space="preserve"> </w:t>
      </w:r>
    </w:p>
    <w:p w:rsidR="00A50BA4" w:rsidRPr="0043035E" w:rsidRDefault="00A50BA4" w:rsidP="002546FC">
      <w:pPr>
        <w:spacing w:line="276" w:lineRule="auto"/>
        <w:ind w:firstLine="709"/>
        <w:jc w:val="both"/>
        <w:rPr>
          <w:sz w:val="24"/>
          <w:szCs w:val="24"/>
        </w:rPr>
      </w:pPr>
      <w:r w:rsidRPr="0043035E">
        <w:rPr>
          <w:sz w:val="24"/>
          <w:szCs w:val="24"/>
        </w:rPr>
        <w:t xml:space="preserve">Крупнейшим проектом предприятия является строительство энергоэффективного производства циклогексанона мощностью 140 тыс. тонн в год с применением </w:t>
      </w:r>
      <w:r w:rsidRPr="0043035E">
        <w:rPr>
          <w:sz w:val="24"/>
          <w:szCs w:val="24"/>
        </w:rPr>
        <w:lastRenderedPageBreak/>
        <w:t xml:space="preserve">современной технологии (срок реализации проекта – 2011-2016 гг.) с общим объемом инвестиций по проекту – </w:t>
      </w:r>
      <w:r w:rsidR="00FC6471">
        <w:rPr>
          <w:sz w:val="24"/>
          <w:szCs w:val="24"/>
        </w:rPr>
        <w:t>около 8</w:t>
      </w:r>
      <w:r w:rsidRPr="0043035E">
        <w:rPr>
          <w:sz w:val="24"/>
          <w:szCs w:val="24"/>
        </w:rPr>
        <w:t xml:space="preserve"> млрд.руб. Запуск проекта создаст условия для дальнейшего развития предприятия и отраслей потребления его продукции: автокомпонентной отрасли, текстильной и легкой промышленности. </w:t>
      </w:r>
    </w:p>
    <w:p w:rsidR="00A50BA4" w:rsidRDefault="00A50BA4" w:rsidP="002546FC">
      <w:pPr>
        <w:spacing w:line="276" w:lineRule="auto"/>
        <w:ind w:firstLine="709"/>
        <w:jc w:val="both"/>
        <w:rPr>
          <w:sz w:val="24"/>
          <w:szCs w:val="24"/>
        </w:rPr>
      </w:pPr>
      <w:r w:rsidRPr="0043035E">
        <w:rPr>
          <w:sz w:val="24"/>
          <w:szCs w:val="24"/>
        </w:rPr>
        <w:t xml:space="preserve">Продолжается реализации проекта по производству </w:t>
      </w:r>
      <w:r w:rsidR="00F4030C" w:rsidRPr="00A74ED4">
        <w:rPr>
          <w:sz w:val="24"/>
          <w:szCs w:val="24"/>
        </w:rPr>
        <w:t>по производству полиамида-6 (IV очередь строительства)</w:t>
      </w:r>
      <w:r w:rsidR="00F4030C">
        <w:rPr>
          <w:sz w:val="24"/>
          <w:szCs w:val="24"/>
        </w:rPr>
        <w:t xml:space="preserve">, </w:t>
      </w:r>
      <w:r w:rsidRPr="0043035E">
        <w:rPr>
          <w:sz w:val="24"/>
          <w:szCs w:val="24"/>
        </w:rPr>
        <w:t>неконцентрированной азотной кислоты на базе УКЛ</w:t>
      </w:r>
      <w:r w:rsidRPr="00392DFF">
        <w:rPr>
          <w:sz w:val="24"/>
          <w:szCs w:val="24"/>
        </w:rPr>
        <w:t>.</w:t>
      </w:r>
      <w:r w:rsidR="00F4030C">
        <w:rPr>
          <w:sz w:val="24"/>
          <w:szCs w:val="24"/>
        </w:rPr>
        <w:t xml:space="preserve"> </w:t>
      </w:r>
      <w:r w:rsidRPr="0043035E">
        <w:rPr>
          <w:sz w:val="24"/>
          <w:szCs w:val="24"/>
        </w:rPr>
        <w:t>В 2016 году на предприятии запущен проект по расширению парка цистерн</w:t>
      </w:r>
      <w:r w:rsidR="00F4030C">
        <w:rPr>
          <w:sz w:val="24"/>
          <w:szCs w:val="24"/>
        </w:rPr>
        <w:t xml:space="preserve"> и</w:t>
      </w:r>
      <w:r w:rsidRPr="0043035E">
        <w:rPr>
          <w:sz w:val="24"/>
          <w:szCs w:val="24"/>
        </w:rPr>
        <w:t xml:space="preserve"> вагонов. </w:t>
      </w:r>
    </w:p>
    <w:p w:rsidR="00A50BA4" w:rsidRPr="00A74ED4" w:rsidRDefault="00A50BA4" w:rsidP="002546FC">
      <w:pPr>
        <w:spacing w:line="276" w:lineRule="auto"/>
        <w:ind w:firstLine="709"/>
        <w:jc w:val="both"/>
        <w:rPr>
          <w:sz w:val="24"/>
          <w:szCs w:val="24"/>
        </w:rPr>
      </w:pPr>
      <w:r w:rsidRPr="00226B4C">
        <w:rPr>
          <w:sz w:val="24"/>
          <w:szCs w:val="24"/>
        </w:rPr>
        <w:t xml:space="preserve">Кроме того, в настоящее время на ОАО «КуйбышевАзот» продолжается подготовка </w:t>
      </w:r>
      <w:r w:rsidRPr="00A74ED4">
        <w:rPr>
          <w:sz w:val="24"/>
          <w:szCs w:val="24"/>
        </w:rPr>
        <w:t xml:space="preserve">совместных производств с ведущими в своих областях деятельности зарубежными партнерами: с компанией Linde (Германия) строительство высокотехнологичной установки аммиака мощностью 1340 т/сут.; с корпорацией Praxair (США) строительство новой </w:t>
      </w:r>
      <w:r w:rsidR="00224B4F">
        <w:rPr>
          <w:sz w:val="24"/>
          <w:szCs w:val="24"/>
        </w:rPr>
        <w:t>воздухоразделительной установки.</w:t>
      </w:r>
    </w:p>
    <w:p w:rsidR="00A50BA4" w:rsidRPr="00350049" w:rsidRDefault="00A50BA4" w:rsidP="002546FC">
      <w:pPr>
        <w:spacing w:line="276" w:lineRule="auto"/>
        <w:ind w:firstLine="709"/>
        <w:jc w:val="both"/>
        <w:rPr>
          <w:sz w:val="24"/>
          <w:szCs w:val="24"/>
        </w:rPr>
      </w:pPr>
      <w:r w:rsidRPr="00350049">
        <w:rPr>
          <w:sz w:val="24"/>
          <w:szCs w:val="24"/>
        </w:rPr>
        <w:t>Развитие производственной площадки ЗАО «СИБУР Холдинг» в Тольятти происходит по двум ключевым направлениям: модернизация ООО «</w:t>
      </w:r>
      <w:r>
        <w:rPr>
          <w:sz w:val="24"/>
          <w:szCs w:val="24"/>
        </w:rPr>
        <w:t>Сибур Тольятти</w:t>
      </w:r>
      <w:r w:rsidRPr="00350049">
        <w:rPr>
          <w:sz w:val="24"/>
          <w:szCs w:val="24"/>
        </w:rPr>
        <w:t xml:space="preserve">» и организация технопарка на свободных площадях. </w:t>
      </w:r>
    </w:p>
    <w:p w:rsidR="00A50BA4" w:rsidRPr="00350049" w:rsidRDefault="00A50BA4" w:rsidP="002546F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ООО «Сибур Тольятти», </w:t>
      </w:r>
      <w:r w:rsidRPr="00350049">
        <w:rPr>
          <w:sz w:val="24"/>
          <w:szCs w:val="24"/>
        </w:rPr>
        <w:t>АО «Тольяттисинтез» реализуются инвестиционные проекты, направленные на поддержание основных фондов и внедрение новых технологий, экономию сырья и энергоресурсов, автоматизацию производства, снижение негативного воздействия на окружающую среду, а также улучшение состояния промышленной безопасности.</w:t>
      </w:r>
    </w:p>
    <w:p w:rsidR="00A50BA4" w:rsidRDefault="00A50BA4" w:rsidP="002546F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 полугодии 2016 года на </w:t>
      </w:r>
      <w:r w:rsidRPr="00F7161C">
        <w:rPr>
          <w:sz w:val="24"/>
          <w:szCs w:val="24"/>
        </w:rPr>
        <w:t>АО «Тольяттисинтез» продолжена реконструкция очистных сооружений: строительство иловой насосной станции</w:t>
      </w:r>
      <w:r>
        <w:rPr>
          <w:sz w:val="24"/>
          <w:szCs w:val="24"/>
        </w:rPr>
        <w:t xml:space="preserve"> и вторичных радиальных отстойников</w:t>
      </w:r>
      <w:r w:rsidRPr="002504AC">
        <w:rPr>
          <w:sz w:val="24"/>
          <w:szCs w:val="24"/>
        </w:rPr>
        <w:t>. Проект включен в инвестиционный паспорт городского округа Тольятти и получил муниципальную поддержку в части льготного налогового режима по налогу на землю в период строительства.</w:t>
      </w:r>
    </w:p>
    <w:p w:rsidR="00A50BA4" w:rsidRDefault="00A50BA4" w:rsidP="002546FC">
      <w:pPr>
        <w:spacing w:line="276" w:lineRule="auto"/>
        <w:ind w:firstLine="709"/>
        <w:jc w:val="both"/>
        <w:rPr>
          <w:sz w:val="24"/>
          <w:szCs w:val="24"/>
        </w:rPr>
      </w:pPr>
      <w:r w:rsidRPr="00A74ED4">
        <w:rPr>
          <w:sz w:val="24"/>
          <w:szCs w:val="24"/>
        </w:rPr>
        <w:t xml:space="preserve">На ОАО «Тольяттиазот» реализуются инвестиционные проекты  по реконструкции производства аммиака и реконструкции агрегатов карбамида. </w:t>
      </w:r>
    </w:p>
    <w:p w:rsidR="00F4030C" w:rsidRDefault="00224B4F" w:rsidP="00F4030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4030C" w:rsidRPr="00E941F0">
        <w:rPr>
          <w:sz w:val="24"/>
          <w:szCs w:val="24"/>
        </w:rPr>
        <w:t xml:space="preserve"> 1 полугодии 2016 года на 72,6 % к уровню прошлого года до 13,5 млн. руб.</w:t>
      </w:r>
      <w:r w:rsidR="00F4030C">
        <w:rPr>
          <w:sz w:val="24"/>
          <w:szCs w:val="24"/>
        </w:rPr>
        <w:t xml:space="preserve"> </w:t>
      </w:r>
      <w:r w:rsidR="00F4030C" w:rsidRPr="00E941F0">
        <w:rPr>
          <w:sz w:val="24"/>
          <w:szCs w:val="24"/>
        </w:rPr>
        <w:t xml:space="preserve">снизились инвестиции у предприятий </w:t>
      </w:r>
      <w:r w:rsidR="00F4030C">
        <w:rPr>
          <w:sz w:val="24"/>
          <w:szCs w:val="24"/>
        </w:rPr>
        <w:t>строительной отрасли;</w:t>
      </w:r>
      <w:r w:rsidR="00F4030C" w:rsidRPr="00E941F0">
        <w:rPr>
          <w:sz w:val="24"/>
          <w:szCs w:val="24"/>
        </w:rPr>
        <w:t xml:space="preserve"> на 23,8 % до 331,6 млн. руб. - на предприятиях оптовой и розничной торговли</w:t>
      </w:r>
      <w:r w:rsidR="00F4030C">
        <w:rPr>
          <w:sz w:val="24"/>
          <w:szCs w:val="24"/>
        </w:rPr>
        <w:t>; на 30,0 % до 682,4</w:t>
      </w:r>
      <w:r w:rsidR="00F4030C" w:rsidRPr="00AA7C29">
        <w:rPr>
          <w:sz w:val="24"/>
          <w:szCs w:val="24"/>
        </w:rPr>
        <w:t xml:space="preserve"> </w:t>
      </w:r>
      <w:r w:rsidR="00F4030C" w:rsidRPr="00E941F0">
        <w:rPr>
          <w:sz w:val="24"/>
          <w:szCs w:val="24"/>
        </w:rPr>
        <w:t>млн. руб. - на предприятиях</w:t>
      </w:r>
      <w:r w:rsidR="00F4030C">
        <w:rPr>
          <w:sz w:val="24"/>
          <w:szCs w:val="24"/>
        </w:rPr>
        <w:t xml:space="preserve"> </w:t>
      </w:r>
      <w:r w:rsidR="00F4030C" w:rsidRPr="00AA7C29">
        <w:rPr>
          <w:sz w:val="24"/>
          <w:szCs w:val="24"/>
        </w:rPr>
        <w:t xml:space="preserve">в сфере операций с недвижимым имуществом, аренды и предоставлении услуг. </w:t>
      </w:r>
    </w:p>
    <w:p w:rsidR="00F4030C" w:rsidRPr="00AA7C29" w:rsidRDefault="00F4030C" w:rsidP="00F4030C">
      <w:pPr>
        <w:spacing w:line="276" w:lineRule="auto"/>
        <w:ind w:firstLine="709"/>
        <w:jc w:val="both"/>
        <w:rPr>
          <w:sz w:val="24"/>
          <w:szCs w:val="24"/>
        </w:rPr>
      </w:pPr>
      <w:r w:rsidRPr="00AA7C29">
        <w:rPr>
          <w:sz w:val="24"/>
          <w:szCs w:val="24"/>
        </w:rPr>
        <w:t xml:space="preserve">При этом </w:t>
      </w:r>
      <w:r>
        <w:rPr>
          <w:sz w:val="24"/>
          <w:szCs w:val="24"/>
        </w:rPr>
        <w:t xml:space="preserve">в 1 полугодии </w:t>
      </w:r>
      <w:r w:rsidRPr="00AA7C29">
        <w:rPr>
          <w:sz w:val="24"/>
          <w:szCs w:val="24"/>
        </w:rPr>
        <w:t xml:space="preserve">2016 года в </w:t>
      </w:r>
      <w:r>
        <w:rPr>
          <w:sz w:val="24"/>
          <w:szCs w:val="24"/>
        </w:rPr>
        <w:t xml:space="preserve">3,3 </w:t>
      </w:r>
      <w:r w:rsidRPr="00AA7C29">
        <w:rPr>
          <w:sz w:val="24"/>
          <w:szCs w:val="24"/>
        </w:rPr>
        <w:t xml:space="preserve">раза до </w:t>
      </w:r>
      <w:r>
        <w:rPr>
          <w:sz w:val="24"/>
          <w:szCs w:val="24"/>
        </w:rPr>
        <w:t>491,7</w:t>
      </w:r>
      <w:r w:rsidRPr="00AA7C29">
        <w:rPr>
          <w:sz w:val="24"/>
          <w:szCs w:val="24"/>
        </w:rPr>
        <w:t xml:space="preserve"> млн. руб. к уровню аналогичного периода прошлого года увеличились инвестиции в сфере  производства и распределения электроэнергии, газа и воды</w:t>
      </w:r>
      <w:r>
        <w:rPr>
          <w:sz w:val="24"/>
          <w:szCs w:val="24"/>
        </w:rPr>
        <w:t xml:space="preserve">; </w:t>
      </w:r>
      <w:r w:rsidRPr="00AA7C29">
        <w:rPr>
          <w:sz w:val="24"/>
          <w:szCs w:val="24"/>
        </w:rPr>
        <w:t xml:space="preserve"> в 3,</w:t>
      </w:r>
      <w:r>
        <w:rPr>
          <w:sz w:val="24"/>
          <w:szCs w:val="24"/>
        </w:rPr>
        <w:t>7</w:t>
      </w:r>
      <w:r w:rsidRPr="00AA7C29">
        <w:rPr>
          <w:sz w:val="24"/>
          <w:szCs w:val="24"/>
        </w:rPr>
        <w:t xml:space="preserve"> раза до </w:t>
      </w:r>
      <w:r>
        <w:rPr>
          <w:sz w:val="24"/>
          <w:szCs w:val="24"/>
        </w:rPr>
        <w:t>65,2</w:t>
      </w:r>
      <w:r w:rsidRPr="00AA7C29">
        <w:rPr>
          <w:sz w:val="24"/>
          <w:szCs w:val="24"/>
        </w:rPr>
        <w:t xml:space="preserve"> млн. руб. </w:t>
      </w:r>
      <w:r>
        <w:rPr>
          <w:sz w:val="24"/>
          <w:szCs w:val="24"/>
        </w:rPr>
        <w:t>- по отрасли «транспорт и связь»; в 1,6 раза до 177,4 млн. руб.</w:t>
      </w:r>
      <w:r w:rsidRPr="00AA7C29">
        <w:rPr>
          <w:sz w:val="24"/>
          <w:szCs w:val="24"/>
        </w:rPr>
        <w:t xml:space="preserve"> </w:t>
      </w:r>
      <w:r>
        <w:rPr>
          <w:sz w:val="24"/>
          <w:szCs w:val="24"/>
        </w:rPr>
        <w:t>- по отрасли «гостиницы и рестораны»; в 1,3 раза до 52,2 млн. руб.</w:t>
      </w:r>
      <w:r w:rsidRPr="00AA7C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по отрасли «образование»; </w:t>
      </w:r>
      <w:r w:rsidRPr="00AA7C29">
        <w:rPr>
          <w:sz w:val="24"/>
          <w:szCs w:val="24"/>
        </w:rPr>
        <w:t xml:space="preserve"> </w:t>
      </w:r>
      <w:r>
        <w:rPr>
          <w:sz w:val="24"/>
          <w:szCs w:val="24"/>
        </w:rPr>
        <w:t>в 1,2 раза до 109,0 млн. руб.</w:t>
      </w:r>
      <w:r w:rsidRPr="00AA7C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по отрасли «здравоохранение и предоставление социальных услуг»; </w:t>
      </w:r>
      <w:r w:rsidRPr="00AA7C29">
        <w:rPr>
          <w:sz w:val="24"/>
          <w:szCs w:val="24"/>
        </w:rPr>
        <w:t xml:space="preserve"> </w:t>
      </w:r>
      <w:r>
        <w:rPr>
          <w:sz w:val="24"/>
          <w:szCs w:val="24"/>
        </w:rPr>
        <w:t>в 2,1 раза до 95,0 млн. руб.</w:t>
      </w:r>
      <w:r w:rsidRPr="00AA7C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A7C29">
        <w:rPr>
          <w:sz w:val="24"/>
          <w:szCs w:val="24"/>
        </w:rPr>
        <w:t xml:space="preserve"> </w:t>
      </w:r>
      <w:r>
        <w:rPr>
          <w:sz w:val="24"/>
          <w:szCs w:val="24"/>
        </w:rPr>
        <w:t>в сфере предоставления прочих коммунальных, социальных и персональных услуг.</w:t>
      </w:r>
    </w:p>
    <w:p w:rsidR="00A50BA4" w:rsidRPr="00A44276" w:rsidRDefault="00A50BA4" w:rsidP="002546FC">
      <w:pPr>
        <w:spacing w:line="276" w:lineRule="auto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На основании фактических данных за 1 полугодие 2016 года и плановых объемов капиталовложений ведущих промышленных предприятий города, с учетом высокой базы 2015 года, </w:t>
      </w:r>
      <w:r>
        <w:rPr>
          <w:color w:val="000000"/>
          <w:sz w:val="24"/>
          <w:szCs w:val="24"/>
        </w:rPr>
        <w:t xml:space="preserve">объем инвестиций в основной </w:t>
      </w:r>
      <w:r w:rsidRPr="00392DFF">
        <w:rPr>
          <w:color w:val="000000"/>
          <w:sz w:val="24"/>
          <w:szCs w:val="24"/>
        </w:rPr>
        <w:t>капитал в 2016 году оценочно</w:t>
      </w:r>
      <w:r w:rsidRPr="00392DFF">
        <w:rPr>
          <w:sz w:val="24"/>
          <w:szCs w:val="24"/>
        </w:rPr>
        <w:t xml:space="preserve"> снизится на 44,8 % в сопоставимых ценах к уровню 2015 года до 33,0 млрд</w:t>
      </w:r>
      <w:r>
        <w:rPr>
          <w:sz w:val="24"/>
          <w:szCs w:val="24"/>
        </w:rPr>
        <w:t>. руб.</w:t>
      </w:r>
      <w:r w:rsidRPr="00B97A86">
        <w:rPr>
          <w:sz w:val="24"/>
          <w:szCs w:val="24"/>
        </w:rPr>
        <w:t xml:space="preserve"> </w:t>
      </w:r>
    </w:p>
    <w:p w:rsidR="00A50BA4" w:rsidRPr="00FF42B9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7161C">
        <w:rPr>
          <w:sz w:val="24"/>
          <w:szCs w:val="24"/>
        </w:rPr>
        <w:t xml:space="preserve">егативное влияние на инвестиционную деятельность в текущем году </w:t>
      </w:r>
      <w:r>
        <w:rPr>
          <w:sz w:val="24"/>
          <w:szCs w:val="24"/>
        </w:rPr>
        <w:t xml:space="preserve">продолжают </w:t>
      </w:r>
      <w:r w:rsidRPr="00F7161C">
        <w:rPr>
          <w:sz w:val="24"/>
          <w:szCs w:val="24"/>
        </w:rPr>
        <w:t>оказыва</w:t>
      </w:r>
      <w:r>
        <w:rPr>
          <w:sz w:val="24"/>
          <w:szCs w:val="24"/>
        </w:rPr>
        <w:t>ть</w:t>
      </w:r>
      <w:r w:rsidRPr="00F7161C">
        <w:rPr>
          <w:sz w:val="24"/>
          <w:szCs w:val="24"/>
        </w:rPr>
        <w:t xml:space="preserve"> такие факторы, как ограничение доступа к внешнему финансированию, рост </w:t>
      </w:r>
      <w:r w:rsidRPr="00F7161C">
        <w:rPr>
          <w:sz w:val="24"/>
          <w:szCs w:val="24"/>
        </w:rPr>
        <w:lastRenderedPageBreak/>
        <w:t xml:space="preserve">стоимости банковских кредитов, удорожание импортируемых инвестиционных товаров, которые вызывают неопределенность и экономическую неуверенность инвесторов. </w:t>
      </w:r>
    </w:p>
    <w:p w:rsidR="0001660B" w:rsidRDefault="0001660B" w:rsidP="00CF1CBC">
      <w:pPr>
        <w:spacing w:line="276" w:lineRule="auto"/>
        <w:jc w:val="center"/>
        <w:rPr>
          <w:sz w:val="24"/>
          <w:szCs w:val="24"/>
        </w:rPr>
      </w:pPr>
    </w:p>
    <w:p w:rsidR="00A50BA4" w:rsidRDefault="00A50BA4" w:rsidP="00CF1CBC">
      <w:pPr>
        <w:spacing w:line="276" w:lineRule="auto"/>
        <w:jc w:val="center"/>
        <w:rPr>
          <w:sz w:val="24"/>
          <w:szCs w:val="24"/>
        </w:rPr>
      </w:pPr>
      <w:r w:rsidRPr="00B97A86">
        <w:rPr>
          <w:sz w:val="24"/>
          <w:szCs w:val="24"/>
        </w:rPr>
        <w:t>Ожидаемое выполнение прогнозн</w:t>
      </w:r>
      <w:r>
        <w:rPr>
          <w:sz w:val="24"/>
          <w:szCs w:val="24"/>
        </w:rPr>
        <w:t>ого</w:t>
      </w:r>
      <w:r w:rsidRPr="00B97A86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я</w:t>
      </w:r>
      <w:r w:rsidRPr="00B97A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инвестиций в основной капитал </w:t>
      </w:r>
    </w:p>
    <w:p w:rsidR="00A50BA4" w:rsidRDefault="00A50BA4" w:rsidP="00CF1CBC">
      <w:pPr>
        <w:spacing w:line="276" w:lineRule="auto"/>
        <w:jc w:val="center"/>
        <w:rPr>
          <w:sz w:val="24"/>
          <w:szCs w:val="24"/>
        </w:rPr>
      </w:pPr>
      <w:r w:rsidRPr="00B97A86">
        <w:rPr>
          <w:sz w:val="24"/>
          <w:szCs w:val="24"/>
        </w:rPr>
        <w:t>на 201</w:t>
      </w:r>
      <w:r>
        <w:rPr>
          <w:sz w:val="24"/>
          <w:szCs w:val="24"/>
        </w:rPr>
        <w:t>6</w:t>
      </w:r>
      <w:r w:rsidRPr="00B97A86">
        <w:rPr>
          <w:sz w:val="24"/>
          <w:szCs w:val="24"/>
        </w:rPr>
        <w:t xml:space="preserve"> год</w:t>
      </w:r>
    </w:p>
    <w:p w:rsidR="0001660B" w:rsidRDefault="0001660B" w:rsidP="00CF1CBC">
      <w:pPr>
        <w:spacing w:line="276" w:lineRule="auto"/>
        <w:jc w:val="center"/>
        <w:rPr>
          <w:sz w:val="24"/>
          <w:szCs w:val="24"/>
        </w:rPr>
      </w:pPr>
    </w:p>
    <w:tbl>
      <w:tblPr>
        <w:tblW w:w="9473" w:type="dxa"/>
        <w:tblInd w:w="108" w:type="dxa"/>
        <w:tblLayout w:type="fixed"/>
        <w:tblLook w:val="0000"/>
      </w:tblPr>
      <w:tblGrid>
        <w:gridCol w:w="3402"/>
        <w:gridCol w:w="1276"/>
        <w:gridCol w:w="1701"/>
        <w:gridCol w:w="1559"/>
        <w:gridCol w:w="1535"/>
      </w:tblGrid>
      <w:tr w:rsidR="00A50BA4" w:rsidRPr="00B97A86" w:rsidTr="009A3B1B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B97A86" w:rsidRDefault="00A50BA4" w:rsidP="004B5D26">
            <w:pPr>
              <w:snapToGrid w:val="0"/>
              <w:ind w:firstLine="5"/>
              <w:jc w:val="center"/>
              <w:rPr>
                <w:sz w:val="24"/>
                <w:szCs w:val="24"/>
              </w:rPr>
            </w:pPr>
          </w:p>
          <w:p w:rsidR="00A50BA4" w:rsidRPr="00B97A86" w:rsidRDefault="00A50BA4" w:rsidP="004B5D26">
            <w:pPr>
              <w:ind w:firstLine="5"/>
              <w:jc w:val="center"/>
              <w:rPr>
                <w:sz w:val="24"/>
                <w:szCs w:val="24"/>
              </w:rPr>
            </w:pPr>
            <w:r w:rsidRPr="00B97A86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B97A86" w:rsidRDefault="00A50BA4" w:rsidP="009A3B1B">
            <w:pPr>
              <w:ind w:firstLine="5"/>
              <w:jc w:val="center"/>
              <w:rPr>
                <w:sz w:val="24"/>
                <w:szCs w:val="24"/>
              </w:rPr>
            </w:pPr>
            <w:r w:rsidRPr="00B97A86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  <w:r w:rsidRPr="00B97A86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2546FC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 xml:space="preserve">Прогноз </w:t>
            </w:r>
            <w:r>
              <w:rPr>
                <w:sz w:val="24"/>
                <w:szCs w:val="24"/>
              </w:rPr>
              <w:t xml:space="preserve">на </w:t>
            </w: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6E74" w:rsidRDefault="00A50BA4" w:rsidP="002546FC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 (оценка)</w:t>
            </w:r>
          </w:p>
        </w:tc>
      </w:tr>
      <w:tr w:rsidR="00A50BA4" w:rsidRPr="00B97A86" w:rsidTr="009A3B1B">
        <w:trPr>
          <w:trHeight w:val="24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B97A86" w:rsidRDefault="00A50BA4" w:rsidP="004B5D26">
            <w:pPr>
              <w:snapToGrid w:val="0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B97A86" w:rsidRDefault="00A50BA4" w:rsidP="004B5D26">
            <w:pPr>
              <w:snapToGrid w:val="0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B97A86" w:rsidRDefault="00A50BA4" w:rsidP="004B5D26">
            <w:pPr>
              <w:ind w:firstLine="5"/>
              <w:jc w:val="center"/>
              <w:rPr>
                <w:sz w:val="24"/>
                <w:szCs w:val="24"/>
              </w:rPr>
            </w:pPr>
            <w:r w:rsidRPr="00B97A86">
              <w:rPr>
                <w:sz w:val="24"/>
                <w:szCs w:val="24"/>
              </w:rPr>
              <w:t>1 вариант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B97A86" w:rsidRDefault="00A50BA4" w:rsidP="004B5D26">
            <w:pPr>
              <w:ind w:firstLine="5"/>
              <w:jc w:val="center"/>
              <w:rPr>
                <w:sz w:val="24"/>
                <w:szCs w:val="24"/>
              </w:rPr>
            </w:pPr>
            <w:r w:rsidRPr="00B97A86">
              <w:rPr>
                <w:sz w:val="24"/>
                <w:szCs w:val="24"/>
              </w:rPr>
              <w:t>2 вариант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B97A86" w:rsidRDefault="00A50BA4" w:rsidP="004B5D26">
            <w:pPr>
              <w:snapToGrid w:val="0"/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A50BA4" w:rsidRPr="00A44276" w:rsidTr="009A3B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B97A86" w:rsidRDefault="00A50BA4" w:rsidP="00CF1CBC">
            <w:pPr>
              <w:ind w:firstLine="5"/>
              <w:rPr>
                <w:sz w:val="24"/>
                <w:szCs w:val="24"/>
              </w:rPr>
            </w:pPr>
            <w:r w:rsidRPr="00B97A86">
              <w:rPr>
                <w:sz w:val="24"/>
                <w:szCs w:val="24"/>
              </w:rPr>
              <w:t>Объем инвестиций в основной капитал за счет всех источников финансирования по крупным и средним предприятиям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B97A86" w:rsidRDefault="00A50BA4" w:rsidP="00CF1CBC">
            <w:pPr>
              <w:ind w:firstLine="5"/>
              <w:jc w:val="center"/>
              <w:rPr>
                <w:sz w:val="24"/>
                <w:szCs w:val="24"/>
              </w:rPr>
            </w:pPr>
            <w:r w:rsidRPr="00B97A86">
              <w:rPr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B97A86" w:rsidRDefault="00A50BA4" w:rsidP="00CF1CBC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32 358,5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B97A86" w:rsidRDefault="00A50BA4" w:rsidP="00CF1CBC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38 021,5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B97A86" w:rsidRDefault="00A50BA4" w:rsidP="00CF1CBC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32 990,0</w:t>
            </w:r>
          </w:p>
        </w:tc>
      </w:tr>
    </w:tbl>
    <w:p w:rsidR="00A50BA4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</w:p>
    <w:p w:rsidR="005D20F5" w:rsidRDefault="005D20F5" w:rsidP="005D20F5">
      <w:pPr>
        <w:spacing w:line="276" w:lineRule="auto"/>
        <w:ind w:firstLine="709"/>
        <w:jc w:val="both"/>
        <w:rPr>
          <w:sz w:val="24"/>
          <w:szCs w:val="24"/>
        </w:rPr>
      </w:pPr>
      <w:r w:rsidRPr="0016546B">
        <w:rPr>
          <w:sz w:val="24"/>
          <w:szCs w:val="24"/>
        </w:rPr>
        <w:t>Одним из механизмов повышени</w:t>
      </w:r>
      <w:r>
        <w:rPr>
          <w:sz w:val="24"/>
          <w:szCs w:val="24"/>
        </w:rPr>
        <w:t>я</w:t>
      </w:r>
      <w:r w:rsidRPr="0016546B">
        <w:rPr>
          <w:sz w:val="24"/>
          <w:szCs w:val="24"/>
        </w:rPr>
        <w:t xml:space="preserve"> инвестиционной привлекательности</w:t>
      </w:r>
      <w:r>
        <w:rPr>
          <w:sz w:val="24"/>
          <w:szCs w:val="24"/>
        </w:rPr>
        <w:t xml:space="preserve"> города</w:t>
      </w:r>
      <w:r w:rsidRPr="0016546B">
        <w:rPr>
          <w:sz w:val="24"/>
          <w:szCs w:val="24"/>
        </w:rPr>
        <w:t xml:space="preserve">, является муниципальная </w:t>
      </w:r>
      <w:r w:rsidRPr="00DE33EA">
        <w:rPr>
          <w:sz w:val="24"/>
          <w:szCs w:val="24"/>
        </w:rPr>
        <w:t>программа «Повышение инвестиционной привлекательности и создание условий для инновационного развития городского округа Тольятти на 2014-2016 годы</w:t>
      </w:r>
      <w:r>
        <w:rPr>
          <w:sz w:val="24"/>
          <w:szCs w:val="24"/>
        </w:rPr>
        <w:t xml:space="preserve">», </w:t>
      </w:r>
      <w:r w:rsidRPr="005F05F0">
        <w:rPr>
          <w:sz w:val="24"/>
          <w:szCs w:val="24"/>
        </w:rPr>
        <w:t>утвержденн</w:t>
      </w:r>
      <w:r>
        <w:rPr>
          <w:sz w:val="24"/>
          <w:szCs w:val="24"/>
        </w:rPr>
        <w:t>ая</w:t>
      </w:r>
      <w:r w:rsidRPr="005F05F0">
        <w:rPr>
          <w:sz w:val="24"/>
          <w:szCs w:val="24"/>
        </w:rPr>
        <w:t xml:space="preserve"> постановлением мэрии городского округа </w:t>
      </w:r>
      <w:r>
        <w:rPr>
          <w:sz w:val="24"/>
          <w:szCs w:val="24"/>
        </w:rPr>
        <w:t xml:space="preserve">Тольятти </w:t>
      </w:r>
      <w:r w:rsidRPr="005F05F0">
        <w:rPr>
          <w:sz w:val="24"/>
          <w:szCs w:val="24"/>
        </w:rPr>
        <w:t>от 11.10.2013г № 3145-п/1</w:t>
      </w:r>
      <w:r>
        <w:rPr>
          <w:sz w:val="24"/>
          <w:szCs w:val="24"/>
        </w:rPr>
        <w:t>. Учитывая отсутствие средств бюджета городского округа Тольятти на реализацию всех мероприятий Программы в 2016 году, реализация мероприятий осуществля</w:t>
      </w:r>
      <w:r w:rsidR="001C4C7B">
        <w:rPr>
          <w:sz w:val="24"/>
          <w:szCs w:val="24"/>
        </w:rPr>
        <w:t>ется</w:t>
      </w:r>
      <w:r>
        <w:rPr>
          <w:sz w:val="24"/>
          <w:szCs w:val="24"/>
        </w:rPr>
        <w:t xml:space="preserve"> исключительно в рамках текущей деятельности мэрии городского округа, а именно:</w:t>
      </w:r>
    </w:p>
    <w:p w:rsidR="005D20F5" w:rsidRPr="002B4BCF" w:rsidRDefault="005D20F5" w:rsidP="005D20F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</w:t>
      </w:r>
      <w:r w:rsidR="001C4C7B">
        <w:rPr>
          <w:sz w:val="24"/>
          <w:szCs w:val="24"/>
        </w:rPr>
        <w:t>ются</w:t>
      </w:r>
      <w:r>
        <w:rPr>
          <w:sz w:val="24"/>
          <w:szCs w:val="24"/>
        </w:rPr>
        <w:t xml:space="preserve"> </w:t>
      </w:r>
      <w:r w:rsidRPr="00DE33EA">
        <w:rPr>
          <w:sz w:val="24"/>
          <w:szCs w:val="24"/>
        </w:rPr>
        <w:t>нормативные право</w:t>
      </w:r>
      <w:r w:rsidRPr="0016546B">
        <w:rPr>
          <w:sz w:val="24"/>
          <w:szCs w:val="24"/>
        </w:rPr>
        <w:t xml:space="preserve">вые акты, регламентирующие инвестиционную деятельность на территории городского округа </w:t>
      </w:r>
      <w:r>
        <w:rPr>
          <w:sz w:val="24"/>
          <w:szCs w:val="24"/>
        </w:rPr>
        <w:t>Тольятти, а также нормативные правовые акты в сфере</w:t>
      </w:r>
      <w:r w:rsidRPr="002B4BCF">
        <w:rPr>
          <w:sz w:val="24"/>
          <w:szCs w:val="24"/>
        </w:rPr>
        <w:t xml:space="preserve"> муниципально-частного партнерства на территории городского округа </w:t>
      </w:r>
      <w:r>
        <w:rPr>
          <w:sz w:val="24"/>
          <w:szCs w:val="24"/>
        </w:rPr>
        <w:t>Тольятти;</w:t>
      </w:r>
    </w:p>
    <w:p w:rsidR="005D20F5" w:rsidRPr="00BF0D02" w:rsidRDefault="005D20F5" w:rsidP="005D20F5">
      <w:pPr>
        <w:tabs>
          <w:tab w:val="left" w:pos="0"/>
          <w:tab w:val="left" w:pos="561"/>
          <w:tab w:val="left" w:pos="993"/>
        </w:tabs>
        <w:suppressAutoHyphens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0E136D">
        <w:rPr>
          <w:sz w:val="24"/>
          <w:szCs w:val="24"/>
        </w:rPr>
        <w:t xml:space="preserve"> целях инфраструктурного обеспечения инвестиционной деятельности на территории городского округа Тольятти, на регулярной основе осуществля</w:t>
      </w:r>
      <w:r w:rsidR="001C4C7B">
        <w:rPr>
          <w:sz w:val="24"/>
          <w:szCs w:val="24"/>
        </w:rPr>
        <w:t>ется</w:t>
      </w:r>
      <w:r w:rsidRPr="000E136D">
        <w:rPr>
          <w:sz w:val="24"/>
          <w:szCs w:val="24"/>
        </w:rPr>
        <w:t xml:space="preserve"> мониторинг наличия свободных инвестиционных площадок на территории города для реализации инвестиционных проектов, а также актуализация имеющейся информации в базе свободных инвестици</w:t>
      </w:r>
      <w:r>
        <w:rPr>
          <w:sz w:val="24"/>
          <w:szCs w:val="24"/>
        </w:rPr>
        <w:t>онных площадок. Информация размеща</w:t>
      </w:r>
      <w:r w:rsidR="001C4C7B">
        <w:rPr>
          <w:sz w:val="24"/>
          <w:szCs w:val="24"/>
        </w:rPr>
        <w:t>ется</w:t>
      </w:r>
      <w:r>
        <w:rPr>
          <w:sz w:val="24"/>
          <w:szCs w:val="24"/>
        </w:rPr>
        <w:t xml:space="preserve"> в открытом доступе </w:t>
      </w:r>
      <w:r w:rsidRPr="00BF0D02">
        <w:rPr>
          <w:sz w:val="24"/>
          <w:szCs w:val="24"/>
        </w:rPr>
        <w:t>на Инвестиционном портале городского округа Тольятти;</w:t>
      </w:r>
    </w:p>
    <w:p w:rsidR="005D20F5" w:rsidRDefault="005D20F5" w:rsidP="005D20F5">
      <w:pPr>
        <w:tabs>
          <w:tab w:val="left" w:pos="0"/>
          <w:tab w:val="left" w:pos="284"/>
          <w:tab w:val="left" w:pos="561"/>
          <w:tab w:val="left" w:pos="993"/>
          <w:tab w:val="left" w:pos="1134"/>
        </w:tabs>
        <w:suppressAutoHyphens w:val="0"/>
        <w:spacing w:line="276" w:lineRule="auto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05F0">
        <w:rPr>
          <w:sz w:val="24"/>
          <w:szCs w:val="24"/>
        </w:rPr>
        <w:t>в целях повышения «инвестиционного имиджа» и инвестиционной привлекательности города провод</w:t>
      </w:r>
      <w:r w:rsidR="001C4C7B">
        <w:rPr>
          <w:sz w:val="24"/>
          <w:szCs w:val="24"/>
        </w:rPr>
        <w:t>ятся</w:t>
      </w:r>
      <w:r w:rsidRPr="005F05F0">
        <w:rPr>
          <w:sz w:val="24"/>
          <w:szCs w:val="24"/>
        </w:rPr>
        <w:t xml:space="preserve"> презентации ин</w:t>
      </w:r>
      <w:r>
        <w:rPr>
          <w:sz w:val="24"/>
          <w:szCs w:val="24"/>
        </w:rPr>
        <w:t xml:space="preserve">вестиционного потенциала города в рамках </w:t>
      </w:r>
      <w:r w:rsidRPr="005F05F0">
        <w:rPr>
          <w:sz w:val="24"/>
          <w:szCs w:val="24"/>
        </w:rPr>
        <w:t>визитов иностранных делегаций, делегаций городов-побратимов, регионов и</w:t>
      </w:r>
      <w:r>
        <w:rPr>
          <w:sz w:val="24"/>
          <w:szCs w:val="24"/>
        </w:rPr>
        <w:t xml:space="preserve"> муниципальных образований РФ, а также во время участия в международной конференции, прошедшей в г.Набережные Челны Республики Татарстан;</w:t>
      </w:r>
    </w:p>
    <w:p w:rsidR="005D20F5" w:rsidRPr="00463ECE" w:rsidRDefault="005D20F5" w:rsidP="005D20F5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в</w:t>
      </w:r>
      <w:r w:rsidRPr="00463ECE">
        <w:rPr>
          <w:sz w:val="24"/>
          <w:szCs w:val="24"/>
        </w:rPr>
        <w:t xml:space="preserve"> целях информационной поддержки и освещения результатов инвестиционной деятельности и инвестиционного потенциала городского округа Тольятти, на Инвестиционном портале городского округа Тольятти </w:t>
      </w:r>
      <w:r w:rsidR="00E81E8A">
        <w:rPr>
          <w:sz w:val="24"/>
          <w:szCs w:val="24"/>
        </w:rPr>
        <w:t>обновляется</w:t>
      </w:r>
      <w:r w:rsidRPr="00463ECE">
        <w:rPr>
          <w:sz w:val="24"/>
          <w:szCs w:val="24"/>
        </w:rPr>
        <w:t xml:space="preserve"> информация, представляющая интерес для инвесторов и потенциальных инвесторов городско</w:t>
      </w:r>
      <w:r>
        <w:rPr>
          <w:sz w:val="24"/>
          <w:szCs w:val="24"/>
        </w:rPr>
        <w:t>го округа Тольятти;</w:t>
      </w:r>
      <w:r w:rsidRPr="00463E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размещен </w:t>
      </w:r>
      <w:r w:rsidRPr="00463ECE">
        <w:rPr>
          <w:sz w:val="24"/>
          <w:szCs w:val="24"/>
        </w:rPr>
        <w:t>единый</w:t>
      </w:r>
      <w:r>
        <w:rPr>
          <w:sz w:val="24"/>
          <w:szCs w:val="24"/>
        </w:rPr>
        <w:t xml:space="preserve"> </w:t>
      </w:r>
      <w:r w:rsidRPr="00463ECE">
        <w:rPr>
          <w:sz w:val="24"/>
          <w:szCs w:val="24"/>
        </w:rPr>
        <w:t xml:space="preserve">перечень мер поддержки монопрофильных муниципальных образований Российской Федерации (моногородов), включающий в себя перечень из 95 мер поддержки инвестиционных проектов, реализуемых на территории моногородов, к числу которых относится городской округ Тольятти, а также создан особый раздел по деятельности </w:t>
      </w:r>
      <w:r w:rsidRPr="00EC632F">
        <w:rPr>
          <w:sz w:val="24"/>
          <w:szCs w:val="24"/>
        </w:rPr>
        <w:t>территори</w:t>
      </w:r>
      <w:r>
        <w:rPr>
          <w:sz w:val="24"/>
          <w:szCs w:val="24"/>
        </w:rPr>
        <w:t>и</w:t>
      </w:r>
      <w:r w:rsidRPr="00EC632F">
        <w:rPr>
          <w:sz w:val="24"/>
          <w:szCs w:val="24"/>
        </w:rPr>
        <w:t xml:space="preserve"> опережающего социально-экономического разви</w:t>
      </w:r>
      <w:r>
        <w:rPr>
          <w:sz w:val="24"/>
          <w:szCs w:val="24"/>
        </w:rPr>
        <w:t xml:space="preserve">тия «Тольятти» </w:t>
      </w:r>
      <w:r>
        <w:rPr>
          <w:sz w:val="24"/>
          <w:szCs w:val="24"/>
        </w:rPr>
        <w:lastRenderedPageBreak/>
        <w:t>(ТОСЭР)</w:t>
      </w:r>
      <w:r w:rsidRPr="00463ECE">
        <w:rPr>
          <w:sz w:val="24"/>
          <w:szCs w:val="24"/>
        </w:rPr>
        <w:t>, включающий в себя следующие элементы: презентацию, виды деятельности, нормативную правовую базу, анкету потенциального резидента и часто задаваемые вопросы. Информация будет наполняться и обновляться по мере ее поступления.</w:t>
      </w:r>
    </w:p>
    <w:p w:rsidR="005D20F5" w:rsidRDefault="005D20F5" w:rsidP="005D20F5">
      <w:pPr>
        <w:spacing w:line="276" w:lineRule="auto"/>
        <w:ind w:firstLine="709"/>
        <w:jc w:val="both"/>
        <w:rPr>
          <w:sz w:val="24"/>
          <w:szCs w:val="24"/>
        </w:rPr>
      </w:pPr>
      <w:r w:rsidRPr="00B43B6F">
        <w:rPr>
          <w:sz w:val="24"/>
          <w:szCs w:val="24"/>
        </w:rPr>
        <w:t xml:space="preserve">Кроме того, </w:t>
      </w:r>
      <w:r>
        <w:rPr>
          <w:sz w:val="24"/>
          <w:szCs w:val="24"/>
        </w:rPr>
        <w:t xml:space="preserve">вне Программы, в целях улучшения инвестиционного климата в городе, </w:t>
      </w:r>
      <w:r w:rsidRPr="00B43B6F">
        <w:rPr>
          <w:sz w:val="24"/>
          <w:szCs w:val="24"/>
        </w:rPr>
        <w:t xml:space="preserve">мэрией городского округа </w:t>
      </w:r>
      <w:r>
        <w:rPr>
          <w:sz w:val="24"/>
          <w:szCs w:val="24"/>
        </w:rPr>
        <w:t>проводились следующие мероприятия:</w:t>
      </w:r>
    </w:p>
    <w:p w:rsidR="005D20F5" w:rsidRPr="00EC632F" w:rsidRDefault="005D20F5" w:rsidP="005D20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C632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велась работа по созданию ТОСЭР (утверждено </w:t>
      </w:r>
      <w:r w:rsidRPr="00EC632F">
        <w:rPr>
          <w:sz w:val="24"/>
          <w:szCs w:val="24"/>
        </w:rPr>
        <w:t>Постановлением Правительства Российской Федерации от 28.09.2016г №974</w:t>
      </w:r>
      <w:r>
        <w:rPr>
          <w:sz w:val="24"/>
          <w:szCs w:val="24"/>
        </w:rPr>
        <w:t xml:space="preserve">), в рамках которой </w:t>
      </w:r>
      <w:r w:rsidRPr="00EC632F">
        <w:rPr>
          <w:sz w:val="24"/>
          <w:szCs w:val="24"/>
        </w:rPr>
        <w:t xml:space="preserve">было проведено обучение управленческой команды, в результате защитившей проект по развитию моногорода. </w:t>
      </w:r>
      <w:r>
        <w:rPr>
          <w:sz w:val="24"/>
          <w:szCs w:val="24"/>
        </w:rPr>
        <w:t xml:space="preserve">В настоящее время осуществляется </w:t>
      </w:r>
      <w:r w:rsidRPr="00EC632F">
        <w:rPr>
          <w:bCs/>
          <w:sz w:val="24"/>
          <w:szCs w:val="24"/>
        </w:rPr>
        <w:t>разработк</w:t>
      </w:r>
      <w:r>
        <w:rPr>
          <w:bCs/>
          <w:sz w:val="24"/>
          <w:szCs w:val="24"/>
        </w:rPr>
        <w:t>а и согласование</w:t>
      </w:r>
      <w:r w:rsidRPr="00EC632F">
        <w:rPr>
          <w:bCs/>
          <w:sz w:val="24"/>
          <w:szCs w:val="24"/>
        </w:rPr>
        <w:t xml:space="preserve"> проектов нормативного правового регулирования ТОСЭР</w:t>
      </w:r>
      <w:r w:rsidR="00E81E8A">
        <w:rPr>
          <w:bCs/>
          <w:sz w:val="24"/>
          <w:szCs w:val="24"/>
        </w:rPr>
        <w:t>;</w:t>
      </w:r>
      <w:r w:rsidRPr="00EC632F">
        <w:rPr>
          <w:sz w:val="24"/>
          <w:szCs w:val="24"/>
        </w:rPr>
        <w:t xml:space="preserve">             </w:t>
      </w:r>
    </w:p>
    <w:p w:rsidR="005D20F5" w:rsidRDefault="005D20F5" w:rsidP="005D20F5">
      <w:pPr>
        <w:tabs>
          <w:tab w:val="left" w:pos="0"/>
          <w:tab w:val="left" w:pos="284"/>
          <w:tab w:val="left" w:pos="561"/>
          <w:tab w:val="left" w:pos="993"/>
          <w:tab w:val="left" w:pos="1134"/>
        </w:tabs>
        <w:suppressAutoHyphens w:val="0"/>
        <w:spacing w:line="276" w:lineRule="auto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формате </w:t>
      </w:r>
      <w:r w:rsidRPr="005F05F0">
        <w:rPr>
          <w:sz w:val="24"/>
          <w:szCs w:val="24"/>
        </w:rPr>
        <w:t xml:space="preserve">инвестиционного послания мэра городского округа </w:t>
      </w:r>
      <w:r>
        <w:rPr>
          <w:sz w:val="24"/>
          <w:szCs w:val="24"/>
        </w:rPr>
        <w:t xml:space="preserve">Тольятти </w:t>
      </w:r>
      <w:r w:rsidRPr="005F05F0">
        <w:rPr>
          <w:sz w:val="24"/>
          <w:szCs w:val="24"/>
        </w:rPr>
        <w:t>перед представителями бизнеса, градообразующих предприятий и городских сообществ,</w:t>
      </w:r>
      <w:r>
        <w:rPr>
          <w:sz w:val="24"/>
          <w:szCs w:val="24"/>
        </w:rPr>
        <w:t xml:space="preserve"> состоялась презентация проекта «Программа развития Тольятти» - концепция</w:t>
      </w:r>
      <w:r w:rsidRPr="00EC632F">
        <w:rPr>
          <w:sz w:val="24"/>
          <w:szCs w:val="24"/>
        </w:rPr>
        <w:t xml:space="preserve"> </w:t>
      </w:r>
      <w:r w:rsidRPr="005F05F0">
        <w:rPr>
          <w:sz w:val="24"/>
          <w:szCs w:val="24"/>
        </w:rPr>
        <w:t>полной диверсификации экон</w:t>
      </w:r>
      <w:r>
        <w:rPr>
          <w:sz w:val="24"/>
          <w:szCs w:val="24"/>
        </w:rPr>
        <w:t>омической модели города —  </w:t>
      </w:r>
      <w:r w:rsidRPr="005F05F0">
        <w:rPr>
          <w:sz w:val="24"/>
          <w:szCs w:val="24"/>
        </w:rPr>
        <w:t>видение того, каким должен выглядеть Тольятти в будущем и какая роль ему должна быть отведена в российской экономике в целом.</w:t>
      </w:r>
      <w:r w:rsidRPr="00EC632F">
        <w:rPr>
          <w:sz w:val="24"/>
          <w:szCs w:val="24"/>
        </w:rPr>
        <w:t xml:space="preserve"> </w:t>
      </w:r>
      <w:r w:rsidRPr="005F05F0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данной </w:t>
      </w:r>
      <w:r w:rsidRPr="005F05F0">
        <w:rPr>
          <w:sz w:val="24"/>
          <w:szCs w:val="24"/>
        </w:rPr>
        <w:t>программы возможна</w:t>
      </w:r>
      <w:r>
        <w:rPr>
          <w:sz w:val="24"/>
          <w:szCs w:val="24"/>
        </w:rPr>
        <w:t>, в том числе,</w:t>
      </w:r>
      <w:r w:rsidRPr="005F05F0">
        <w:rPr>
          <w:sz w:val="24"/>
          <w:szCs w:val="24"/>
        </w:rPr>
        <w:t xml:space="preserve"> благодаря присвоению городскому округу Тольятти статуса ТОСЭР</w:t>
      </w:r>
      <w:r w:rsidR="00E81E8A">
        <w:rPr>
          <w:sz w:val="24"/>
          <w:szCs w:val="24"/>
        </w:rPr>
        <w:t>;</w:t>
      </w:r>
    </w:p>
    <w:p w:rsidR="005D20F5" w:rsidRDefault="005D20F5" w:rsidP="005D20F5">
      <w:pPr>
        <w:tabs>
          <w:tab w:val="left" w:pos="0"/>
          <w:tab w:val="left" w:pos="284"/>
          <w:tab w:val="left" w:pos="561"/>
        </w:tabs>
        <w:suppressAutoHyphens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проведено 2 заседания Координационного совета по стратегическому развитию городского округа Тольятти;</w:t>
      </w:r>
    </w:p>
    <w:p w:rsidR="005D20F5" w:rsidRDefault="005D20F5" w:rsidP="005D20F5">
      <w:pPr>
        <w:spacing w:line="276" w:lineRule="auto"/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794E7D">
        <w:rPr>
          <w:sz w:val="24"/>
          <w:szCs w:val="24"/>
        </w:rPr>
        <w:t>проведена актуализаци</w:t>
      </w:r>
      <w:r>
        <w:rPr>
          <w:sz w:val="24"/>
          <w:szCs w:val="24"/>
        </w:rPr>
        <w:t>я</w:t>
      </w:r>
      <w:r w:rsidRPr="00794E7D">
        <w:rPr>
          <w:sz w:val="24"/>
          <w:szCs w:val="24"/>
        </w:rPr>
        <w:t xml:space="preserve"> Комплексного инвестиционного плана модернизации городского округа Тольятти на 2010-2020 годы</w:t>
      </w:r>
      <w:r>
        <w:rPr>
          <w:sz w:val="24"/>
          <w:szCs w:val="24"/>
        </w:rPr>
        <w:t xml:space="preserve"> (далее – КИП)</w:t>
      </w:r>
      <w:r w:rsidRPr="00794E7D">
        <w:rPr>
          <w:sz w:val="24"/>
          <w:szCs w:val="24"/>
        </w:rPr>
        <w:t>, утвержденного Постановление</w:t>
      </w:r>
      <w:r>
        <w:rPr>
          <w:sz w:val="24"/>
          <w:szCs w:val="24"/>
        </w:rPr>
        <w:t>м</w:t>
      </w:r>
      <w:r w:rsidRPr="00794E7D">
        <w:rPr>
          <w:sz w:val="24"/>
          <w:szCs w:val="24"/>
        </w:rPr>
        <w:t xml:space="preserve">  Правительства Самарской области от 21.04.2010 г. № 160 (внесенные изменения утверждены Постановлением Правительства Самарской</w:t>
      </w:r>
      <w:r>
        <w:rPr>
          <w:sz w:val="24"/>
          <w:szCs w:val="24"/>
        </w:rPr>
        <w:t xml:space="preserve"> области от 01.08.2016 г. №423); велась дальнейшая работа по </w:t>
      </w:r>
      <w:r w:rsidRPr="00B43B6F">
        <w:rPr>
          <w:sz w:val="24"/>
          <w:szCs w:val="24"/>
        </w:rPr>
        <w:t xml:space="preserve">реализации проектов </w:t>
      </w:r>
      <w:r>
        <w:rPr>
          <w:sz w:val="24"/>
          <w:szCs w:val="24"/>
        </w:rPr>
        <w:t>КИП;</w:t>
      </w:r>
    </w:p>
    <w:p w:rsidR="005D20F5" w:rsidRDefault="005D20F5" w:rsidP="005D20F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мэрией городского округа Тольятти совместно с предпринимательским сообществом и аналитическим центром «Эксперт» продолжа</w:t>
      </w:r>
      <w:r w:rsidR="00E81E8A">
        <w:rPr>
          <w:sz w:val="24"/>
          <w:szCs w:val="24"/>
        </w:rPr>
        <w:t>ется</w:t>
      </w:r>
      <w:r>
        <w:rPr>
          <w:sz w:val="24"/>
          <w:szCs w:val="24"/>
        </w:rPr>
        <w:t xml:space="preserve"> работа по разработке Плана развития города Тольятти на период до 2025 года с привлечением предпринимательского капитала. В дальнейшем информация и опыт, полученные участниками разработки Плана, будут положены в основу разработки полновесной Стратегии социально-экономического развития городского округа;</w:t>
      </w:r>
    </w:p>
    <w:p w:rsidR="005D20F5" w:rsidRPr="005364AD" w:rsidRDefault="005D20F5" w:rsidP="005D20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в</w:t>
      </w:r>
      <w:r w:rsidRPr="005364AD">
        <w:rPr>
          <w:sz w:val="24"/>
          <w:szCs w:val="24"/>
        </w:rPr>
        <w:t>е</w:t>
      </w:r>
      <w:r w:rsidR="00E81E8A">
        <w:rPr>
          <w:sz w:val="24"/>
          <w:szCs w:val="24"/>
        </w:rPr>
        <w:t>дется</w:t>
      </w:r>
      <w:r w:rsidRPr="005364AD">
        <w:rPr>
          <w:sz w:val="24"/>
          <w:szCs w:val="24"/>
        </w:rPr>
        <w:t xml:space="preserve"> работа по направлению развития Индустриального парка «Жигулевская долина 2», Волжского индустриального парка «АВТОВАЗ»</w:t>
      </w:r>
      <w:r>
        <w:rPr>
          <w:sz w:val="24"/>
          <w:szCs w:val="24"/>
        </w:rPr>
        <w:t xml:space="preserve"> и Индустриального парка «ВЦМ»;</w:t>
      </w:r>
    </w:p>
    <w:p w:rsidR="005D20F5" w:rsidRPr="005364AD" w:rsidRDefault="005D20F5" w:rsidP="005D20F5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5364A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- р</w:t>
      </w:r>
      <w:r w:rsidRPr="005364AD">
        <w:rPr>
          <w:sz w:val="24"/>
          <w:szCs w:val="24"/>
        </w:rPr>
        <w:t>егулярно направля</w:t>
      </w:r>
      <w:r w:rsidR="00E81E8A">
        <w:rPr>
          <w:sz w:val="24"/>
          <w:szCs w:val="24"/>
        </w:rPr>
        <w:t>ется</w:t>
      </w:r>
      <w:r w:rsidRPr="005364AD">
        <w:rPr>
          <w:sz w:val="24"/>
          <w:szCs w:val="24"/>
        </w:rPr>
        <w:t xml:space="preserve"> в </w:t>
      </w:r>
      <w:r w:rsidRPr="005364AD">
        <w:rPr>
          <w:rFonts w:eastAsia="Calibri"/>
          <w:sz w:val="24"/>
          <w:szCs w:val="24"/>
          <w:lang w:eastAsia="en-US"/>
        </w:rPr>
        <w:t xml:space="preserve">государственную корпорацию «Банк развития и внешнеэкономической </w:t>
      </w:r>
      <w:r>
        <w:rPr>
          <w:rFonts w:eastAsia="Calibri"/>
          <w:sz w:val="24"/>
          <w:szCs w:val="24"/>
          <w:lang w:eastAsia="en-US"/>
        </w:rPr>
        <w:t xml:space="preserve">деятельности (Внешэкономбанк)», </w:t>
      </w:r>
      <w:r w:rsidRPr="005364AD">
        <w:rPr>
          <w:rFonts w:eastAsia="Calibri"/>
          <w:sz w:val="24"/>
          <w:szCs w:val="24"/>
          <w:lang w:eastAsia="en-US"/>
        </w:rPr>
        <w:t>АНО «Агентство стратегических инициатив» и</w:t>
      </w:r>
      <w:r w:rsidRPr="005364AD">
        <w:rPr>
          <w:sz w:val="24"/>
          <w:szCs w:val="24"/>
        </w:rPr>
        <w:t xml:space="preserve">нформация о свободных производственных площадях городского округа </w:t>
      </w:r>
      <w:r w:rsidRPr="005364AD">
        <w:rPr>
          <w:rFonts w:eastAsia="Calibri"/>
          <w:sz w:val="24"/>
          <w:szCs w:val="24"/>
          <w:lang w:eastAsia="en-US"/>
        </w:rPr>
        <w:t xml:space="preserve">для размещения в базе свободных </w:t>
      </w:r>
      <w:r>
        <w:rPr>
          <w:rFonts w:eastAsia="Calibri"/>
          <w:sz w:val="24"/>
          <w:szCs w:val="24"/>
          <w:lang w:eastAsia="en-US"/>
        </w:rPr>
        <w:t>площадей и работы с инвесторами;</w:t>
      </w:r>
    </w:p>
    <w:p w:rsidR="005D20F5" w:rsidRPr="005364AD" w:rsidRDefault="005D20F5" w:rsidP="005D20F5">
      <w:pPr>
        <w:pStyle w:val="aff1"/>
        <w:tabs>
          <w:tab w:val="left" w:pos="993"/>
        </w:tabs>
        <w:spacing w:line="276" w:lineRule="auto"/>
        <w:ind w:firstLine="0"/>
        <w:rPr>
          <w:sz w:val="24"/>
          <w:szCs w:val="24"/>
        </w:rPr>
      </w:pPr>
      <w:r w:rsidRPr="005364A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- о</w:t>
      </w:r>
      <w:r w:rsidRPr="005364AD">
        <w:rPr>
          <w:sz w:val="24"/>
          <w:szCs w:val="24"/>
        </w:rPr>
        <w:t>существ</w:t>
      </w:r>
      <w:r>
        <w:rPr>
          <w:sz w:val="24"/>
          <w:szCs w:val="24"/>
        </w:rPr>
        <w:t>л</w:t>
      </w:r>
      <w:r w:rsidRPr="005364AD">
        <w:rPr>
          <w:sz w:val="24"/>
          <w:szCs w:val="24"/>
        </w:rPr>
        <w:t>я</w:t>
      </w:r>
      <w:r w:rsidR="00E81E8A">
        <w:rPr>
          <w:sz w:val="24"/>
          <w:szCs w:val="24"/>
        </w:rPr>
        <w:t>ется</w:t>
      </w:r>
      <w:r w:rsidRPr="005364AD">
        <w:rPr>
          <w:sz w:val="24"/>
          <w:szCs w:val="24"/>
        </w:rPr>
        <w:t xml:space="preserve"> оперативное взаимодействие с потенциальными инвесторами в целях оказания содействия в реализации инвестиционных проектов</w:t>
      </w:r>
      <w:r w:rsidR="00E81E8A">
        <w:rPr>
          <w:sz w:val="24"/>
          <w:szCs w:val="24"/>
        </w:rPr>
        <w:t>;</w:t>
      </w:r>
    </w:p>
    <w:p w:rsidR="005D20F5" w:rsidRPr="005364AD" w:rsidRDefault="005D20F5" w:rsidP="005D20F5">
      <w:pPr>
        <w:tabs>
          <w:tab w:val="left" w:pos="851"/>
          <w:tab w:val="left" w:pos="1134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5364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- п</w:t>
      </w:r>
      <w:r w:rsidRPr="005364AD">
        <w:rPr>
          <w:sz w:val="24"/>
          <w:szCs w:val="24"/>
        </w:rPr>
        <w:t>редоставля</w:t>
      </w:r>
      <w:r w:rsidR="00E81E8A">
        <w:rPr>
          <w:sz w:val="24"/>
          <w:szCs w:val="24"/>
        </w:rPr>
        <w:t>ются</w:t>
      </w:r>
      <w:r w:rsidRPr="005364AD">
        <w:rPr>
          <w:sz w:val="24"/>
          <w:szCs w:val="24"/>
        </w:rPr>
        <w:t xml:space="preserve"> государственные услуги в рамках градостроительной деятельности, в соответствии с административными регламентами, разработанными и утвержденными Министерством строительства Самарской области</w:t>
      </w:r>
      <w:r>
        <w:rPr>
          <w:sz w:val="24"/>
          <w:szCs w:val="24"/>
        </w:rPr>
        <w:t>;</w:t>
      </w:r>
    </w:p>
    <w:p w:rsidR="00A50BA4" w:rsidRPr="004E7351" w:rsidRDefault="00A50BA4" w:rsidP="005D20F5">
      <w:pPr>
        <w:spacing w:line="276" w:lineRule="auto"/>
        <w:ind w:firstLine="709"/>
        <w:jc w:val="both"/>
        <w:rPr>
          <w:sz w:val="24"/>
          <w:szCs w:val="24"/>
        </w:rPr>
      </w:pPr>
      <w:r w:rsidRPr="007F27C0">
        <w:rPr>
          <w:sz w:val="24"/>
          <w:szCs w:val="24"/>
        </w:rPr>
        <w:t xml:space="preserve">- ведется работа по включению особой экономической зоны промышленно-производственного типа «Тольятти» в границы городского округа Тольятти. По поручению Министерства экономического развития и торговли Самарской области </w:t>
      </w:r>
      <w:r w:rsidRPr="007F27C0">
        <w:rPr>
          <w:sz w:val="24"/>
          <w:szCs w:val="24"/>
        </w:rPr>
        <w:lastRenderedPageBreak/>
        <w:t xml:space="preserve">разработана </w:t>
      </w:r>
      <w:r>
        <w:rPr>
          <w:sz w:val="24"/>
          <w:szCs w:val="24"/>
        </w:rPr>
        <w:t>«д</w:t>
      </w:r>
      <w:r w:rsidRPr="007F27C0">
        <w:rPr>
          <w:sz w:val="24"/>
          <w:szCs w:val="24"/>
        </w:rPr>
        <w:t>орожная карта</w:t>
      </w:r>
      <w:r>
        <w:rPr>
          <w:sz w:val="24"/>
          <w:szCs w:val="24"/>
        </w:rPr>
        <w:t>»</w:t>
      </w:r>
      <w:r w:rsidRPr="007F27C0">
        <w:rPr>
          <w:sz w:val="24"/>
          <w:szCs w:val="24"/>
        </w:rPr>
        <w:t xml:space="preserve"> мероприятий, </w:t>
      </w:r>
      <w:r w:rsidRPr="004E7351">
        <w:rPr>
          <w:sz w:val="24"/>
          <w:szCs w:val="24"/>
        </w:rPr>
        <w:t>которая в настоящее время находится в процессе реализации.</w:t>
      </w:r>
    </w:p>
    <w:p w:rsidR="00A50BA4" w:rsidRPr="007F27C0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 w:rsidRPr="007F27C0">
        <w:rPr>
          <w:sz w:val="24"/>
          <w:szCs w:val="24"/>
        </w:rPr>
        <w:t>По состоянию на 3</w:t>
      </w:r>
      <w:r>
        <w:rPr>
          <w:sz w:val="24"/>
          <w:szCs w:val="24"/>
        </w:rPr>
        <w:t>0</w:t>
      </w:r>
      <w:r w:rsidRPr="007F27C0">
        <w:rPr>
          <w:sz w:val="24"/>
          <w:szCs w:val="24"/>
        </w:rPr>
        <w:t>.06.2016 г. резидентами Особой экономической зоны промышленно – производственного типа, созданной на территории муниципального района Ставропольский являются 17 компаний, с которыми подписаны Соглашения об осуществлении промышленно-производственной деятельности.</w:t>
      </w:r>
    </w:p>
    <w:p w:rsidR="00A50BA4" w:rsidRPr="007F27C0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Шесть</w:t>
      </w:r>
      <w:r w:rsidRPr="007F27C0">
        <w:rPr>
          <w:sz w:val="24"/>
          <w:szCs w:val="24"/>
        </w:rPr>
        <w:t xml:space="preserve"> компаний - резидентов уже запустили производство в тестовом режиме: ООО «Нобель Автомотив Русиа» (Нидерланды), ООО «СИЕ Аутомотив Рус» (Испания), ООО «Праксайр Самара» (США), ООО «Атсумитек Тойота Цусе Рус» (Япония), ООО «Хай-Лекс Рус» (Япония), ООО «Эдша Тольятти» (Германия).</w:t>
      </w:r>
    </w:p>
    <w:p w:rsidR="00A50BA4" w:rsidRPr="007F27C0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 w:rsidRPr="00FF42B9">
        <w:t xml:space="preserve"> </w:t>
      </w:r>
      <w:r w:rsidRPr="005A019D">
        <w:rPr>
          <w:sz w:val="24"/>
          <w:szCs w:val="24"/>
        </w:rPr>
        <w:t xml:space="preserve">Семь компаний - резидентов активно ведут строительно-монтажные работы на своих площадках. </w:t>
      </w:r>
    </w:p>
    <w:p w:rsidR="00A50BA4" w:rsidRPr="007F27C0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 w:rsidRPr="005A019D">
        <w:rPr>
          <w:sz w:val="24"/>
          <w:szCs w:val="24"/>
        </w:rPr>
        <w:t xml:space="preserve"> В 2016 году продолжается работа по освоению территории второго этапа создания ОЭЗ </w:t>
      </w:r>
      <w:r>
        <w:rPr>
          <w:sz w:val="24"/>
          <w:szCs w:val="24"/>
        </w:rPr>
        <w:t xml:space="preserve">«Тольятти» </w:t>
      </w:r>
      <w:r w:rsidRPr="005A019D">
        <w:rPr>
          <w:sz w:val="24"/>
          <w:szCs w:val="24"/>
        </w:rPr>
        <w:t>(кабельные эстакады и сети электроснабжения объектов резидентов 1 и 2 этапов, сети водоснабжения и водоотведения, электроснабжения, связи, газоснабжения, а также дорожно-транспортная инфраструктура).</w:t>
      </w:r>
    </w:p>
    <w:p w:rsidR="00A50BA4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6370FF">
        <w:rPr>
          <w:sz w:val="24"/>
          <w:szCs w:val="24"/>
        </w:rPr>
        <w:t xml:space="preserve">а территории </w:t>
      </w:r>
      <w:r w:rsidRPr="007F27C0">
        <w:rPr>
          <w:sz w:val="24"/>
          <w:szCs w:val="24"/>
        </w:rPr>
        <w:t xml:space="preserve">Технопарка в сфере высоких технологий «Жигулевская долина» </w:t>
      </w:r>
      <w:r>
        <w:rPr>
          <w:sz w:val="24"/>
          <w:szCs w:val="24"/>
        </w:rPr>
        <w:t>(далее – Технопарк «Жигулевская долина»)</w:t>
      </w:r>
      <w:r w:rsidRPr="006370F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370FF">
        <w:rPr>
          <w:sz w:val="24"/>
          <w:szCs w:val="24"/>
        </w:rPr>
        <w:t xml:space="preserve">добрено для реализации 208 проектов, 195 компаний. По состоянию на 30.06.2016 резидентами </w:t>
      </w:r>
      <w:r>
        <w:rPr>
          <w:sz w:val="24"/>
          <w:szCs w:val="24"/>
        </w:rPr>
        <w:t>Т</w:t>
      </w:r>
      <w:r w:rsidRPr="006370FF">
        <w:rPr>
          <w:sz w:val="24"/>
          <w:szCs w:val="24"/>
        </w:rPr>
        <w:t xml:space="preserve">ехнопарка «Жигулевская долина» являются 140 компаний со 150 проектами, в том числе на территории технопарка – 53 компании с 55 проектами. </w:t>
      </w:r>
    </w:p>
    <w:p w:rsidR="00A63C57" w:rsidRPr="00BA4EE3" w:rsidRDefault="00A63C57" w:rsidP="00A63C57">
      <w:pPr>
        <w:spacing w:line="276" w:lineRule="auto"/>
        <w:ind w:firstLine="709"/>
        <w:jc w:val="both"/>
        <w:rPr>
          <w:sz w:val="24"/>
          <w:szCs w:val="24"/>
        </w:rPr>
      </w:pPr>
      <w:r w:rsidRPr="00BA4EE3">
        <w:rPr>
          <w:sz w:val="24"/>
          <w:szCs w:val="24"/>
        </w:rPr>
        <w:t>В 2016 году, в рамках развития капитального строительства на территории городского округа Тольятти, запланированы следующие мероприятия, финансируемые за сч</w:t>
      </w:r>
      <w:r w:rsidR="00E81E8A">
        <w:rPr>
          <w:sz w:val="24"/>
          <w:szCs w:val="24"/>
        </w:rPr>
        <w:t>е</w:t>
      </w:r>
      <w:r w:rsidRPr="00BA4EE3">
        <w:rPr>
          <w:sz w:val="24"/>
          <w:szCs w:val="24"/>
        </w:rPr>
        <w:t>т средств бюджета городского округа Тольятти:</w:t>
      </w:r>
    </w:p>
    <w:p w:rsidR="00A63C57" w:rsidRPr="00BA4EE3" w:rsidRDefault="00A63C57" w:rsidP="00A63C57">
      <w:pPr>
        <w:spacing w:line="276" w:lineRule="auto"/>
        <w:ind w:firstLine="709"/>
        <w:jc w:val="both"/>
        <w:rPr>
          <w:sz w:val="24"/>
          <w:szCs w:val="24"/>
        </w:rPr>
      </w:pPr>
      <w:r w:rsidRPr="00BA4EE3">
        <w:rPr>
          <w:sz w:val="24"/>
          <w:szCs w:val="24"/>
        </w:rPr>
        <w:t>- проектно-изыскательские работы по объекту «Строительство улично-дорожной сети западнее Московского проспекта-первая очередь»;</w:t>
      </w:r>
    </w:p>
    <w:p w:rsidR="00A63C57" w:rsidRPr="00BA4EE3" w:rsidRDefault="00A63C57" w:rsidP="00A63C57">
      <w:pPr>
        <w:spacing w:line="276" w:lineRule="auto"/>
        <w:ind w:firstLine="709"/>
        <w:jc w:val="both"/>
        <w:rPr>
          <w:sz w:val="24"/>
          <w:szCs w:val="24"/>
        </w:rPr>
      </w:pPr>
      <w:r w:rsidRPr="00BA4EE3">
        <w:rPr>
          <w:sz w:val="24"/>
          <w:szCs w:val="24"/>
        </w:rPr>
        <w:t>- проектирование и строительство здания детского сада № 210 «Ладушки» в 20 квартале Автозаводского района. По данному мероприятию в 2016 году предусмотрены бюджетные ассигнования в сумме 51,1 млн. руб., заключен муниципальный контракт на ведение авторского надзора с ООО «Волга-Проект», заключены дополнительные соглашения к муниципальному контракту на выполнение строительно-монтажных работ. В настоящее время ведутся строительные работы;</w:t>
      </w:r>
    </w:p>
    <w:p w:rsidR="00A63C57" w:rsidRPr="00A577DB" w:rsidRDefault="00A63C57" w:rsidP="00A63C57">
      <w:pPr>
        <w:spacing w:line="276" w:lineRule="auto"/>
        <w:ind w:firstLine="709"/>
        <w:jc w:val="both"/>
        <w:rPr>
          <w:sz w:val="24"/>
          <w:szCs w:val="24"/>
        </w:rPr>
      </w:pPr>
      <w:r w:rsidRPr="00BA4EE3">
        <w:rPr>
          <w:sz w:val="24"/>
          <w:szCs w:val="24"/>
        </w:rPr>
        <w:t>- проектирование строительства детских автогородков на территории образовательных учреждений.</w:t>
      </w:r>
    </w:p>
    <w:p w:rsidR="00897B12" w:rsidRDefault="00897B12" w:rsidP="00897B12">
      <w:pPr>
        <w:spacing w:line="276" w:lineRule="auto"/>
        <w:ind w:firstLine="709"/>
        <w:jc w:val="both"/>
        <w:rPr>
          <w:sz w:val="24"/>
          <w:szCs w:val="24"/>
        </w:rPr>
      </w:pPr>
      <w:r w:rsidRPr="00F7737A">
        <w:rPr>
          <w:sz w:val="24"/>
          <w:szCs w:val="24"/>
        </w:rPr>
        <w:t>В отчетном году в рамках муниципальной программы «Стимулирование развития жилищного строительства в городском округе Тольятти» на 2014-2016 годы</w:t>
      </w:r>
      <w:r>
        <w:rPr>
          <w:sz w:val="24"/>
          <w:szCs w:val="24"/>
        </w:rPr>
        <w:t xml:space="preserve"> по мероприятию «П</w:t>
      </w:r>
      <w:r w:rsidRPr="00F7737A">
        <w:rPr>
          <w:sz w:val="24"/>
          <w:szCs w:val="24"/>
        </w:rPr>
        <w:t>одготовк</w:t>
      </w:r>
      <w:r>
        <w:rPr>
          <w:sz w:val="24"/>
          <w:szCs w:val="24"/>
        </w:rPr>
        <w:t>а</w:t>
      </w:r>
      <w:r w:rsidRPr="00F7737A">
        <w:rPr>
          <w:sz w:val="24"/>
          <w:szCs w:val="24"/>
        </w:rPr>
        <w:t xml:space="preserve"> проекта Генерального плана городского округа Тольятти</w:t>
      </w:r>
      <w:r>
        <w:rPr>
          <w:sz w:val="24"/>
          <w:szCs w:val="24"/>
        </w:rPr>
        <w:t xml:space="preserve"> Самарской области» в рамках </w:t>
      </w:r>
      <w:r w:rsidRPr="00F7737A">
        <w:rPr>
          <w:sz w:val="24"/>
          <w:szCs w:val="24"/>
        </w:rPr>
        <w:t>заключен</w:t>
      </w:r>
      <w:r>
        <w:rPr>
          <w:sz w:val="24"/>
          <w:szCs w:val="24"/>
        </w:rPr>
        <w:t>ного</w:t>
      </w:r>
      <w:r w:rsidR="00307822">
        <w:rPr>
          <w:sz w:val="24"/>
          <w:szCs w:val="24"/>
        </w:rPr>
        <w:t xml:space="preserve"> </w:t>
      </w:r>
      <w:r>
        <w:rPr>
          <w:sz w:val="24"/>
          <w:szCs w:val="24"/>
        </w:rPr>
        <w:t>в 2015 году</w:t>
      </w:r>
      <w:r w:rsidRPr="00F7737A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F7737A">
        <w:rPr>
          <w:sz w:val="24"/>
          <w:szCs w:val="24"/>
        </w:rPr>
        <w:t xml:space="preserve"> контракт</w:t>
      </w:r>
      <w:r>
        <w:rPr>
          <w:sz w:val="24"/>
          <w:szCs w:val="24"/>
        </w:rPr>
        <w:t>а</w:t>
      </w:r>
      <w:r w:rsidRPr="00F7737A">
        <w:rPr>
          <w:sz w:val="24"/>
          <w:szCs w:val="24"/>
        </w:rPr>
        <w:t xml:space="preserve"> на 2015-2016 гг.</w:t>
      </w:r>
      <w:r w:rsidR="0030782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07822">
        <w:rPr>
          <w:sz w:val="24"/>
          <w:szCs w:val="24"/>
        </w:rPr>
        <w:t xml:space="preserve"> </w:t>
      </w:r>
      <w:r w:rsidRPr="00F7737A">
        <w:rPr>
          <w:sz w:val="24"/>
          <w:szCs w:val="24"/>
        </w:rPr>
        <w:t xml:space="preserve">ГУП институт «ТеррНИИгражданпроект» </w:t>
      </w:r>
      <w:r>
        <w:rPr>
          <w:sz w:val="24"/>
          <w:szCs w:val="24"/>
        </w:rPr>
        <w:t>завершена работа над 1-3 этапами. По состоянию на 20.10.2016 в рамках 3-го этапа материалы проекта Генерального плана городского округа Тольятти представлены на публичные слушания.</w:t>
      </w:r>
    </w:p>
    <w:p w:rsidR="00A50BA4" w:rsidRDefault="00A50BA4" w:rsidP="00A423B6">
      <w:pPr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F07BB6">
        <w:rPr>
          <w:sz w:val="24"/>
          <w:szCs w:val="24"/>
          <w:lang w:eastAsia="ar-SA"/>
        </w:rPr>
        <w:t xml:space="preserve">Приоритетным направлением </w:t>
      </w:r>
      <w:r w:rsidRPr="00F07BB6">
        <w:rPr>
          <w:b/>
          <w:sz w:val="24"/>
          <w:szCs w:val="24"/>
          <w:lang w:eastAsia="ar-SA"/>
        </w:rPr>
        <w:t>жилищной политики</w:t>
      </w:r>
      <w:r w:rsidRPr="00F07BB6">
        <w:rPr>
          <w:sz w:val="24"/>
          <w:szCs w:val="24"/>
          <w:lang w:eastAsia="ar-SA"/>
        </w:rPr>
        <w:t xml:space="preserve"> городского округа Тольятти является ежегодное увеличение количества вводимого в эксплуатацию жилья и улучшение жилищных условий различных категорий граждан.</w:t>
      </w:r>
    </w:p>
    <w:p w:rsidR="00A50BA4" w:rsidRPr="00DF72CF" w:rsidRDefault="00A50BA4" w:rsidP="00A423B6">
      <w:pPr>
        <w:pStyle w:val="aff1"/>
        <w:spacing w:line="276" w:lineRule="auto"/>
        <w:rPr>
          <w:sz w:val="24"/>
          <w:szCs w:val="24"/>
        </w:rPr>
      </w:pPr>
      <w:r w:rsidRPr="00DF72CF">
        <w:rPr>
          <w:sz w:val="24"/>
          <w:szCs w:val="24"/>
        </w:rPr>
        <w:t xml:space="preserve">В городском округе Тольятти в 1 полугодии 2016 года наблюдается увеличение </w:t>
      </w:r>
      <w:r w:rsidRPr="00DF72CF">
        <w:rPr>
          <w:sz w:val="24"/>
          <w:szCs w:val="24"/>
        </w:rPr>
        <w:lastRenderedPageBreak/>
        <w:t>динамики ввода в действие жилых домов по сравнению с аналогичным периодом 2015 года в 2,7 раза. Общий объем введенного в эксплуатацию жилья составил 126,2 тыс. кв. м (в 1 полугодии 2015 года – 47,6 тыс. кв. м).</w:t>
      </w:r>
      <w:r>
        <w:rPr>
          <w:sz w:val="24"/>
          <w:szCs w:val="24"/>
        </w:rPr>
        <w:t xml:space="preserve"> </w:t>
      </w:r>
      <w:r w:rsidRPr="00DF72CF">
        <w:rPr>
          <w:sz w:val="24"/>
          <w:szCs w:val="24"/>
        </w:rPr>
        <w:t>Площадь квартир увеличилась в 2,1 раза и составила 88,6 тыс.кв.м (в 1 полуго</w:t>
      </w:r>
      <w:r>
        <w:rPr>
          <w:sz w:val="24"/>
          <w:szCs w:val="24"/>
        </w:rPr>
        <w:t xml:space="preserve">дии 2015 года — 42,2 тыс. кв. м.). </w:t>
      </w:r>
      <w:r w:rsidRPr="00DF72CF">
        <w:rPr>
          <w:sz w:val="24"/>
          <w:szCs w:val="24"/>
        </w:rPr>
        <w:t>По сравнению с аналогичным периодом 2015 года, наблюдается снижение на 53,3 % ввода в действие общей площади индивидуальных жилых домов.</w:t>
      </w:r>
    </w:p>
    <w:p w:rsidR="00A50BA4" w:rsidRPr="00C74A51" w:rsidRDefault="00A50BA4" w:rsidP="00A423B6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C74A51">
        <w:rPr>
          <w:sz w:val="24"/>
          <w:szCs w:val="24"/>
        </w:rPr>
        <w:t>В соответствии с соглашением между министерством строительства и жилищно-коммунального хозяйства Самарской области, министерством экономического развития, инвестиций и торговли Самарской области и мэрией городского округа Тольятти Самарской области об установлении планового задания по вводу жилья для городского округа Тольятти на 201</w:t>
      </w:r>
      <w:r>
        <w:rPr>
          <w:sz w:val="24"/>
          <w:szCs w:val="24"/>
        </w:rPr>
        <w:t>6</w:t>
      </w:r>
      <w:r w:rsidRPr="00C74A51">
        <w:rPr>
          <w:sz w:val="24"/>
          <w:szCs w:val="24"/>
        </w:rPr>
        <w:t xml:space="preserve"> год, плановое значение показателя по объему введенных жилых домов (квартир) в городском округе Тольятти в 201</w:t>
      </w:r>
      <w:r>
        <w:rPr>
          <w:sz w:val="24"/>
          <w:szCs w:val="24"/>
        </w:rPr>
        <w:t>6</w:t>
      </w:r>
      <w:r w:rsidRPr="00C74A51">
        <w:rPr>
          <w:sz w:val="24"/>
          <w:szCs w:val="24"/>
        </w:rPr>
        <w:t xml:space="preserve"> году составляет 2</w:t>
      </w:r>
      <w:r>
        <w:rPr>
          <w:sz w:val="24"/>
          <w:szCs w:val="24"/>
        </w:rPr>
        <w:t>84</w:t>
      </w:r>
      <w:r w:rsidRPr="00C74A51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C74A51">
        <w:rPr>
          <w:sz w:val="24"/>
          <w:szCs w:val="24"/>
        </w:rPr>
        <w:t xml:space="preserve"> тыс. кв. м общей площади жилья, что на 2,</w:t>
      </w:r>
      <w:r>
        <w:rPr>
          <w:sz w:val="24"/>
          <w:szCs w:val="24"/>
        </w:rPr>
        <w:t>0</w:t>
      </w:r>
      <w:r w:rsidRPr="00C74A51">
        <w:rPr>
          <w:sz w:val="24"/>
          <w:szCs w:val="24"/>
        </w:rPr>
        <w:t xml:space="preserve"> % больше факта 201</w:t>
      </w:r>
      <w:r>
        <w:rPr>
          <w:sz w:val="24"/>
          <w:szCs w:val="24"/>
        </w:rPr>
        <w:t>5</w:t>
      </w:r>
      <w:r w:rsidRPr="00C74A51">
        <w:rPr>
          <w:sz w:val="24"/>
          <w:szCs w:val="24"/>
        </w:rPr>
        <w:t xml:space="preserve"> года.</w:t>
      </w:r>
    </w:p>
    <w:p w:rsidR="00A50BA4" w:rsidRDefault="00A50BA4" w:rsidP="00F07BB6">
      <w:pPr>
        <w:ind w:firstLine="709"/>
        <w:jc w:val="center"/>
        <w:rPr>
          <w:sz w:val="24"/>
          <w:szCs w:val="24"/>
        </w:rPr>
      </w:pPr>
    </w:p>
    <w:p w:rsidR="00A50BA4" w:rsidRPr="00DF72CF" w:rsidRDefault="00A50BA4" w:rsidP="00F07BB6">
      <w:pPr>
        <w:ind w:firstLine="709"/>
        <w:jc w:val="center"/>
        <w:rPr>
          <w:sz w:val="24"/>
          <w:szCs w:val="24"/>
        </w:rPr>
      </w:pPr>
      <w:r w:rsidRPr="00DF72CF">
        <w:rPr>
          <w:sz w:val="24"/>
          <w:szCs w:val="24"/>
        </w:rPr>
        <w:t>Ожидаемое выполнение прогнозных показателей по разделу</w:t>
      </w:r>
    </w:p>
    <w:p w:rsidR="00A50BA4" w:rsidRDefault="00A50BA4" w:rsidP="00F07BB6">
      <w:pPr>
        <w:ind w:firstLine="709"/>
        <w:jc w:val="center"/>
        <w:rPr>
          <w:sz w:val="24"/>
          <w:szCs w:val="24"/>
        </w:rPr>
      </w:pPr>
      <w:r w:rsidRPr="00DF72CF">
        <w:rPr>
          <w:sz w:val="24"/>
          <w:szCs w:val="24"/>
        </w:rPr>
        <w:t>«Жилищное строительство»</w:t>
      </w:r>
      <w:r>
        <w:rPr>
          <w:sz w:val="24"/>
          <w:szCs w:val="24"/>
        </w:rPr>
        <w:t xml:space="preserve"> на 2016 год</w:t>
      </w:r>
    </w:p>
    <w:p w:rsidR="00A50BA4" w:rsidRDefault="00A50BA4" w:rsidP="00F07BB6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3286"/>
        <w:gridCol w:w="1417"/>
        <w:gridCol w:w="1559"/>
        <w:gridCol w:w="1560"/>
        <w:gridCol w:w="1559"/>
      </w:tblGrid>
      <w:tr w:rsidR="00A50BA4" w:rsidRPr="00DF72CF" w:rsidTr="00FB4E2F">
        <w:trPr>
          <w:cantSplit/>
          <w:trHeight w:val="230"/>
        </w:trPr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DF72CF" w:rsidRDefault="00A50BA4" w:rsidP="00CC71EF">
            <w:pPr>
              <w:jc w:val="center"/>
              <w:rPr>
                <w:sz w:val="24"/>
                <w:szCs w:val="24"/>
              </w:rPr>
            </w:pPr>
            <w:r w:rsidRPr="00DF72CF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DF72CF" w:rsidRDefault="00A50BA4" w:rsidP="00FB4E2F">
            <w:pPr>
              <w:jc w:val="center"/>
              <w:rPr>
                <w:sz w:val="24"/>
                <w:szCs w:val="24"/>
              </w:rPr>
            </w:pPr>
            <w:r w:rsidRPr="00DF72CF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  <w:r w:rsidRPr="00DF72CF">
              <w:rPr>
                <w:sz w:val="24"/>
                <w:szCs w:val="24"/>
              </w:rPr>
              <w:t xml:space="preserve"> изм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2546FC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 xml:space="preserve">Прогноз </w:t>
            </w:r>
            <w:r>
              <w:rPr>
                <w:sz w:val="24"/>
                <w:szCs w:val="24"/>
              </w:rPr>
              <w:t xml:space="preserve">на </w:t>
            </w: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6E74" w:rsidRDefault="00A50BA4" w:rsidP="002546FC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 (оценка)</w:t>
            </w:r>
          </w:p>
        </w:tc>
      </w:tr>
      <w:tr w:rsidR="00A50BA4" w:rsidRPr="00DF72CF" w:rsidTr="00FB4E2F">
        <w:trPr>
          <w:trHeight w:val="115"/>
        </w:trPr>
        <w:tc>
          <w:tcPr>
            <w:tcW w:w="3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DF72CF" w:rsidRDefault="00A50BA4" w:rsidP="00CC71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DF72CF" w:rsidRDefault="00A50BA4" w:rsidP="00CC71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50BA4" w:rsidRPr="00DF72CF" w:rsidRDefault="00A50BA4" w:rsidP="00CC71EF">
            <w:pPr>
              <w:jc w:val="center"/>
              <w:rPr>
                <w:sz w:val="24"/>
                <w:szCs w:val="24"/>
              </w:rPr>
            </w:pPr>
            <w:r w:rsidRPr="00DF72CF">
              <w:rPr>
                <w:sz w:val="24"/>
                <w:szCs w:val="24"/>
              </w:rPr>
              <w:t>1 вариант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50BA4" w:rsidRPr="00DF72CF" w:rsidRDefault="00A50BA4" w:rsidP="00CC71EF">
            <w:pPr>
              <w:ind w:firstLine="218"/>
              <w:jc w:val="center"/>
              <w:rPr>
                <w:sz w:val="24"/>
                <w:szCs w:val="24"/>
              </w:rPr>
            </w:pPr>
            <w:r w:rsidRPr="00DF72CF">
              <w:rPr>
                <w:sz w:val="24"/>
                <w:szCs w:val="24"/>
              </w:rPr>
              <w:t>2 вариант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DF72CF" w:rsidRDefault="00A50BA4" w:rsidP="00CC71EF">
            <w:pPr>
              <w:snapToGrid w:val="0"/>
              <w:rPr>
                <w:sz w:val="24"/>
                <w:szCs w:val="24"/>
              </w:rPr>
            </w:pPr>
          </w:p>
        </w:tc>
      </w:tr>
      <w:tr w:rsidR="00A50BA4" w:rsidRPr="00DF72CF" w:rsidTr="008E79C1">
        <w:trPr>
          <w:trHeight w:val="954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</w:tcPr>
          <w:p w:rsidR="00A50BA4" w:rsidRPr="00DF72CF" w:rsidRDefault="00A50BA4" w:rsidP="00CF1CBC">
            <w:pPr>
              <w:rPr>
                <w:iCs/>
                <w:sz w:val="24"/>
                <w:szCs w:val="24"/>
              </w:rPr>
            </w:pPr>
            <w:r w:rsidRPr="00DF72CF">
              <w:rPr>
                <w:sz w:val="24"/>
                <w:szCs w:val="24"/>
              </w:rPr>
              <w:t>Ввод в эксплуатацию жилых домов (квартир) за счет всех источников финансирования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50BA4" w:rsidRPr="00DF72CF" w:rsidRDefault="00A50BA4" w:rsidP="00CF1CBC">
            <w:pPr>
              <w:jc w:val="center"/>
              <w:rPr>
                <w:sz w:val="24"/>
                <w:szCs w:val="24"/>
              </w:rPr>
            </w:pPr>
            <w:r w:rsidRPr="00DF72CF">
              <w:rPr>
                <w:iCs/>
                <w:sz w:val="24"/>
                <w:szCs w:val="24"/>
              </w:rPr>
              <w:t>тыс. кв. метров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DF72CF" w:rsidRDefault="00A50BA4" w:rsidP="00CF1CBC">
            <w:pPr>
              <w:jc w:val="center"/>
              <w:rPr>
                <w:sz w:val="24"/>
                <w:szCs w:val="24"/>
              </w:rPr>
            </w:pPr>
            <w:r w:rsidRPr="00DF72CF">
              <w:rPr>
                <w:sz w:val="24"/>
                <w:szCs w:val="24"/>
              </w:rPr>
              <w:t>252,9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DF72CF" w:rsidRDefault="00A50BA4" w:rsidP="00CF1CBC">
            <w:pPr>
              <w:jc w:val="center"/>
              <w:rPr>
                <w:iCs/>
                <w:sz w:val="24"/>
                <w:szCs w:val="24"/>
              </w:rPr>
            </w:pPr>
            <w:r w:rsidRPr="00DF72CF">
              <w:rPr>
                <w:iCs/>
                <w:sz w:val="24"/>
                <w:szCs w:val="24"/>
              </w:rPr>
              <w:t>281,0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DF72CF" w:rsidRDefault="00A50BA4" w:rsidP="00CF1CBC">
            <w:pPr>
              <w:jc w:val="center"/>
              <w:rPr>
                <w:sz w:val="24"/>
                <w:szCs w:val="24"/>
              </w:rPr>
            </w:pPr>
            <w:r w:rsidRPr="00DF72CF">
              <w:rPr>
                <w:iCs/>
                <w:sz w:val="24"/>
                <w:szCs w:val="24"/>
              </w:rPr>
              <w:t>284,3</w:t>
            </w:r>
          </w:p>
        </w:tc>
      </w:tr>
    </w:tbl>
    <w:p w:rsidR="00D544BC" w:rsidRDefault="00D544BC" w:rsidP="00A423B6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</w:p>
    <w:p w:rsidR="00A50BA4" w:rsidRPr="00533932" w:rsidRDefault="00A50BA4" w:rsidP="00A423B6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533932">
        <w:rPr>
          <w:sz w:val="24"/>
          <w:szCs w:val="24"/>
        </w:rPr>
        <w:t>Данный показатель определяется на основании выбора объектов со сроком действия разрешений, которые заканчиваются в 2016 году, а также подтверждений по исполнению обязательств по вводу данных объектов от застройщиков.</w:t>
      </w:r>
    </w:p>
    <w:p w:rsidR="00A50BA4" w:rsidRPr="00F07BB6" w:rsidRDefault="00A50BA4" w:rsidP="00A423B6">
      <w:pPr>
        <w:widowControl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07BB6">
        <w:rPr>
          <w:sz w:val="24"/>
          <w:szCs w:val="24"/>
          <w:lang w:eastAsia="ar-SA"/>
        </w:rPr>
        <w:t>В соответствии с Государственной программой Самарской области «Развитие жилищного строительства в Самарской области» до 2020 года, утвержденной постановлением Правительства Самарской области от 2</w:t>
      </w:r>
      <w:r>
        <w:rPr>
          <w:sz w:val="24"/>
          <w:szCs w:val="24"/>
          <w:lang w:eastAsia="ar-SA"/>
        </w:rPr>
        <w:t>7.11.2013 № 684 (в редакции от 23</w:t>
      </w:r>
      <w:r w:rsidRPr="00F07BB6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10</w:t>
      </w:r>
      <w:r w:rsidRPr="00F07BB6">
        <w:rPr>
          <w:sz w:val="24"/>
          <w:szCs w:val="24"/>
          <w:lang w:eastAsia="ar-SA"/>
        </w:rPr>
        <w:t>.2015</w:t>
      </w:r>
      <w:r>
        <w:rPr>
          <w:sz w:val="24"/>
          <w:szCs w:val="24"/>
          <w:lang w:eastAsia="ar-SA"/>
        </w:rPr>
        <w:t xml:space="preserve"> </w:t>
      </w:r>
      <w:r w:rsidRPr="00F07BB6">
        <w:rPr>
          <w:sz w:val="24"/>
          <w:szCs w:val="24"/>
          <w:lang w:eastAsia="ar-SA"/>
        </w:rPr>
        <w:t xml:space="preserve">г.), ежегодный прирост объема ввода жилья должен составлять не менее 12 %. </w:t>
      </w:r>
    </w:p>
    <w:p w:rsidR="00A50BA4" w:rsidRPr="002574EC" w:rsidRDefault="00A50BA4" w:rsidP="00A423B6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2574EC">
        <w:rPr>
          <w:bCs/>
          <w:sz w:val="24"/>
          <w:szCs w:val="24"/>
        </w:rPr>
        <w:t>Тем не менее, на ввод жилья по-прежнему продолжают оказывать влияние следующие негативные факторы:</w:t>
      </w:r>
    </w:p>
    <w:p w:rsidR="00A50BA4" w:rsidRPr="002574EC" w:rsidRDefault="00A50BA4" w:rsidP="00A423B6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2574EC">
        <w:rPr>
          <w:bCs/>
          <w:sz w:val="24"/>
          <w:szCs w:val="24"/>
        </w:rPr>
        <w:t xml:space="preserve">-  дефицит свободных финансовых средств у застройщиков; </w:t>
      </w:r>
    </w:p>
    <w:p w:rsidR="00A50BA4" w:rsidRPr="002574EC" w:rsidRDefault="00A50BA4" w:rsidP="00E251BD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E251BD">
        <w:rPr>
          <w:bCs/>
          <w:sz w:val="24"/>
          <w:szCs w:val="24"/>
        </w:rPr>
        <w:t>-  отсутствие полного пакета документов о получении разрешения на строительство;</w:t>
      </w:r>
    </w:p>
    <w:p w:rsidR="00A50BA4" w:rsidRPr="002574EC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 w:rsidRPr="002574EC">
        <w:rPr>
          <w:bCs/>
          <w:sz w:val="24"/>
          <w:szCs w:val="24"/>
        </w:rPr>
        <w:t>- высокий уровень платы за подключение новых объектов строительства к инженерным сетям;</w:t>
      </w:r>
    </w:p>
    <w:p w:rsidR="00A50BA4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 w:rsidRPr="002574EC">
        <w:rPr>
          <w:sz w:val="24"/>
          <w:szCs w:val="24"/>
        </w:rPr>
        <w:t>-  сложная и длительная процедура выделения земельных участков под жилищное строительство.</w:t>
      </w:r>
    </w:p>
    <w:p w:rsidR="00A50BA4" w:rsidRPr="00A11169" w:rsidRDefault="00A50BA4" w:rsidP="00A423B6">
      <w:pPr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A11169">
        <w:rPr>
          <w:sz w:val="24"/>
          <w:szCs w:val="24"/>
          <w:lang w:eastAsia="ar-SA"/>
        </w:rPr>
        <w:t>В настоящее время на территории городского округа находится 6 проблемных объектов жилищного строительства. В рамках мероприятий по завершению их строительства и вводу в эксплуатацию, мэрия городского округа Тольятти осуществляет ряд мероприятий:</w:t>
      </w:r>
    </w:p>
    <w:p w:rsidR="00A50BA4" w:rsidRPr="00A11169" w:rsidRDefault="00A50BA4" w:rsidP="00A423B6">
      <w:pPr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A11169">
        <w:rPr>
          <w:sz w:val="24"/>
          <w:szCs w:val="24"/>
          <w:lang w:eastAsia="ar-SA"/>
        </w:rPr>
        <w:t xml:space="preserve">- постоянное взаимодействие с </w:t>
      </w:r>
      <w:r w:rsidR="00D544BC">
        <w:rPr>
          <w:sz w:val="24"/>
          <w:szCs w:val="24"/>
          <w:lang w:eastAsia="ar-SA"/>
        </w:rPr>
        <w:t xml:space="preserve">министерством </w:t>
      </w:r>
      <w:r w:rsidR="00D544BC" w:rsidRPr="00C74A51">
        <w:rPr>
          <w:sz w:val="24"/>
          <w:szCs w:val="24"/>
        </w:rPr>
        <w:t>строительства и жилищно-коммунального хозяйства Самарской области</w:t>
      </w:r>
      <w:r w:rsidRPr="00A11169">
        <w:rPr>
          <w:sz w:val="24"/>
          <w:szCs w:val="24"/>
          <w:lang w:eastAsia="ar-SA"/>
        </w:rPr>
        <w:t xml:space="preserve">, участие в совещаниях по проблемным </w:t>
      </w:r>
      <w:r w:rsidRPr="00A11169">
        <w:rPr>
          <w:sz w:val="24"/>
          <w:szCs w:val="24"/>
          <w:lang w:eastAsia="ar-SA"/>
        </w:rPr>
        <w:lastRenderedPageBreak/>
        <w:t>объектам, на которых обсуждаются неординарные правовые решения проблем участников долевого строительства;</w:t>
      </w:r>
    </w:p>
    <w:p w:rsidR="00A50BA4" w:rsidRPr="002574EC" w:rsidRDefault="00A50BA4" w:rsidP="00A423B6">
      <w:pPr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A11169">
        <w:rPr>
          <w:sz w:val="24"/>
          <w:szCs w:val="24"/>
          <w:lang w:eastAsia="ar-SA"/>
        </w:rPr>
        <w:t>- проведение информационно-консультационной работы с населением по проблемным объектам жилищного строительства.</w:t>
      </w:r>
    </w:p>
    <w:p w:rsidR="00A50BA4" w:rsidRPr="002574EC" w:rsidRDefault="00A50BA4" w:rsidP="00A423B6">
      <w:pPr>
        <w:pStyle w:val="aff1"/>
        <w:spacing w:line="276" w:lineRule="auto"/>
        <w:rPr>
          <w:sz w:val="24"/>
          <w:szCs w:val="24"/>
        </w:rPr>
      </w:pPr>
      <w:r w:rsidRPr="002574EC">
        <w:rPr>
          <w:sz w:val="24"/>
          <w:szCs w:val="24"/>
          <w:lang w:eastAsia="ar-SA"/>
        </w:rPr>
        <w:t xml:space="preserve">Восстановление строительной отрасли города напрямую зависит от увеличения платежеспособности населения для приобретения жилья, повышения инвестиционного спроса на недвижимость, активности участия строительных компаний городского округа в </w:t>
      </w:r>
      <w:r w:rsidRPr="002574EC">
        <w:rPr>
          <w:sz w:val="24"/>
          <w:szCs w:val="24"/>
        </w:rPr>
        <w:t>федеральных и областных программах.</w:t>
      </w:r>
    </w:p>
    <w:p w:rsidR="00A50BA4" w:rsidRDefault="00A50BA4" w:rsidP="00A423B6">
      <w:pPr>
        <w:pStyle w:val="aff1"/>
        <w:spacing w:line="276" w:lineRule="auto"/>
        <w:rPr>
          <w:sz w:val="24"/>
          <w:szCs w:val="24"/>
        </w:rPr>
      </w:pPr>
      <w:r w:rsidRPr="00A11169">
        <w:rPr>
          <w:sz w:val="24"/>
          <w:szCs w:val="24"/>
        </w:rPr>
        <w:t>На территории городского округа Тольятти реализуется государственная программа Самарской области «Развитие жилищного строительства в Самарской области» до 2020 года, План мероприятий («дорожная карта») «Улучшение инвестиционного климата в сфере строительства на территории Самарской области».</w:t>
      </w:r>
    </w:p>
    <w:p w:rsidR="00A50BA4" w:rsidRPr="00A11169" w:rsidRDefault="00A50BA4" w:rsidP="00A423B6">
      <w:pPr>
        <w:pStyle w:val="aff1"/>
        <w:spacing w:line="276" w:lineRule="auto"/>
        <w:rPr>
          <w:sz w:val="24"/>
          <w:szCs w:val="24"/>
        </w:rPr>
      </w:pPr>
      <w:r w:rsidRPr="00A11169">
        <w:rPr>
          <w:sz w:val="24"/>
          <w:szCs w:val="24"/>
        </w:rPr>
        <w:t>Предоставление молодым семьям социальных выплат осуществляется в рамках реализации подпрограммы «Обеспечение жильем молодых семей» федеральной целевой программы «Жилище» на 2015-2020 годы, подпрограммы «Молодой семье – доступное жилье» до 2020 года государственной программы Самарской области «Развитие жилищного строительства в Самарской области» до 2020 года,</w:t>
      </w:r>
      <w:r w:rsidR="006E7153" w:rsidRPr="006E7153">
        <w:rPr>
          <w:szCs w:val="28"/>
        </w:rPr>
        <w:t xml:space="preserve"> </w:t>
      </w:r>
      <w:r w:rsidR="006E7153" w:rsidRPr="006E7153">
        <w:rPr>
          <w:sz w:val="24"/>
          <w:szCs w:val="24"/>
        </w:rPr>
        <w:t>утвержд</w:t>
      </w:r>
      <w:r w:rsidR="006E7153">
        <w:rPr>
          <w:sz w:val="24"/>
          <w:szCs w:val="24"/>
        </w:rPr>
        <w:t>е</w:t>
      </w:r>
      <w:r w:rsidR="006E7153" w:rsidRPr="006E7153">
        <w:rPr>
          <w:sz w:val="24"/>
          <w:szCs w:val="24"/>
        </w:rPr>
        <w:t>нной постановлением Правительства Самарской области от 27.11.2013 № 684</w:t>
      </w:r>
      <w:r w:rsidR="006E7153">
        <w:rPr>
          <w:sz w:val="24"/>
          <w:szCs w:val="24"/>
        </w:rPr>
        <w:t>,</w:t>
      </w:r>
      <w:r w:rsidRPr="00A11169">
        <w:rPr>
          <w:sz w:val="24"/>
          <w:szCs w:val="24"/>
        </w:rPr>
        <w:t xml:space="preserve"> муниципальной программы городского округа Тольятти «Молодой семье – доступное жилье» на 2014-2020 годы.  </w:t>
      </w:r>
    </w:p>
    <w:p w:rsidR="00A50BA4" w:rsidRPr="002574EC" w:rsidRDefault="00A50BA4" w:rsidP="00A423B6">
      <w:pPr>
        <w:pStyle w:val="aff1"/>
        <w:spacing w:line="276" w:lineRule="auto"/>
        <w:rPr>
          <w:sz w:val="24"/>
          <w:szCs w:val="24"/>
        </w:rPr>
      </w:pPr>
      <w:r w:rsidRPr="002574EC">
        <w:rPr>
          <w:sz w:val="24"/>
          <w:szCs w:val="24"/>
        </w:rPr>
        <w:t>Выполнение мероприятий подпрограммы обеспечивается софинансированием средств федерального бюджета, бюджета Самарской области и бюджета городского округа Тольятти.</w:t>
      </w:r>
    </w:p>
    <w:p w:rsidR="00A50BA4" w:rsidRPr="00266419" w:rsidRDefault="00A50BA4" w:rsidP="00A423B6">
      <w:pPr>
        <w:pStyle w:val="aff1"/>
        <w:spacing w:line="276" w:lineRule="auto"/>
        <w:rPr>
          <w:sz w:val="24"/>
          <w:szCs w:val="24"/>
        </w:rPr>
      </w:pPr>
      <w:r w:rsidRPr="00A11169">
        <w:rPr>
          <w:sz w:val="24"/>
          <w:szCs w:val="24"/>
        </w:rPr>
        <w:t>В 2016 году на улучшение жилищных условий молодых семей предусмотрены средства в размере 55 120,</w:t>
      </w:r>
      <w:r w:rsidRPr="00266419">
        <w:rPr>
          <w:sz w:val="24"/>
          <w:szCs w:val="24"/>
        </w:rPr>
        <w:t>6 тыс. руб. на предоставление социальных выплат 45 молодым семьям из списка 2015 года и 320 семьям из списка 2016 года.</w:t>
      </w:r>
    </w:p>
    <w:p w:rsidR="00A50BA4" w:rsidRPr="00266419" w:rsidRDefault="00A50BA4" w:rsidP="00A423B6">
      <w:pPr>
        <w:pStyle w:val="aff1"/>
        <w:spacing w:line="276" w:lineRule="auto"/>
        <w:rPr>
          <w:sz w:val="24"/>
          <w:szCs w:val="24"/>
        </w:rPr>
      </w:pPr>
      <w:r w:rsidRPr="00266419">
        <w:rPr>
          <w:sz w:val="24"/>
          <w:szCs w:val="24"/>
        </w:rPr>
        <w:t xml:space="preserve">В отчетном периоде был утвержден норматив стоимости 1 квадратного метра общей площади жилого помещения по городскому округу Тольятти на 1 и 2 кварталы 2016 года для расчета размеров социальных выплат молодым семьям. </w:t>
      </w:r>
    </w:p>
    <w:p w:rsidR="00A50BA4" w:rsidRPr="00266419" w:rsidRDefault="00A50BA4" w:rsidP="00A423B6">
      <w:pPr>
        <w:pStyle w:val="aff1"/>
        <w:spacing w:line="276" w:lineRule="auto"/>
        <w:rPr>
          <w:sz w:val="24"/>
          <w:szCs w:val="24"/>
        </w:rPr>
      </w:pPr>
      <w:r w:rsidRPr="00266419">
        <w:rPr>
          <w:sz w:val="24"/>
          <w:szCs w:val="24"/>
        </w:rPr>
        <w:t xml:space="preserve">В апреле 2016 года поступили остатки неиспользованных средств для предоставления социальных выплат по списку молодых семей 2015 года в сумме 26 380,5 </w:t>
      </w:r>
      <w:r>
        <w:rPr>
          <w:sz w:val="24"/>
          <w:szCs w:val="24"/>
        </w:rPr>
        <w:t>тыс</w:t>
      </w:r>
      <w:r w:rsidRPr="00266419">
        <w:rPr>
          <w:sz w:val="24"/>
          <w:szCs w:val="24"/>
        </w:rPr>
        <w:t>. руб., в том числе:</w:t>
      </w:r>
    </w:p>
    <w:p w:rsidR="00A50BA4" w:rsidRPr="00266419" w:rsidRDefault="00A50BA4" w:rsidP="00A423B6">
      <w:pPr>
        <w:pStyle w:val="aff1"/>
        <w:spacing w:line="276" w:lineRule="auto"/>
        <w:rPr>
          <w:sz w:val="24"/>
          <w:szCs w:val="24"/>
        </w:rPr>
      </w:pPr>
      <w:r w:rsidRPr="00266419">
        <w:rPr>
          <w:sz w:val="24"/>
          <w:szCs w:val="24"/>
        </w:rPr>
        <w:t>- 8 043,0 тыс. руб. средства федерального бюджета;</w:t>
      </w:r>
    </w:p>
    <w:p w:rsidR="00A50BA4" w:rsidRPr="00266419" w:rsidRDefault="00A50BA4" w:rsidP="00A423B6">
      <w:pPr>
        <w:pStyle w:val="aff1"/>
        <w:spacing w:line="276" w:lineRule="auto"/>
        <w:rPr>
          <w:sz w:val="24"/>
          <w:szCs w:val="24"/>
        </w:rPr>
      </w:pPr>
      <w:r w:rsidRPr="00266419">
        <w:rPr>
          <w:sz w:val="24"/>
          <w:szCs w:val="24"/>
        </w:rPr>
        <w:t>- 18 337,5 тыс. руб. средства областного бюджета.</w:t>
      </w:r>
    </w:p>
    <w:p w:rsidR="00A50BA4" w:rsidRPr="00266419" w:rsidRDefault="00A50BA4" w:rsidP="00A423B6">
      <w:pPr>
        <w:pStyle w:val="aff1"/>
        <w:spacing w:line="276" w:lineRule="auto"/>
        <w:rPr>
          <w:sz w:val="24"/>
          <w:szCs w:val="24"/>
        </w:rPr>
      </w:pPr>
      <w:r w:rsidRPr="00266419">
        <w:rPr>
          <w:sz w:val="24"/>
          <w:szCs w:val="24"/>
        </w:rPr>
        <w:t>Средства направлены на предоставление социальных выплат 45 молодым семьям из списка 2015 года.</w:t>
      </w:r>
    </w:p>
    <w:p w:rsidR="00A50BA4" w:rsidRPr="00266419" w:rsidRDefault="00A50BA4" w:rsidP="00A423B6">
      <w:pPr>
        <w:pStyle w:val="aff1"/>
        <w:spacing w:line="276" w:lineRule="auto"/>
        <w:rPr>
          <w:sz w:val="24"/>
          <w:szCs w:val="24"/>
        </w:rPr>
      </w:pPr>
      <w:r w:rsidRPr="00266419">
        <w:rPr>
          <w:sz w:val="24"/>
          <w:szCs w:val="24"/>
        </w:rPr>
        <w:t>В июне 2016 года в городской округ Тольятти в соответствии с постановлением Правительства Самарской области от 11.05.2016 № 229 поступили денежные средства на предоставление в 2016 году социальных выплат 320 молодым семьям в размере 179 069,0 тыс. руб., из которых:</w:t>
      </w:r>
    </w:p>
    <w:p w:rsidR="00A50BA4" w:rsidRPr="00266419" w:rsidRDefault="00A50BA4" w:rsidP="00A423B6">
      <w:pPr>
        <w:pStyle w:val="aff1"/>
        <w:spacing w:line="276" w:lineRule="auto"/>
        <w:rPr>
          <w:sz w:val="24"/>
          <w:szCs w:val="24"/>
        </w:rPr>
      </w:pPr>
      <w:r w:rsidRPr="00266419">
        <w:rPr>
          <w:sz w:val="24"/>
          <w:szCs w:val="24"/>
        </w:rPr>
        <w:t xml:space="preserve">- 61 841,9 тыс. руб. средства федерального бюджета; </w:t>
      </w:r>
    </w:p>
    <w:p w:rsidR="00A50BA4" w:rsidRPr="00266419" w:rsidRDefault="00A50BA4" w:rsidP="00A423B6">
      <w:pPr>
        <w:pStyle w:val="aff1"/>
        <w:spacing w:line="276" w:lineRule="auto"/>
        <w:rPr>
          <w:sz w:val="24"/>
          <w:szCs w:val="24"/>
        </w:rPr>
      </w:pPr>
      <w:r w:rsidRPr="00266419">
        <w:rPr>
          <w:sz w:val="24"/>
          <w:szCs w:val="24"/>
        </w:rPr>
        <w:t>- 117 227,1 тыс. руб. средства областного бюджета.</w:t>
      </w:r>
    </w:p>
    <w:p w:rsidR="00A50BA4" w:rsidRPr="00266419" w:rsidRDefault="00A50BA4" w:rsidP="00A423B6">
      <w:pPr>
        <w:pStyle w:val="aff1"/>
        <w:spacing w:line="276" w:lineRule="auto"/>
        <w:rPr>
          <w:sz w:val="24"/>
          <w:szCs w:val="24"/>
        </w:rPr>
      </w:pPr>
      <w:r w:rsidRPr="00266419">
        <w:rPr>
          <w:sz w:val="24"/>
          <w:szCs w:val="24"/>
        </w:rPr>
        <w:t>На 01.07.2016 г. молодым семьям предоставлена 41 социальная выплата (40 выплат по списку 2015 года, 1 - по списку 2016 года), выдано 271 свидетельство о праве на получение социальной выплаты из списка 2016 года.</w:t>
      </w:r>
    </w:p>
    <w:p w:rsidR="00A50BA4" w:rsidRPr="002574EC" w:rsidRDefault="00A50BA4" w:rsidP="00A423B6">
      <w:pPr>
        <w:pStyle w:val="aff1"/>
        <w:spacing w:line="276" w:lineRule="auto"/>
        <w:rPr>
          <w:sz w:val="24"/>
          <w:szCs w:val="24"/>
        </w:rPr>
      </w:pPr>
      <w:r w:rsidRPr="00266419">
        <w:rPr>
          <w:sz w:val="24"/>
          <w:szCs w:val="24"/>
        </w:rPr>
        <w:lastRenderedPageBreak/>
        <w:t>По состоянию на 01.07.2016 г. на учете для обеспечения жилыми помещениями за счет средств федерального и областного бюджетов состоят 889 получателей из числа льготных категорий граждан в соответствии с действующим законодательством Российской Федерации. В 1 полугодии 2016 года перечислены субвенции в размере 14 753,5 тыс. руб.</w:t>
      </w:r>
      <w:r w:rsidRPr="002574EC">
        <w:rPr>
          <w:sz w:val="24"/>
          <w:szCs w:val="24"/>
        </w:rPr>
        <w:t xml:space="preserve"> на предоставление 13 социальных выплат, из которых реализовано 10 социальных выплат, выдано 20 государственных жилищных сертификатов, 21 семья обеспечена жилыми помещениями муниципального жилищного фонда по договорам социального найма.</w:t>
      </w:r>
    </w:p>
    <w:p w:rsidR="00A50BA4" w:rsidRPr="00A44276" w:rsidRDefault="00A50BA4" w:rsidP="000E5F1C">
      <w:pPr>
        <w:pStyle w:val="aff1"/>
        <w:spacing w:line="276" w:lineRule="auto"/>
        <w:jc w:val="center"/>
        <w:rPr>
          <w:b/>
          <w:bCs/>
          <w:sz w:val="24"/>
          <w:szCs w:val="24"/>
          <w:highlight w:val="yellow"/>
        </w:rPr>
      </w:pPr>
    </w:p>
    <w:p w:rsidR="00A50BA4" w:rsidRDefault="00A50BA4" w:rsidP="00AD29B1">
      <w:pPr>
        <w:pStyle w:val="aff1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0E5F1C">
        <w:rPr>
          <w:b/>
          <w:bCs/>
          <w:sz w:val="24"/>
          <w:szCs w:val="24"/>
        </w:rPr>
        <w:t>Финансы (сводный финансовый баланс)</w:t>
      </w:r>
    </w:p>
    <w:p w:rsidR="00A50BA4" w:rsidRPr="000E5F1C" w:rsidRDefault="00A50BA4" w:rsidP="00CC71EF">
      <w:pPr>
        <w:pStyle w:val="aff1"/>
        <w:spacing w:line="276" w:lineRule="auto"/>
        <w:jc w:val="center"/>
        <w:rPr>
          <w:b/>
          <w:bCs/>
          <w:sz w:val="24"/>
          <w:szCs w:val="24"/>
        </w:rPr>
      </w:pPr>
    </w:p>
    <w:p w:rsidR="00A50BA4" w:rsidRDefault="00A50BA4" w:rsidP="00A423B6">
      <w:pPr>
        <w:pStyle w:val="aff1"/>
        <w:spacing w:line="276" w:lineRule="auto"/>
        <w:rPr>
          <w:sz w:val="24"/>
          <w:szCs w:val="24"/>
        </w:rPr>
      </w:pPr>
      <w:r w:rsidRPr="000E5F1C">
        <w:rPr>
          <w:sz w:val="24"/>
          <w:szCs w:val="24"/>
        </w:rPr>
        <w:t>Финанс</w:t>
      </w:r>
      <w:r>
        <w:rPr>
          <w:sz w:val="24"/>
          <w:szCs w:val="24"/>
        </w:rPr>
        <w:t>овая сфера</w:t>
      </w:r>
      <w:r w:rsidRPr="000E5F1C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округа</w:t>
      </w:r>
      <w:r w:rsidRPr="002B0189">
        <w:rPr>
          <w:sz w:val="24"/>
          <w:szCs w:val="24"/>
        </w:rPr>
        <w:t xml:space="preserve"> по итогам 1 полугодия 201</w:t>
      </w:r>
      <w:r>
        <w:rPr>
          <w:sz w:val="24"/>
          <w:szCs w:val="24"/>
        </w:rPr>
        <w:t>6</w:t>
      </w:r>
      <w:r w:rsidRPr="002B0189">
        <w:rPr>
          <w:sz w:val="24"/>
          <w:szCs w:val="24"/>
        </w:rPr>
        <w:t xml:space="preserve"> года характеризу</w:t>
      </w:r>
      <w:r>
        <w:rPr>
          <w:sz w:val="24"/>
          <w:szCs w:val="24"/>
        </w:rPr>
        <w:t>е</w:t>
      </w:r>
      <w:r w:rsidRPr="002B0189">
        <w:rPr>
          <w:sz w:val="24"/>
          <w:szCs w:val="24"/>
        </w:rPr>
        <w:t xml:space="preserve">тся </w:t>
      </w:r>
      <w:r>
        <w:rPr>
          <w:sz w:val="24"/>
          <w:szCs w:val="24"/>
        </w:rPr>
        <w:t>снижением</w:t>
      </w:r>
      <w:r w:rsidRPr="002B0189">
        <w:rPr>
          <w:sz w:val="24"/>
          <w:szCs w:val="24"/>
        </w:rPr>
        <w:t xml:space="preserve"> положительного финансового результата</w:t>
      </w:r>
      <w:r>
        <w:rPr>
          <w:sz w:val="24"/>
          <w:szCs w:val="24"/>
        </w:rPr>
        <w:t xml:space="preserve"> крупнейших</w:t>
      </w:r>
      <w:r w:rsidRPr="002B0189">
        <w:rPr>
          <w:sz w:val="24"/>
          <w:szCs w:val="24"/>
        </w:rPr>
        <w:t xml:space="preserve"> экспортно-ориентированных химических предприятий, </w:t>
      </w:r>
      <w:r>
        <w:rPr>
          <w:sz w:val="24"/>
          <w:szCs w:val="24"/>
        </w:rPr>
        <w:t>значительными убытками градообразующего предприятия ОАО «АВТОВАЗ», сокращением</w:t>
      </w:r>
      <w:r w:rsidRPr="002B0189">
        <w:rPr>
          <w:sz w:val="24"/>
          <w:szCs w:val="24"/>
        </w:rPr>
        <w:t xml:space="preserve"> налоговых пос</w:t>
      </w:r>
      <w:r>
        <w:rPr>
          <w:sz w:val="24"/>
          <w:szCs w:val="24"/>
        </w:rPr>
        <w:t xml:space="preserve">туплений с территории Тольятти, в значительной степени </w:t>
      </w:r>
      <w:r w:rsidRPr="002B0189">
        <w:rPr>
          <w:sz w:val="24"/>
          <w:szCs w:val="24"/>
        </w:rPr>
        <w:t>в бюджет городского округа, под влиянием негативных экономических факторов</w:t>
      </w:r>
      <w:r>
        <w:rPr>
          <w:sz w:val="24"/>
          <w:szCs w:val="24"/>
        </w:rPr>
        <w:t>.</w:t>
      </w:r>
    </w:p>
    <w:p w:rsidR="00A50BA4" w:rsidRPr="002B0189" w:rsidRDefault="00A50BA4" w:rsidP="00A423B6">
      <w:pPr>
        <w:pStyle w:val="aff1"/>
        <w:spacing w:line="276" w:lineRule="auto"/>
        <w:rPr>
          <w:sz w:val="24"/>
          <w:szCs w:val="24"/>
        </w:rPr>
      </w:pPr>
      <w:r w:rsidRPr="002B0189">
        <w:rPr>
          <w:sz w:val="24"/>
          <w:szCs w:val="24"/>
        </w:rPr>
        <w:t xml:space="preserve">В отличие от </w:t>
      </w:r>
      <w:r>
        <w:rPr>
          <w:sz w:val="24"/>
          <w:szCs w:val="24"/>
        </w:rPr>
        <w:t>результатов первого полугодия прошлого года</w:t>
      </w:r>
      <w:r w:rsidRPr="002B0189">
        <w:rPr>
          <w:sz w:val="24"/>
          <w:szCs w:val="24"/>
        </w:rPr>
        <w:t xml:space="preserve">, когда сложился </w:t>
      </w:r>
      <w:r>
        <w:rPr>
          <w:sz w:val="24"/>
          <w:szCs w:val="24"/>
        </w:rPr>
        <w:t>положительный</w:t>
      </w:r>
      <w:r w:rsidRPr="002B0189">
        <w:rPr>
          <w:sz w:val="24"/>
          <w:szCs w:val="24"/>
        </w:rPr>
        <w:t xml:space="preserve"> сальдированный финансовый результат деятельности крупных и средних организаций городского округа Тольятти в размере </w:t>
      </w:r>
      <w:r>
        <w:rPr>
          <w:sz w:val="24"/>
          <w:szCs w:val="24"/>
        </w:rPr>
        <w:t>21 265,5</w:t>
      </w:r>
      <w:r w:rsidRPr="002B0189">
        <w:rPr>
          <w:sz w:val="24"/>
          <w:szCs w:val="24"/>
        </w:rPr>
        <w:t> мл</w:t>
      </w:r>
      <w:r>
        <w:rPr>
          <w:sz w:val="24"/>
          <w:szCs w:val="24"/>
        </w:rPr>
        <w:t>н</w:t>
      </w:r>
      <w:r w:rsidRPr="002B0189">
        <w:rPr>
          <w:sz w:val="24"/>
          <w:szCs w:val="24"/>
        </w:rPr>
        <w:t>. руб., в январе – июне 201</w:t>
      </w:r>
      <w:r>
        <w:rPr>
          <w:sz w:val="24"/>
          <w:szCs w:val="24"/>
        </w:rPr>
        <w:t>6</w:t>
      </w:r>
      <w:r w:rsidRPr="002B0189">
        <w:rPr>
          <w:sz w:val="24"/>
          <w:szCs w:val="24"/>
        </w:rPr>
        <w:t xml:space="preserve"> года получено </w:t>
      </w:r>
      <w:r>
        <w:rPr>
          <w:sz w:val="24"/>
          <w:szCs w:val="24"/>
        </w:rPr>
        <w:t xml:space="preserve">4 349,4 </w:t>
      </w:r>
      <w:r w:rsidRPr="002B0189">
        <w:rPr>
          <w:sz w:val="24"/>
          <w:szCs w:val="24"/>
        </w:rPr>
        <w:t>мл</w:t>
      </w:r>
      <w:r>
        <w:rPr>
          <w:sz w:val="24"/>
          <w:szCs w:val="24"/>
        </w:rPr>
        <w:t>н</w:t>
      </w:r>
      <w:r w:rsidRPr="002B0189">
        <w:rPr>
          <w:sz w:val="24"/>
          <w:szCs w:val="24"/>
        </w:rPr>
        <w:t xml:space="preserve">. руб. </w:t>
      </w:r>
      <w:r>
        <w:rPr>
          <w:sz w:val="24"/>
          <w:szCs w:val="24"/>
        </w:rPr>
        <w:t>убытка</w:t>
      </w:r>
      <w:r w:rsidRPr="002B0189">
        <w:rPr>
          <w:sz w:val="24"/>
          <w:szCs w:val="24"/>
        </w:rPr>
        <w:t>, сложивше</w:t>
      </w:r>
      <w:r>
        <w:rPr>
          <w:sz w:val="24"/>
          <w:szCs w:val="24"/>
        </w:rPr>
        <w:t>гося</w:t>
      </w:r>
      <w:r w:rsidRPr="002B0189">
        <w:rPr>
          <w:sz w:val="24"/>
          <w:szCs w:val="24"/>
        </w:rPr>
        <w:t xml:space="preserve"> из прибыли</w:t>
      </w:r>
      <w:r>
        <w:rPr>
          <w:rStyle w:val="affc"/>
          <w:sz w:val="24"/>
          <w:szCs w:val="24"/>
        </w:rPr>
        <w:footnoteReference w:id="1"/>
      </w:r>
      <w:r>
        <w:rPr>
          <w:sz w:val="24"/>
          <w:szCs w:val="24"/>
        </w:rPr>
        <w:t xml:space="preserve"> в </w:t>
      </w:r>
      <w:r w:rsidRPr="002B0189">
        <w:rPr>
          <w:sz w:val="24"/>
          <w:szCs w:val="24"/>
        </w:rPr>
        <w:t xml:space="preserve">размере </w:t>
      </w:r>
      <w:r>
        <w:rPr>
          <w:sz w:val="24"/>
          <w:szCs w:val="24"/>
        </w:rPr>
        <w:t>12 951,1 </w:t>
      </w:r>
      <w:r w:rsidRPr="002B0189">
        <w:rPr>
          <w:sz w:val="24"/>
          <w:szCs w:val="24"/>
        </w:rPr>
        <w:t>мл</w:t>
      </w:r>
      <w:r>
        <w:rPr>
          <w:sz w:val="24"/>
          <w:szCs w:val="24"/>
        </w:rPr>
        <w:t>н</w:t>
      </w:r>
      <w:r w:rsidRPr="002B0189">
        <w:rPr>
          <w:sz w:val="24"/>
          <w:szCs w:val="24"/>
        </w:rPr>
        <w:t xml:space="preserve">. руб., полученной </w:t>
      </w:r>
      <w:r>
        <w:rPr>
          <w:sz w:val="24"/>
          <w:szCs w:val="24"/>
        </w:rPr>
        <w:t>162</w:t>
      </w:r>
      <w:r w:rsidRPr="002B0189">
        <w:rPr>
          <w:sz w:val="24"/>
          <w:szCs w:val="24"/>
        </w:rPr>
        <w:t xml:space="preserve"> организациями</w:t>
      </w:r>
      <w:r>
        <w:rPr>
          <w:sz w:val="24"/>
          <w:szCs w:val="24"/>
        </w:rPr>
        <w:t>,</w:t>
      </w:r>
      <w:r w:rsidRPr="002B0189">
        <w:rPr>
          <w:sz w:val="24"/>
          <w:szCs w:val="24"/>
        </w:rPr>
        <w:t xml:space="preserve"> и </w:t>
      </w:r>
      <w:r>
        <w:rPr>
          <w:sz w:val="24"/>
          <w:szCs w:val="24"/>
        </w:rPr>
        <w:t>17 300,6</w:t>
      </w:r>
      <w:r w:rsidRPr="002B0189">
        <w:rPr>
          <w:sz w:val="24"/>
          <w:szCs w:val="24"/>
        </w:rPr>
        <w:t> мл</w:t>
      </w:r>
      <w:r>
        <w:rPr>
          <w:sz w:val="24"/>
          <w:szCs w:val="24"/>
        </w:rPr>
        <w:t>н</w:t>
      </w:r>
      <w:r w:rsidRPr="002B0189">
        <w:rPr>
          <w:sz w:val="24"/>
          <w:szCs w:val="24"/>
        </w:rPr>
        <w:t>. руб. убытка</w:t>
      </w:r>
      <w:r>
        <w:rPr>
          <w:rStyle w:val="affc"/>
          <w:sz w:val="24"/>
          <w:szCs w:val="24"/>
        </w:rPr>
        <w:footnoteReference w:id="2"/>
      </w:r>
      <w:r w:rsidRPr="002B0189">
        <w:rPr>
          <w:sz w:val="24"/>
          <w:szCs w:val="24"/>
        </w:rPr>
        <w:t xml:space="preserve">, полученного </w:t>
      </w:r>
      <w:r>
        <w:rPr>
          <w:sz w:val="24"/>
          <w:szCs w:val="24"/>
        </w:rPr>
        <w:t>77</w:t>
      </w:r>
      <w:r w:rsidRPr="002B0189">
        <w:rPr>
          <w:sz w:val="24"/>
          <w:szCs w:val="24"/>
        </w:rPr>
        <w:t xml:space="preserve"> организациями. </w:t>
      </w:r>
    </w:p>
    <w:p w:rsidR="00A50BA4" w:rsidRDefault="00A50BA4" w:rsidP="00A423B6">
      <w:pPr>
        <w:pStyle w:val="aff1"/>
        <w:spacing w:line="276" w:lineRule="auto"/>
        <w:rPr>
          <w:sz w:val="24"/>
          <w:szCs w:val="24"/>
        </w:rPr>
      </w:pPr>
      <w:r w:rsidRPr="002B0189">
        <w:rPr>
          <w:sz w:val="24"/>
          <w:szCs w:val="24"/>
        </w:rPr>
        <w:t>По сравнению с январ</w:t>
      </w:r>
      <w:r>
        <w:rPr>
          <w:sz w:val="24"/>
          <w:szCs w:val="24"/>
        </w:rPr>
        <w:t>е</w:t>
      </w:r>
      <w:r w:rsidRPr="002B0189">
        <w:rPr>
          <w:sz w:val="24"/>
          <w:szCs w:val="24"/>
        </w:rPr>
        <w:t xml:space="preserve">м - июнем прошлого года </w:t>
      </w:r>
      <w:r>
        <w:rPr>
          <w:sz w:val="24"/>
          <w:szCs w:val="24"/>
        </w:rPr>
        <w:t>число</w:t>
      </w:r>
      <w:r w:rsidRPr="002B0189">
        <w:rPr>
          <w:sz w:val="24"/>
          <w:szCs w:val="24"/>
        </w:rPr>
        <w:t xml:space="preserve"> прибыльных предприятий и </w:t>
      </w:r>
      <w:r>
        <w:rPr>
          <w:sz w:val="24"/>
          <w:szCs w:val="24"/>
        </w:rPr>
        <w:t>объем</w:t>
      </w:r>
      <w:r w:rsidRPr="002B0189">
        <w:rPr>
          <w:sz w:val="24"/>
          <w:szCs w:val="24"/>
        </w:rPr>
        <w:t xml:space="preserve"> прибыли </w:t>
      </w:r>
      <w:r>
        <w:rPr>
          <w:sz w:val="24"/>
          <w:szCs w:val="24"/>
        </w:rPr>
        <w:t>снизились</w:t>
      </w:r>
      <w:r w:rsidRPr="002B0189">
        <w:rPr>
          <w:sz w:val="24"/>
          <w:szCs w:val="24"/>
        </w:rPr>
        <w:t xml:space="preserve"> на </w:t>
      </w:r>
      <w:r>
        <w:rPr>
          <w:sz w:val="24"/>
          <w:szCs w:val="24"/>
        </w:rPr>
        <w:t>7,4</w:t>
      </w:r>
      <w:r w:rsidRPr="002B0189">
        <w:rPr>
          <w:sz w:val="24"/>
          <w:szCs w:val="24"/>
        </w:rPr>
        <w:t xml:space="preserve"> % и </w:t>
      </w:r>
      <w:r>
        <w:rPr>
          <w:sz w:val="24"/>
          <w:szCs w:val="24"/>
        </w:rPr>
        <w:t>44,1</w:t>
      </w:r>
      <w:r w:rsidRPr="002B0189">
        <w:rPr>
          <w:sz w:val="24"/>
          <w:szCs w:val="24"/>
        </w:rPr>
        <w:t xml:space="preserve"> % соответственно; </w:t>
      </w:r>
      <w:r>
        <w:rPr>
          <w:sz w:val="24"/>
          <w:szCs w:val="24"/>
        </w:rPr>
        <w:t>число</w:t>
      </w:r>
      <w:r w:rsidRPr="002B0189">
        <w:rPr>
          <w:sz w:val="24"/>
          <w:szCs w:val="24"/>
        </w:rPr>
        <w:t xml:space="preserve"> убыточных предприятий</w:t>
      </w:r>
      <w:r>
        <w:rPr>
          <w:sz w:val="24"/>
          <w:szCs w:val="24"/>
        </w:rPr>
        <w:t xml:space="preserve"> сократилось на 9,4</w:t>
      </w:r>
      <w:r w:rsidRPr="002B0189">
        <w:rPr>
          <w:sz w:val="24"/>
          <w:szCs w:val="24"/>
        </w:rPr>
        <w:t xml:space="preserve"> %</w:t>
      </w:r>
      <w:r>
        <w:rPr>
          <w:sz w:val="24"/>
          <w:szCs w:val="24"/>
        </w:rPr>
        <w:t>, но объем убытка вырос в 9,1 раз. Наибольшая доля прибыли (65,8 %) получена в химическом производстве, однако её объем (8 520,6 млн.руб.) сократился к соответствующему периоду прошлого года на 50,6 %. Так, по данным из открытых источников прибыль ОАО «Тольяттиазот» сократилась на 68,6 % (или 8 302,0 млн. руб.); при этом выручка снизилась на 7,1 %, себестоимость выросла на 14,9 %. У ОАО «КуйбышевАзот» прибыль сократилась, но не столь значительно – на 18,4 %.</w:t>
      </w:r>
    </w:p>
    <w:p w:rsidR="00A50BA4" w:rsidRDefault="00A50BA4" w:rsidP="00A423B6">
      <w:pPr>
        <w:pStyle w:val="aff1"/>
        <w:spacing w:line="276" w:lineRule="auto"/>
        <w:rPr>
          <w:sz w:val="24"/>
          <w:szCs w:val="24"/>
        </w:rPr>
      </w:pPr>
      <w:r w:rsidRPr="002B0189">
        <w:rPr>
          <w:sz w:val="24"/>
          <w:szCs w:val="24"/>
        </w:rPr>
        <w:t>Наибольш</w:t>
      </w:r>
      <w:r>
        <w:rPr>
          <w:sz w:val="24"/>
          <w:szCs w:val="24"/>
        </w:rPr>
        <w:t xml:space="preserve">ая доля убытка (90,7 %) </w:t>
      </w:r>
      <w:r w:rsidRPr="002B0189">
        <w:rPr>
          <w:sz w:val="24"/>
          <w:szCs w:val="24"/>
        </w:rPr>
        <w:t>получен</w:t>
      </w:r>
      <w:r>
        <w:rPr>
          <w:sz w:val="24"/>
          <w:szCs w:val="24"/>
        </w:rPr>
        <w:t>а</w:t>
      </w:r>
      <w:r w:rsidRPr="002B0189">
        <w:rPr>
          <w:sz w:val="24"/>
          <w:szCs w:val="24"/>
        </w:rPr>
        <w:t xml:space="preserve"> в производстве </w:t>
      </w:r>
      <w:r>
        <w:rPr>
          <w:sz w:val="24"/>
          <w:szCs w:val="24"/>
        </w:rPr>
        <w:t>транспортных средств и оборудования; его объем</w:t>
      </w:r>
      <w:r w:rsidRPr="002B0189">
        <w:rPr>
          <w:sz w:val="24"/>
          <w:szCs w:val="24"/>
        </w:rPr>
        <w:t xml:space="preserve"> (</w:t>
      </w:r>
      <w:r>
        <w:rPr>
          <w:sz w:val="24"/>
          <w:szCs w:val="24"/>
        </w:rPr>
        <w:t>15 695,3</w:t>
      </w:r>
      <w:r w:rsidRPr="002B0189">
        <w:rPr>
          <w:sz w:val="24"/>
          <w:szCs w:val="24"/>
        </w:rPr>
        <w:t> млн. руб.</w:t>
      </w:r>
      <w:r>
        <w:rPr>
          <w:sz w:val="24"/>
          <w:szCs w:val="24"/>
        </w:rPr>
        <w:t>) относительно прошлого года увеличился в 36 раз. Так, ОАО «АВТОВАЗ» получен убыток в размере 15 176 млн. руб. вместо 1 236 млн. руб. прибыли годом ранее; при этом выручка сократилась на 0,9 %, но себестоимость продаж выросла на 6,8 %.</w:t>
      </w:r>
    </w:p>
    <w:p w:rsidR="00A50BA4" w:rsidRDefault="00A50BA4" w:rsidP="00A423B6">
      <w:pPr>
        <w:pStyle w:val="aff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Результаты деятельности организаций за 1 полугодие 2016 года оказали существенное влияние на объем налоговых поступлений, в том числе в бюджет городского округа Тольятти.</w:t>
      </w:r>
    </w:p>
    <w:p w:rsidR="00A50BA4" w:rsidRPr="002B0189" w:rsidRDefault="00A50BA4" w:rsidP="00A423B6">
      <w:pPr>
        <w:pStyle w:val="73"/>
        <w:spacing w:line="276" w:lineRule="auto"/>
        <w:ind w:firstLine="720"/>
        <w:jc w:val="both"/>
        <w:rPr>
          <w:b w:val="0"/>
          <w:bCs w:val="0"/>
          <w:szCs w:val="24"/>
        </w:rPr>
      </w:pPr>
      <w:r w:rsidRPr="002B0189">
        <w:rPr>
          <w:b w:val="0"/>
          <w:bCs w:val="0"/>
          <w:szCs w:val="24"/>
        </w:rPr>
        <w:t>По информации Управления Федеральной налоговой службы России по Самарской области по состоянию на 01.07.201</w:t>
      </w:r>
      <w:r>
        <w:rPr>
          <w:b w:val="0"/>
          <w:bCs w:val="0"/>
          <w:szCs w:val="24"/>
        </w:rPr>
        <w:t>6</w:t>
      </w:r>
      <w:r w:rsidRPr="002B0189">
        <w:rPr>
          <w:b w:val="0"/>
          <w:bCs w:val="0"/>
          <w:szCs w:val="24"/>
        </w:rPr>
        <w:t xml:space="preserve"> г. с территории городского округа Тольятти в </w:t>
      </w:r>
      <w:r w:rsidRPr="002B0189">
        <w:rPr>
          <w:b w:val="0"/>
          <w:bCs w:val="0"/>
          <w:szCs w:val="24"/>
        </w:rPr>
        <w:lastRenderedPageBreak/>
        <w:t>бюджетную систему Российской Федерации поступило налоговых доходов –</w:t>
      </w:r>
      <w:r>
        <w:rPr>
          <w:b w:val="0"/>
          <w:bCs w:val="0"/>
          <w:szCs w:val="24"/>
        </w:rPr>
        <w:t xml:space="preserve"> 14 166,9</w:t>
      </w:r>
      <w:r w:rsidRPr="002B0189">
        <w:rPr>
          <w:b w:val="0"/>
          <w:bCs w:val="0"/>
          <w:szCs w:val="24"/>
        </w:rPr>
        <w:t xml:space="preserve"> млн. руб.</w:t>
      </w:r>
      <w:r>
        <w:rPr>
          <w:b w:val="0"/>
          <w:bCs w:val="0"/>
          <w:szCs w:val="24"/>
        </w:rPr>
        <w:t xml:space="preserve"> (-11,1 % от уровня прошлого года)</w:t>
      </w:r>
      <w:r w:rsidRPr="002B0189">
        <w:rPr>
          <w:b w:val="0"/>
          <w:bCs w:val="0"/>
          <w:szCs w:val="24"/>
        </w:rPr>
        <w:t>.</w:t>
      </w:r>
    </w:p>
    <w:p w:rsidR="00A50BA4" w:rsidRDefault="00A50BA4" w:rsidP="00A423B6">
      <w:pPr>
        <w:pStyle w:val="aff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A65CC">
        <w:rPr>
          <w:sz w:val="24"/>
          <w:szCs w:val="24"/>
        </w:rPr>
        <w:t xml:space="preserve">оля </w:t>
      </w:r>
      <w:r>
        <w:rPr>
          <w:sz w:val="24"/>
          <w:szCs w:val="24"/>
        </w:rPr>
        <w:t xml:space="preserve">налоговых </w:t>
      </w:r>
      <w:r w:rsidRPr="002A65CC">
        <w:rPr>
          <w:sz w:val="24"/>
          <w:szCs w:val="24"/>
        </w:rPr>
        <w:t>доходов</w:t>
      </w:r>
      <w:r w:rsidRPr="00D83028">
        <w:rPr>
          <w:sz w:val="24"/>
          <w:szCs w:val="24"/>
        </w:rPr>
        <w:t xml:space="preserve"> </w:t>
      </w:r>
      <w:r w:rsidRPr="002A65CC">
        <w:rPr>
          <w:sz w:val="24"/>
          <w:szCs w:val="24"/>
        </w:rPr>
        <w:t>с территории городского округа Тольятти</w:t>
      </w:r>
      <w:r>
        <w:rPr>
          <w:sz w:val="24"/>
          <w:szCs w:val="24"/>
        </w:rPr>
        <w:t xml:space="preserve"> </w:t>
      </w:r>
      <w:r w:rsidRPr="002A65CC">
        <w:rPr>
          <w:sz w:val="24"/>
          <w:szCs w:val="24"/>
        </w:rPr>
        <w:t xml:space="preserve">в налоговых доходах Самарской области составила </w:t>
      </w:r>
      <w:r>
        <w:rPr>
          <w:sz w:val="24"/>
          <w:szCs w:val="24"/>
        </w:rPr>
        <w:t>14,7 % (+4,1</w:t>
      </w:r>
      <w:r w:rsidRPr="002A65CC">
        <w:rPr>
          <w:sz w:val="24"/>
          <w:szCs w:val="24"/>
        </w:rPr>
        <w:t> </w:t>
      </w:r>
      <w:r>
        <w:rPr>
          <w:sz w:val="24"/>
          <w:szCs w:val="24"/>
        </w:rPr>
        <w:t>п.п.)</w:t>
      </w:r>
      <w:r w:rsidRPr="002A65CC">
        <w:rPr>
          <w:sz w:val="24"/>
          <w:szCs w:val="24"/>
        </w:rPr>
        <w:t xml:space="preserve">, в налоговых доходах Приволжского Федерального округа – </w:t>
      </w:r>
      <w:r>
        <w:rPr>
          <w:sz w:val="24"/>
          <w:szCs w:val="24"/>
        </w:rPr>
        <w:t>2,1 % (+0,6 п.п.)</w:t>
      </w:r>
      <w:r w:rsidRPr="002A65CC">
        <w:rPr>
          <w:sz w:val="24"/>
          <w:szCs w:val="24"/>
        </w:rPr>
        <w:t xml:space="preserve"> в налоговых доходах Российской Федерации – 0,</w:t>
      </w:r>
      <w:r>
        <w:rPr>
          <w:sz w:val="24"/>
          <w:szCs w:val="24"/>
        </w:rPr>
        <w:t>3</w:t>
      </w:r>
      <w:r w:rsidRPr="002A65CC">
        <w:rPr>
          <w:sz w:val="24"/>
          <w:szCs w:val="24"/>
        </w:rPr>
        <w:t xml:space="preserve"> % </w:t>
      </w:r>
      <w:r>
        <w:rPr>
          <w:sz w:val="24"/>
          <w:szCs w:val="24"/>
        </w:rPr>
        <w:t xml:space="preserve">(+0,1 %) </w:t>
      </w:r>
      <w:r w:rsidRPr="002A65CC">
        <w:rPr>
          <w:sz w:val="24"/>
          <w:szCs w:val="24"/>
        </w:rPr>
        <w:t>(по данным официального сайта Федеральной налоговой службы России</w:t>
      </w:r>
      <w:r>
        <w:rPr>
          <w:sz w:val="24"/>
          <w:szCs w:val="24"/>
        </w:rPr>
        <w:t>).</w:t>
      </w:r>
    </w:p>
    <w:p w:rsidR="00A50BA4" w:rsidRDefault="00A50BA4" w:rsidP="00A423B6">
      <w:pPr>
        <w:pStyle w:val="aff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Наибольшее сокращение налоговых поступлений получено:</w:t>
      </w:r>
    </w:p>
    <w:p w:rsidR="00A50BA4" w:rsidRDefault="00A50BA4" w:rsidP="00A423B6">
      <w:pPr>
        <w:pStyle w:val="aff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 налогу на прибыль – 1 235,5 млн. руб. за счет снижения прибыли организаций (</w:t>
      </w:r>
      <w:r w:rsidRPr="00541BAB">
        <w:rPr>
          <w:sz w:val="24"/>
          <w:szCs w:val="24"/>
        </w:rPr>
        <w:t>в форм</w:t>
      </w:r>
      <w:r>
        <w:rPr>
          <w:sz w:val="24"/>
          <w:szCs w:val="24"/>
        </w:rPr>
        <w:t>е</w:t>
      </w:r>
      <w:r w:rsidRPr="00541BAB">
        <w:rPr>
          <w:sz w:val="24"/>
          <w:szCs w:val="24"/>
        </w:rPr>
        <w:t xml:space="preserve"> «Финансы (сводный финансовый баланс)</w:t>
      </w:r>
      <w:r>
        <w:rPr>
          <w:sz w:val="24"/>
          <w:szCs w:val="24"/>
        </w:rPr>
        <w:t>»</w:t>
      </w:r>
      <w:r w:rsidRPr="00541B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налог на прибыль </w:t>
      </w:r>
      <w:r w:rsidRPr="00541BAB">
        <w:rPr>
          <w:sz w:val="24"/>
          <w:szCs w:val="24"/>
        </w:rPr>
        <w:t>в составе</w:t>
      </w:r>
      <w:r>
        <w:rPr>
          <w:sz w:val="24"/>
          <w:szCs w:val="24"/>
        </w:rPr>
        <w:t xml:space="preserve"> налоговых доходов не отражается, так как учитывается в показателе «Прибыль прибыльных организаций до налогообложения (по РСБУ)»);</w:t>
      </w:r>
    </w:p>
    <w:p w:rsidR="00A50BA4" w:rsidRPr="00541BAB" w:rsidRDefault="00A50BA4" w:rsidP="00A423B6">
      <w:pPr>
        <w:pStyle w:val="aff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 налогу на добавленную стоимость – 587,0 млн. руб. за счет роста возмещения из бюджета налога по экспортно-импортным операциям;</w:t>
      </w:r>
    </w:p>
    <w:p w:rsidR="00A50BA4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доходов, администрируемых налоговой службой, в бюджет городского округа Тольятти (далее – местный бюджет) в 1 полугодии 2016 года зачислено 2 198,2 млн. руб. налоговых доходов или 15,5 % от общего объема налоговых доходов с территории Тольятти.  </w:t>
      </w:r>
    </w:p>
    <w:p w:rsidR="00A50BA4" w:rsidRDefault="00A50BA4" w:rsidP="00A423B6">
      <w:pPr>
        <w:pStyle w:val="73"/>
        <w:spacing w:line="276" w:lineRule="auto"/>
        <w:ind w:firstLine="720"/>
        <w:jc w:val="both"/>
        <w:rPr>
          <w:b w:val="0"/>
          <w:szCs w:val="24"/>
        </w:rPr>
      </w:pPr>
      <w:r w:rsidRPr="002A65CC">
        <w:rPr>
          <w:b w:val="0"/>
          <w:szCs w:val="24"/>
        </w:rPr>
        <w:t>За 1 полугодие</w:t>
      </w:r>
      <w:r w:rsidRPr="002A65CC">
        <w:rPr>
          <w:szCs w:val="24"/>
        </w:rPr>
        <w:t xml:space="preserve"> </w:t>
      </w:r>
      <w:r w:rsidRPr="002A65CC">
        <w:rPr>
          <w:b w:val="0"/>
          <w:szCs w:val="24"/>
        </w:rPr>
        <w:t>201</w:t>
      </w:r>
      <w:r>
        <w:rPr>
          <w:b w:val="0"/>
          <w:szCs w:val="24"/>
        </w:rPr>
        <w:t>6</w:t>
      </w:r>
      <w:r w:rsidRPr="002A65CC">
        <w:rPr>
          <w:b w:val="0"/>
          <w:szCs w:val="24"/>
        </w:rPr>
        <w:t xml:space="preserve"> года </w:t>
      </w:r>
      <w:r>
        <w:rPr>
          <w:b w:val="0"/>
          <w:szCs w:val="24"/>
        </w:rPr>
        <w:t>общий объем</w:t>
      </w:r>
      <w:r w:rsidRPr="002A65CC">
        <w:rPr>
          <w:b w:val="0"/>
          <w:szCs w:val="24"/>
        </w:rPr>
        <w:t xml:space="preserve"> доходов бюджета городского округа </w:t>
      </w:r>
      <w:r>
        <w:rPr>
          <w:b w:val="0"/>
        </w:rPr>
        <w:t xml:space="preserve">вырос </w:t>
      </w:r>
      <w:r w:rsidRPr="008D4737">
        <w:rPr>
          <w:b w:val="0"/>
        </w:rPr>
        <w:t xml:space="preserve">к соответствующему периоду прошлого </w:t>
      </w:r>
      <w:r>
        <w:rPr>
          <w:b w:val="0"/>
        </w:rPr>
        <w:t xml:space="preserve">года </w:t>
      </w:r>
      <w:r w:rsidRPr="008D4737">
        <w:rPr>
          <w:b w:val="0"/>
        </w:rPr>
        <w:t xml:space="preserve">на </w:t>
      </w:r>
      <w:r>
        <w:rPr>
          <w:b w:val="0"/>
        </w:rPr>
        <w:t xml:space="preserve">16,7 </w:t>
      </w:r>
      <w:r w:rsidRPr="008D4737">
        <w:rPr>
          <w:b w:val="0"/>
        </w:rPr>
        <w:t xml:space="preserve">% и составил </w:t>
      </w:r>
      <w:r>
        <w:rPr>
          <w:b w:val="0"/>
        </w:rPr>
        <w:t>5 443,4</w:t>
      </w:r>
      <w:r w:rsidRPr="008D4737">
        <w:rPr>
          <w:b w:val="0"/>
        </w:rPr>
        <w:t> млн.</w:t>
      </w:r>
      <w:r>
        <w:rPr>
          <w:b w:val="0"/>
        </w:rPr>
        <w:t> руб.</w:t>
      </w:r>
      <w:r w:rsidRPr="008D4737">
        <w:rPr>
          <w:b w:val="0"/>
          <w:szCs w:val="24"/>
        </w:rPr>
        <w:t>, в том числе</w:t>
      </w:r>
      <w:r>
        <w:rPr>
          <w:b w:val="0"/>
          <w:szCs w:val="24"/>
        </w:rPr>
        <w:t>: налоговые и неналоговые доходы – на 8,3 % до 2 859,0 млн. руб., безвозмездные поступления – на 27,6 % до 2 584,4 млн. руб. Доля налоговых и неналоговых доходов в общем объеме доходов бюджета составила 52,5 %.</w:t>
      </w:r>
    </w:p>
    <w:p w:rsidR="00A50BA4" w:rsidRPr="00486670" w:rsidRDefault="00A50BA4" w:rsidP="00A423B6">
      <w:pPr>
        <w:pStyle w:val="73"/>
        <w:spacing w:line="276" w:lineRule="auto"/>
        <w:ind w:firstLine="720"/>
        <w:jc w:val="both"/>
        <w:rPr>
          <w:b w:val="0"/>
          <w:szCs w:val="24"/>
        </w:rPr>
      </w:pPr>
      <w:r w:rsidRPr="00486670">
        <w:rPr>
          <w:b w:val="0"/>
          <w:szCs w:val="24"/>
        </w:rPr>
        <w:t xml:space="preserve">В </w:t>
      </w:r>
      <w:r>
        <w:rPr>
          <w:b w:val="0"/>
          <w:szCs w:val="24"/>
        </w:rPr>
        <w:t>том числе по налоговым и неналоговым доходам:</w:t>
      </w:r>
    </w:p>
    <w:p w:rsidR="00A50BA4" w:rsidRDefault="00A50BA4" w:rsidP="00A423B6">
      <w:pPr>
        <w:pStyle w:val="73"/>
        <w:spacing w:line="276" w:lineRule="auto"/>
        <w:ind w:firstLine="720"/>
        <w:jc w:val="both"/>
        <w:rPr>
          <w:b w:val="0"/>
          <w:szCs w:val="28"/>
        </w:rPr>
      </w:pPr>
      <w:r>
        <w:rPr>
          <w:b w:val="0"/>
          <w:szCs w:val="24"/>
        </w:rPr>
        <w:t xml:space="preserve">- </w:t>
      </w:r>
      <w:r w:rsidRPr="002A65CC">
        <w:rPr>
          <w:b w:val="0"/>
          <w:szCs w:val="24"/>
        </w:rPr>
        <w:t xml:space="preserve"> </w:t>
      </w:r>
      <w:r w:rsidRPr="0014678A">
        <w:rPr>
          <w:b w:val="0"/>
          <w:bCs w:val="0"/>
          <w:szCs w:val="24"/>
        </w:rPr>
        <w:t>налог на доходы физических лиц (НДФЛ)</w:t>
      </w:r>
      <w:r>
        <w:rPr>
          <w:b w:val="0"/>
          <w:bCs w:val="0"/>
          <w:szCs w:val="24"/>
        </w:rPr>
        <w:t xml:space="preserve"> – 1 512,9</w:t>
      </w:r>
      <w:r w:rsidRPr="0014678A">
        <w:rPr>
          <w:b w:val="0"/>
          <w:bCs w:val="0"/>
          <w:szCs w:val="24"/>
        </w:rPr>
        <w:t xml:space="preserve"> млн. руб.</w:t>
      </w:r>
      <w:r>
        <w:rPr>
          <w:b w:val="0"/>
          <w:bCs w:val="0"/>
          <w:szCs w:val="24"/>
        </w:rPr>
        <w:t xml:space="preserve"> (+ 7,3</w:t>
      </w:r>
      <w:r w:rsidRPr="0014678A">
        <w:rPr>
          <w:b w:val="0"/>
          <w:bCs w:val="0"/>
          <w:szCs w:val="24"/>
        </w:rPr>
        <w:t xml:space="preserve"> %</w:t>
      </w:r>
      <w:r>
        <w:rPr>
          <w:b w:val="0"/>
          <w:bCs w:val="0"/>
          <w:szCs w:val="24"/>
        </w:rPr>
        <w:t xml:space="preserve">), </w:t>
      </w:r>
      <w:r w:rsidRPr="008D4737">
        <w:rPr>
          <w:b w:val="0"/>
        </w:rPr>
        <w:t xml:space="preserve">в основном, в связи с поступлением в </w:t>
      </w:r>
      <w:r>
        <w:rPr>
          <w:b w:val="0"/>
        </w:rPr>
        <w:t>июне 2016</w:t>
      </w:r>
      <w:r w:rsidRPr="008D4737">
        <w:rPr>
          <w:b w:val="0"/>
        </w:rPr>
        <w:t xml:space="preserve"> года </w:t>
      </w:r>
      <w:r>
        <w:rPr>
          <w:b w:val="0"/>
        </w:rPr>
        <w:t>НДФЛ</w:t>
      </w:r>
      <w:r w:rsidRPr="008D4737">
        <w:rPr>
          <w:b w:val="0"/>
        </w:rPr>
        <w:t xml:space="preserve"> от выплаты вознаграждения членам Совета директоров </w:t>
      </w:r>
      <w:r w:rsidRPr="008D4737">
        <w:rPr>
          <w:b w:val="0"/>
          <w:szCs w:val="28"/>
        </w:rPr>
        <w:t>акционерного общества, относящегося к химической отрасли,</w:t>
      </w:r>
      <w:r w:rsidRPr="008D4737">
        <w:rPr>
          <w:b w:val="0"/>
        </w:rPr>
        <w:t xml:space="preserve"> </w:t>
      </w:r>
      <w:r>
        <w:rPr>
          <w:b w:val="0"/>
        </w:rPr>
        <w:t xml:space="preserve">и сокращением на 45 млн. руб. возмещения НДФЛ по декларациям о доходах. За исключением данных доходов и, несмотря на </w:t>
      </w:r>
      <w:r w:rsidRPr="008D4737">
        <w:rPr>
          <w:b w:val="0"/>
        </w:rPr>
        <w:t>сокращение на 3,2 % фонда начисленной заработной платы работников крупных и средних предприятий по причине роста безработицы</w:t>
      </w:r>
      <w:r>
        <w:rPr>
          <w:b w:val="0"/>
        </w:rPr>
        <w:t>, по итогам 1 полугодия текущего года сложился рост поступлений НДФЛ на 3,3 %</w:t>
      </w:r>
      <w:r>
        <w:rPr>
          <w:b w:val="0"/>
          <w:szCs w:val="28"/>
        </w:rPr>
        <w:t>;</w:t>
      </w:r>
    </w:p>
    <w:p w:rsidR="00A50BA4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 w:rsidRPr="008D4737">
        <w:rPr>
          <w:b/>
          <w:szCs w:val="24"/>
        </w:rPr>
        <w:t xml:space="preserve">- </w:t>
      </w:r>
      <w:r w:rsidRPr="005A7B3B">
        <w:rPr>
          <w:sz w:val="24"/>
          <w:szCs w:val="24"/>
        </w:rPr>
        <w:t>акциз</w:t>
      </w:r>
      <w:r>
        <w:rPr>
          <w:sz w:val="24"/>
          <w:szCs w:val="24"/>
        </w:rPr>
        <w:t>ы</w:t>
      </w:r>
      <w:r w:rsidRPr="005A7B3B">
        <w:rPr>
          <w:sz w:val="24"/>
          <w:szCs w:val="24"/>
        </w:rPr>
        <w:t xml:space="preserve">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в сумме 29,5 млн. руб.</w:t>
      </w:r>
      <w:r>
        <w:rPr>
          <w:sz w:val="24"/>
          <w:szCs w:val="24"/>
        </w:rPr>
        <w:t xml:space="preserve"> (+ 53,9 %);</w:t>
      </w:r>
    </w:p>
    <w:p w:rsidR="00A50BA4" w:rsidRDefault="00A50BA4" w:rsidP="00A423B6">
      <w:pPr>
        <w:pStyle w:val="73"/>
        <w:spacing w:line="276" w:lineRule="auto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2A65CC">
        <w:rPr>
          <w:b w:val="0"/>
          <w:szCs w:val="24"/>
        </w:rPr>
        <w:t>налог</w:t>
      </w:r>
      <w:r>
        <w:rPr>
          <w:b w:val="0"/>
          <w:szCs w:val="24"/>
        </w:rPr>
        <w:t>и</w:t>
      </w:r>
      <w:r w:rsidRPr="002A65CC">
        <w:rPr>
          <w:b w:val="0"/>
          <w:szCs w:val="24"/>
        </w:rPr>
        <w:t xml:space="preserve"> на совокупный доход </w:t>
      </w:r>
      <w:r>
        <w:rPr>
          <w:b w:val="0"/>
          <w:szCs w:val="24"/>
        </w:rPr>
        <w:t>– 165,2</w:t>
      </w:r>
      <w:r w:rsidRPr="002A65CC">
        <w:rPr>
          <w:b w:val="0"/>
          <w:szCs w:val="24"/>
        </w:rPr>
        <w:t xml:space="preserve"> млн. руб.</w:t>
      </w:r>
      <w:r>
        <w:rPr>
          <w:b w:val="0"/>
          <w:szCs w:val="24"/>
        </w:rPr>
        <w:t xml:space="preserve"> (+ 11,5 %), в основном, за счет</w:t>
      </w:r>
      <w:r w:rsidRPr="002A65CC">
        <w:rPr>
          <w:b w:val="0"/>
          <w:szCs w:val="24"/>
        </w:rPr>
        <w:t xml:space="preserve"> рост</w:t>
      </w:r>
      <w:r>
        <w:rPr>
          <w:b w:val="0"/>
          <w:szCs w:val="24"/>
        </w:rPr>
        <w:t>а</w:t>
      </w:r>
      <w:r w:rsidRPr="002A65CC">
        <w:rPr>
          <w:b w:val="0"/>
          <w:szCs w:val="24"/>
        </w:rPr>
        <w:t xml:space="preserve"> </w:t>
      </w:r>
      <w:r>
        <w:rPr>
          <w:b w:val="0"/>
          <w:szCs w:val="24"/>
        </w:rPr>
        <w:t>на 10,6 % поступлений единого налога на вмененный доход</w:t>
      </w:r>
      <w:r w:rsidRPr="002A65CC">
        <w:rPr>
          <w:b w:val="0"/>
          <w:szCs w:val="24"/>
        </w:rPr>
        <w:t xml:space="preserve">; </w:t>
      </w:r>
    </w:p>
    <w:p w:rsidR="00A50BA4" w:rsidRDefault="00A50BA4" w:rsidP="00A423B6">
      <w:pPr>
        <w:pStyle w:val="aff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65CC">
        <w:rPr>
          <w:sz w:val="24"/>
          <w:szCs w:val="24"/>
        </w:rPr>
        <w:t>налог</w:t>
      </w:r>
      <w:r>
        <w:rPr>
          <w:sz w:val="24"/>
          <w:szCs w:val="24"/>
        </w:rPr>
        <w:t xml:space="preserve">и </w:t>
      </w:r>
      <w:r w:rsidRPr="002A65CC">
        <w:rPr>
          <w:sz w:val="24"/>
          <w:szCs w:val="24"/>
        </w:rPr>
        <w:t xml:space="preserve">на имущество </w:t>
      </w:r>
      <w:r>
        <w:rPr>
          <w:sz w:val="24"/>
          <w:szCs w:val="24"/>
        </w:rPr>
        <w:t>– 471,7</w:t>
      </w:r>
      <w:r w:rsidRPr="002A65CC">
        <w:rPr>
          <w:sz w:val="24"/>
          <w:szCs w:val="24"/>
        </w:rPr>
        <w:t> млн. руб.</w:t>
      </w:r>
      <w:r>
        <w:rPr>
          <w:sz w:val="24"/>
          <w:szCs w:val="24"/>
        </w:rPr>
        <w:t xml:space="preserve"> (- 24,2 %), в основном</w:t>
      </w:r>
      <w:r w:rsidRPr="002A65CC">
        <w:rPr>
          <w:sz w:val="24"/>
          <w:szCs w:val="24"/>
        </w:rPr>
        <w:t xml:space="preserve">, </w:t>
      </w:r>
      <w:r>
        <w:rPr>
          <w:sz w:val="24"/>
          <w:szCs w:val="24"/>
        </w:rPr>
        <w:t>за счет снижения на 21,4 % поступлений земельного налога, в основном</w:t>
      </w:r>
      <w:r w:rsidRPr="00DD0F01">
        <w:rPr>
          <w:sz w:val="22"/>
        </w:rPr>
        <w:t xml:space="preserve"> </w:t>
      </w:r>
      <w:r w:rsidRPr="00A83058">
        <w:rPr>
          <w:sz w:val="22"/>
        </w:rPr>
        <w:t xml:space="preserve">в результате перерасчета </w:t>
      </w:r>
      <w:r>
        <w:rPr>
          <w:sz w:val="22"/>
        </w:rPr>
        <w:t>налога</w:t>
      </w:r>
      <w:r w:rsidRPr="00A83058">
        <w:rPr>
          <w:sz w:val="22"/>
        </w:rPr>
        <w:t xml:space="preserve"> на основании решений суда, Комиссии по рассмотрению споров о результатах определения кадастровой стоимости при Управлении Росреестра по Самарской области</w:t>
      </w:r>
      <w:r>
        <w:rPr>
          <w:sz w:val="24"/>
          <w:szCs w:val="24"/>
        </w:rPr>
        <w:t>;</w:t>
      </w:r>
    </w:p>
    <w:p w:rsidR="00A50BA4" w:rsidRPr="00E63B0F" w:rsidRDefault="00A50BA4" w:rsidP="00A423B6">
      <w:pPr>
        <w:pStyle w:val="aff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3B0F">
        <w:rPr>
          <w:sz w:val="24"/>
          <w:szCs w:val="24"/>
        </w:rPr>
        <w:t>государственн</w:t>
      </w:r>
      <w:r>
        <w:rPr>
          <w:sz w:val="24"/>
          <w:szCs w:val="24"/>
        </w:rPr>
        <w:t>ая</w:t>
      </w:r>
      <w:r w:rsidRPr="00E63B0F">
        <w:rPr>
          <w:sz w:val="24"/>
          <w:szCs w:val="24"/>
        </w:rPr>
        <w:t xml:space="preserve"> пошлин</w:t>
      </w:r>
      <w:r>
        <w:rPr>
          <w:sz w:val="24"/>
          <w:szCs w:val="24"/>
        </w:rPr>
        <w:t xml:space="preserve">а - </w:t>
      </w:r>
      <w:r w:rsidRPr="00E63B0F">
        <w:rPr>
          <w:sz w:val="24"/>
          <w:szCs w:val="24"/>
        </w:rPr>
        <w:t xml:space="preserve"> </w:t>
      </w:r>
      <w:r>
        <w:rPr>
          <w:sz w:val="24"/>
          <w:szCs w:val="24"/>
        </w:rPr>
        <w:t>76,9</w:t>
      </w:r>
      <w:r w:rsidRPr="00E63B0F">
        <w:rPr>
          <w:sz w:val="24"/>
          <w:szCs w:val="24"/>
        </w:rPr>
        <w:t xml:space="preserve"> млн. руб.  </w:t>
      </w:r>
      <w:r>
        <w:rPr>
          <w:sz w:val="24"/>
          <w:szCs w:val="24"/>
        </w:rPr>
        <w:t>(+ 1,5</w:t>
      </w:r>
      <w:r w:rsidRPr="00E63B0F">
        <w:rPr>
          <w:sz w:val="24"/>
          <w:szCs w:val="24"/>
        </w:rPr>
        <w:t xml:space="preserve"> %</w:t>
      </w:r>
      <w:r>
        <w:rPr>
          <w:sz w:val="24"/>
          <w:szCs w:val="24"/>
        </w:rPr>
        <w:t>);</w:t>
      </w:r>
      <w:r w:rsidRPr="00E63B0F">
        <w:rPr>
          <w:sz w:val="24"/>
          <w:szCs w:val="24"/>
        </w:rPr>
        <w:t xml:space="preserve"> </w:t>
      </w:r>
    </w:p>
    <w:p w:rsidR="00A50BA4" w:rsidRDefault="00A50BA4" w:rsidP="00A423B6">
      <w:pPr>
        <w:pStyle w:val="aff1"/>
        <w:spacing w:line="276" w:lineRule="auto"/>
        <w:rPr>
          <w:sz w:val="22"/>
        </w:rPr>
      </w:pPr>
      <w:r w:rsidRPr="00E63B0F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2A65CC">
        <w:rPr>
          <w:sz w:val="24"/>
          <w:szCs w:val="24"/>
        </w:rPr>
        <w:t xml:space="preserve">еналоговые доходы </w:t>
      </w:r>
      <w:r>
        <w:rPr>
          <w:sz w:val="24"/>
          <w:szCs w:val="24"/>
        </w:rPr>
        <w:t>– 602,8</w:t>
      </w:r>
      <w:r w:rsidRPr="002A65CC">
        <w:rPr>
          <w:sz w:val="24"/>
          <w:szCs w:val="24"/>
        </w:rPr>
        <w:t xml:space="preserve"> млн. руб. (+ </w:t>
      </w:r>
      <w:r>
        <w:rPr>
          <w:sz w:val="24"/>
          <w:szCs w:val="24"/>
        </w:rPr>
        <w:t>64,8</w:t>
      </w:r>
      <w:r w:rsidRPr="002A65CC">
        <w:rPr>
          <w:sz w:val="24"/>
          <w:szCs w:val="24"/>
        </w:rPr>
        <w:t xml:space="preserve"> %)</w:t>
      </w:r>
      <w:r>
        <w:rPr>
          <w:sz w:val="24"/>
          <w:szCs w:val="24"/>
        </w:rPr>
        <w:t xml:space="preserve">, в основном, за счет роста в 3,2 раза прочих неналоговых доходов (доходов </w:t>
      </w:r>
      <w:r w:rsidRPr="00B64AF5">
        <w:rPr>
          <w:sz w:val="22"/>
        </w:rPr>
        <w:t>от размещения наружной рекламы</w:t>
      </w:r>
      <w:r>
        <w:rPr>
          <w:sz w:val="22"/>
        </w:rPr>
        <w:t>)</w:t>
      </w:r>
      <w:r>
        <w:rPr>
          <w:sz w:val="24"/>
          <w:szCs w:val="24"/>
        </w:rPr>
        <w:t>, а также</w:t>
      </w:r>
      <w:r w:rsidRPr="006F25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счет роста на 4,9 % </w:t>
      </w:r>
      <w:r w:rsidRPr="002A65CC">
        <w:rPr>
          <w:sz w:val="24"/>
          <w:szCs w:val="24"/>
        </w:rPr>
        <w:t>доход</w:t>
      </w:r>
      <w:r>
        <w:rPr>
          <w:sz w:val="24"/>
          <w:szCs w:val="24"/>
        </w:rPr>
        <w:t>ов от использования муниципального имущества</w:t>
      </w:r>
      <w:r>
        <w:rPr>
          <w:sz w:val="22"/>
        </w:rPr>
        <w:t>.</w:t>
      </w:r>
    </w:p>
    <w:p w:rsidR="00A50BA4" w:rsidRPr="002A65CC" w:rsidRDefault="00A50BA4" w:rsidP="00A423B6">
      <w:pPr>
        <w:pStyle w:val="aff1"/>
        <w:spacing w:line="276" w:lineRule="auto"/>
        <w:rPr>
          <w:sz w:val="24"/>
          <w:szCs w:val="24"/>
        </w:rPr>
      </w:pPr>
      <w:r w:rsidRPr="002A65CC">
        <w:rPr>
          <w:sz w:val="24"/>
          <w:szCs w:val="24"/>
        </w:rPr>
        <w:lastRenderedPageBreak/>
        <w:t>В 1 полугодии 201</w:t>
      </w:r>
      <w:r>
        <w:rPr>
          <w:sz w:val="24"/>
          <w:szCs w:val="24"/>
        </w:rPr>
        <w:t>6</w:t>
      </w:r>
      <w:r w:rsidRPr="002A65CC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несколько снизилась </w:t>
      </w:r>
      <w:r w:rsidRPr="002A65CC">
        <w:rPr>
          <w:sz w:val="24"/>
          <w:szCs w:val="24"/>
        </w:rPr>
        <w:t xml:space="preserve">социальная направленность бюджета городского округа Тольятти: в структуре расходов доля расходов на социальную сферу составила </w:t>
      </w:r>
      <w:r>
        <w:rPr>
          <w:sz w:val="24"/>
          <w:szCs w:val="24"/>
        </w:rPr>
        <w:t>64,1</w:t>
      </w:r>
      <w:r w:rsidRPr="002A65CC">
        <w:rPr>
          <w:sz w:val="24"/>
          <w:szCs w:val="24"/>
        </w:rPr>
        <w:t> % (в 1 полугодии 201</w:t>
      </w:r>
      <w:r>
        <w:rPr>
          <w:sz w:val="24"/>
          <w:szCs w:val="24"/>
        </w:rPr>
        <w:t>5</w:t>
      </w:r>
      <w:r w:rsidRPr="002A65CC">
        <w:rPr>
          <w:sz w:val="24"/>
          <w:szCs w:val="24"/>
        </w:rPr>
        <w:t xml:space="preserve"> года – </w:t>
      </w:r>
      <w:r>
        <w:rPr>
          <w:sz w:val="24"/>
          <w:szCs w:val="24"/>
        </w:rPr>
        <w:t>71,2</w:t>
      </w:r>
      <w:r w:rsidRPr="002A65CC">
        <w:rPr>
          <w:sz w:val="24"/>
          <w:szCs w:val="24"/>
        </w:rPr>
        <w:t xml:space="preserve"> %). </w:t>
      </w:r>
    </w:p>
    <w:p w:rsidR="00A50BA4" w:rsidRPr="002A65CC" w:rsidRDefault="00A50BA4" w:rsidP="00A423B6">
      <w:pPr>
        <w:pStyle w:val="aff1"/>
        <w:spacing w:line="276" w:lineRule="auto"/>
        <w:rPr>
          <w:sz w:val="24"/>
          <w:szCs w:val="24"/>
        </w:rPr>
      </w:pPr>
      <w:r w:rsidRPr="002A65CC">
        <w:rPr>
          <w:sz w:val="24"/>
          <w:szCs w:val="24"/>
        </w:rPr>
        <w:t>Общий объ</w:t>
      </w:r>
      <w:r>
        <w:rPr>
          <w:sz w:val="24"/>
          <w:szCs w:val="24"/>
        </w:rPr>
        <w:t>е</w:t>
      </w:r>
      <w:r w:rsidRPr="002A65CC">
        <w:rPr>
          <w:sz w:val="24"/>
          <w:szCs w:val="24"/>
        </w:rPr>
        <w:t xml:space="preserve">м расходов бюджета за </w:t>
      </w:r>
      <w:r>
        <w:rPr>
          <w:sz w:val="24"/>
          <w:szCs w:val="24"/>
        </w:rPr>
        <w:t>1 полугодие 2016 года</w:t>
      </w:r>
      <w:r w:rsidRPr="002A65CC">
        <w:rPr>
          <w:sz w:val="24"/>
          <w:szCs w:val="24"/>
        </w:rPr>
        <w:t xml:space="preserve"> составил </w:t>
      </w:r>
      <w:r w:rsidRPr="004017B0">
        <w:rPr>
          <w:sz w:val="24"/>
          <w:szCs w:val="24"/>
        </w:rPr>
        <w:t>5 </w:t>
      </w:r>
      <w:r>
        <w:rPr>
          <w:sz w:val="24"/>
          <w:szCs w:val="24"/>
        </w:rPr>
        <w:t>765,7</w:t>
      </w:r>
      <w:r w:rsidRPr="002A65CC">
        <w:rPr>
          <w:sz w:val="24"/>
          <w:szCs w:val="24"/>
        </w:rPr>
        <w:t> млн. руб. (+ </w:t>
      </w:r>
      <w:r>
        <w:rPr>
          <w:sz w:val="24"/>
          <w:szCs w:val="24"/>
        </w:rPr>
        <w:t>10,7</w:t>
      </w:r>
      <w:r w:rsidRPr="002A65CC">
        <w:rPr>
          <w:sz w:val="24"/>
          <w:szCs w:val="24"/>
        </w:rPr>
        <w:t xml:space="preserve"> % к уровню января – июня 201</w:t>
      </w:r>
      <w:r>
        <w:rPr>
          <w:sz w:val="24"/>
          <w:szCs w:val="24"/>
        </w:rPr>
        <w:t>5</w:t>
      </w:r>
      <w:r w:rsidRPr="002A65CC">
        <w:rPr>
          <w:sz w:val="24"/>
          <w:szCs w:val="24"/>
        </w:rPr>
        <w:t xml:space="preserve"> года).</w:t>
      </w:r>
    </w:p>
    <w:p w:rsidR="00A50BA4" w:rsidRDefault="00A50BA4" w:rsidP="00A423B6">
      <w:pPr>
        <w:pStyle w:val="aff1"/>
        <w:spacing w:line="276" w:lineRule="auto"/>
        <w:rPr>
          <w:sz w:val="24"/>
          <w:szCs w:val="24"/>
        </w:rPr>
      </w:pPr>
      <w:r w:rsidRPr="002A65CC">
        <w:rPr>
          <w:sz w:val="24"/>
          <w:szCs w:val="24"/>
        </w:rPr>
        <w:t>В 1 полугодии 201</w:t>
      </w:r>
      <w:r>
        <w:rPr>
          <w:sz w:val="24"/>
          <w:szCs w:val="24"/>
        </w:rPr>
        <w:t>6</w:t>
      </w:r>
      <w:r w:rsidRPr="002A65CC">
        <w:rPr>
          <w:sz w:val="24"/>
          <w:szCs w:val="24"/>
        </w:rPr>
        <w:t xml:space="preserve"> года </w:t>
      </w:r>
      <w:r>
        <w:rPr>
          <w:sz w:val="24"/>
          <w:szCs w:val="24"/>
        </w:rPr>
        <w:t>выросли</w:t>
      </w:r>
      <w:r w:rsidRPr="002A65CC">
        <w:rPr>
          <w:sz w:val="24"/>
          <w:szCs w:val="24"/>
        </w:rPr>
        <w:t xml:space="preserve"> расход</w:t>
      </w:r>
      <w:r>
        <w:rPr>
          <w:sz w:val="24"/>
          <w:szCs w:val="24"/>
        </w:rPr>
        <w:t>ы на национальную безопасность и правоохранительную деятельность на</w:t>
      </w:r>
      <w:r w:rsidRPr="002A65CC">
        <w:rPr>
          <w:sz w:val="24"/>
          <w:szCs w:val="24"/>
        </w:rPr>
        <w:t xml:space="preserve"> </w:t>
      </w:r>
      <w:r>
        <w:rPr>
          <w:sz w:val="24"/>
          <w:szCs w:val="24"/>
        </w:rPr>
        <w:t>7,7 %, на национальную экономику в 2,4 раза и, в частности, на дорожное хозяйство в 3,6 раза в связи с более ранним проведением торгов на ремонт автомобильных дорог, на жилищно-коммунальное хозяйство на 23,0 %, образование на 3,5 %, на средства массовой информации на 15,0 % и на обслуживание муниципального долга на 63,8 %.</w:t>
      </w:r>
    </w:p>
    <w:p w:rsidR="00A50BA4" w:rsidRDefault="00A50BA4" w:rsidP="00A423B6">
      <w:pPr>
        <w:pStyle w:val="aff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Снизились расходы местного бюджета на общегосударственные расходы на 1,2 %, на охрану окружающей среды на 18,1 %, культуру и кинематографию на 5,6 %, социальную политику на 44,4 % в связи с передачей на областной уровень части полномочий по финансированию социального обслуживания и обеспечения населения, на физическую культуру и спорт на 2,2 %.</w:t>
      </w:r>
    </w:p>
    <w:p w:rsidR="00A50BA4" w:rsidRPr="00DD44A8" w:rsidRDefault="00A50BA4" w:rsidP="00A423B6">
      <w:pPr>
        <w:pStyle w:val="af1"/>
        <w:spacing w:line="276" w:lineRule="auto"/>
        <w:ind w:firstLine="709"/>
        <w:rPr>
          <w:szCs w:val="24"/>
        </w:rPr>
      </w:pPr>
      <w:r w:rsidRPr="002A65CC">
        <w:rPr>
          <w:szCs w:val="24"/>
        </w:rPr>
        <w:t>По оценке, к концу 201</w:t>
      </w:r>
      <w:r>
        <w:rPr>
          <w:szCs w:val="24"/>
        </w:rPr>
        <w:t xml:space="preserve">6 года, </w:t>
      </w:r>
      <w:r w:rsidRPr="002A65CC">
        <w:rPr>
          <w:szCs w:val="24"/>
        </w:rPr>
        <w:t xml:space="preserve">совокупный </w:t>
      </w:r>
      <w:r>
        <w:rPr>
          <w:szCs w:val="24"/>
        </w:rPr>
        <w:t>объем</w:t>
      </w:r>
      <w:r w:rsidRPr="002A65CC">
        <w:rPr>
          <w:szCs w:val="24"/>
        </w:rPr>
        <w:t xml:space="preserve"> финансовых ресурсов, сформированных на территории городского округа Тольятти (</w:t>
      </w:r>
      <w:r>
        <w:rPr>
          <w:szCs w:val="24"/>
        </w:rPr>
        <w:t>с учетом</w:t>
      </w:r>
      <w:r w:rsidRPr="002A65CC">
        <w:rPr>
          <w:szCs w:val="24"/>
        </w:rPr>
        <w:t xml:space="preserve"> сальдо взаимора</w:t>
      </w:r>
      <w:r>
        <w:rPr>
          <w:szCs w:val="24"/>
        </w:rPr>
        <w:t>счет</w:t>
      </w:r>
      <w:r w:rsidRPr="002A65CC">
        <w:rPr>
          <w:szCs w:val="24"/>
        </w:rPr>
        <w:t xml:space="preserve">ов с вышестоящими уровнями бюджета), </w:t>
      </w:r>
      <w:r w:rsidRPr="00DD44A8">
        <w:rPr>
          <w:szCs w:val="24"/>
        </w:rPr>
        <w:t xml:space="preserve">составит 103 500 млн. руб., что на 11,2 % меньше, чем в 2015 году. </w:t>
      </w:r>
    </w:p>
    <w:p w:rsidR="00A50BA4" w:rsidRPr="00DD44A8" w:rsidRDefault="00A50BA4" w:rsidP="00A423B6">
      <w:pPr>
        <w:pStyle w:val="af1"/>
        <w:spacing w:line="276" w:lineRule="auto"/>
        <w:ind w:firstLine="709"/>
        <w:rPr>
          <w:szCs w:val="24"/>
        </w:rPr>
      </w:pPr>
      <w:r w:rsidRPr="00DD44A8">
        <w:rPr>
          <w:szCs w:val="24"/>
        </w:rPr>
        <w:t>Сокращение доходов СФБ в условиях экономического кризиса обусловлено оценочным снижением прибыли прибыльных организаций до 25 863 млн. руб.  (- 38,0 % к уровню 2015 года), амортизационных отчислений на полное восстановление основных средств до 16 255 млн. руб.  (- 5,0 %), налоговых доходов до 18 497 млн. руб. (- 7,0 %), а также страховых взносов в государственные внебюджетные фонды до 22 859 млн. руб. (</w:t>
      </w:r>
      <w:r w:rsidRPr="00DD44A8">
        <w:rPr>
          <w:szCs w:val="24"/>
        </w:rPr>
        <w:noBreakHyphen/>
        <w:t> 3,5 % к уровню 2015 года) в связи с сокращением фонда оплаты труда работников городских организаций.</w:t>
      </w:r>
    </w:p>
    <w:p w:rsidR="00A50BA4" w:rsidRPr="00DD44A8" w:rsidRDefault="00A50BA4" w:rsidP="00A423B6">
      <w:pPr>
        <w:spacing w:line="276" w:lineRule="auto"/>
        <w:ind w:firstLine="708"/>
        <w:jc w:val="both"/>
        <w:rPr>
          <w:sz w:val="24"/>
          <w:szCs w:val="24"/>
        </w:rPr>
      </w:pPr>
      <w:r w:rsidRPr="00DD44A8">
        <w:rPr>
          <w:sz w:val="24"/>
          <w:szCs w:val="24"/>
        </w:rPr>
        <w:t>По оценке, неналоговые доходы СФБ к концу 2016 года составят 1 477 млн. руб., что на 58,5 % больше, чем в 2015 году, в основном, за счет роста доходов от размещения рекламы и использования имущества, находящегося в муниципальной собственности.</w:t>
      </w:r>
    </w:p>
    <w:p w:rsidR="00A50BA4" w:rsidRPr="00DD44A8" w:rsidRDefault="00A50BA4" w:rsidP="00A423B6">
      <w:pPr>
        <w:spacing w:line="276" w:lineRule="auto"/>
        <w:ind w:firstLine="708"/>
        <w:jc w:val="both"/>
        <w:rPr>
          <w:sz w:val="24"/>
          <w:szCs w:val="24"/>
        </w:rPr>
      </w:pPr>
      <w:r w:rsidRPr="00DD44A8">
        <w:rPr>
          <w:sz w:val="24"/>
          <w:szCs w:val="24"/>
        </w:rPr>
        <w:t>Прочие доходы СФБ увеличатся на 1,3 % до 9 651 млн. руб. за счет роста поступлений в федеральный бюджет утилизационного сбора с производителей колесных транспортных средств.</w:t>
      </w:r>
    </w:p>
    <w:p w:rsidR="00A50BA4" w:rsidRPr="00DD44A8" w:rsidRDefault="00A50BA4" w:rsidP="00A423B6">
      <w:pPr>
        <w:spacing w:line="276" w:lineRule="auto"/>
        <w:ind w:firstLine="708"/>
        <w:jc w:val="both"/>
        <w:rPr>
          <w:sz w:val="24"/>
          <w:szCs w:val="24"/>
        </w:rPr>
      </w:pPr>
      <w:r w:rsidRPr="00DD44A8">
        <w:rPr>
          <w:sz w:val="24"/>
          <w:szCs w:val="24"/>
        </w:rPr>
        <w:t xml:space="preserve">Страховые взносы в государственные внебюджетные фонды составят оценочно 22 551 млн. руб. (- 4,8 %). </w:t>
      </w:r>
    </w:p>
    <w:p w:rsidR="00A50BA4" w:rsidRPr="00DD44A8" w:rsidRDefault="00A50BA4" w:rsidP="00A423B6">
      <w:pPr>
        <w:spacing w:line="276" w:lineRule="auto"/>
        <w:ind w:firstLine="708"/>
        <w:jc w:val="both"/>
        <w:rPr>
          <w:sz w:val="24"/>
          <w:szCs w:val="24"/>
        </w:rPr>
      </w:pPr>
      <w:r w:rsidRPr="00DD44A8">
        <w:rPr>
          <w:sz w:val="24"/>
          <w:szCs w:val="24"/>
        </w:rPr>
        <w:t>Общий объем расходов СФБ в 2016 году, по оценке, составит 104 458 млн. руб., что на 11,1 % меньше, чем в 2015 году, что обусловлено, в первую очередь, сокращением на 29,5 % расходов крупных и средних предприятий городского округа за счет средств, остающихся в их распоряжении после уплаты налога на прибыль, которые составят оценочно 35 096 млн. руб.</w:t>
      </w:r>
    </w:p>
    <w:p w:rsidR="00A50BA4" w:rsidRPr="00DD44A8" w:rsidRDefault="00A50BA4" w:rsidP="00A423B6">
      <w:pPr>
        <w:spacing w:line="276" w:lineRule="auto"/>
        <w:ind w:firstLine="708"/>
        <w:jc w:val="both"/>
        <w:rPr>
          <w:sz w:val="24"/>
          <w:szCs w:val="24"/>
        </w:rPr>
      </w:pPr>
      <w:r w:rsidRPr="00DD44A8">
        <w:rPr>
          <w:sz w:val="24"/>
          <w:szCs w:val="24"/>
        </w:rPr>
        <w:t>Бюджетные расходы на территории городского округа Тольятти в 201</w:t>
      </w:r>
      <w:r>
        <w:rPr>
          <w:sz w:val="24"/>
          <w:szCs w:val="24"/>
        </w:rPr>
        <w:t>6</w:t>
      </w:r>
      <w:r w:rsidRPr="00DD44A8">
        <w:rPr>
          <w:sz w:val="24"/>
          <w:szCs w:val="24"/>
        </w:rPr>
        <w:t xml:space="preserve"> году оценочно вырастут на 0,7 % и составят 20 353 млн. руб., из них расходы на социально-культурные мероприятия, финансируемые за счет всех уровней бюджетной системы, составят 15 125 млн. руб. (- 3,0 %).</w:t>
      </w:r>
    </w:p>
    <w:p w:rsidR="00A50BA4" w:rsidRDefault="00A50BA4" w:rsidP="00A423B6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DD44A8">
        <w:rPr>
          <w:sz w:val="24"/>
          <w:szCs w:val="24"/>
        </w:rPr>
        <w:t xml:space="preserve">Дефицит сводного финансового баланса городского округа Тольятти в 2016 году </w:t>
      </w:r>
      <w:r w:rsidRPr="00DD44A8">
        <w:rPr>
          <w:sz w:val="24"/>
          <w:szCs w:val="24"/>
        </w:rPr>
        <w:lastRenderedPageBreak/>
        <w:t>оценочно составит 0,9 % от доходной части сводного финансового баланса или 957 млн. руб., что на 1,1 % ниже аналогичного показателя прошлого года.</w:t>
      </w:r>
    </w:p>
    <w:p w:rsidR="00A50BA4" w:rsidRDefault="00A50BA4" w:rsidP="00AD29B1">
      <w:pPr>
        <w:jc w:val="center"/>
        <w:rPr>
          <w:sz w:val="24"/>
          <w:szCs w:val="24"/>
        </w:rPr>
      </w:pPr>
    </w:p>
    <w:p w:rsidR="00A50BA4" w:rsidRDefault="00A50BA4" w:rsidP="008E79C1">
      <w:pPr>
        <w:spacing w:line="276" w:lineRule="auto"/>
        <w:jc w:val="center"/>
        <w:rPr>
          <w:sz w:val="24"/>
          <w:szCs w:val="24"/>
        </w:rPr>
      </w:pPr>
      <w:r w:rsidRPr="00846D11">
        <w:rPr>
          <w:sz w:val="24"/>
          <w:szCs w:val="24"/>
        </w:rPr>
        <w:t xml:space="preserve">Ожидаемое выполнение показателей </w:t>
      </w:r>
    </w:p>
    <w:p w:rsidR="00A50BA4" w:rsidRDefault="00A50BA4" w:rsidP="008E79C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разделу «Финансы (сводный финансовый баланс)</w:t>
      </w:r>
      <w:r w:rsidRPr="00846D11">
        <w:rPr>
          <w:sz w:val="24"/>
          <w:szCs w:val="24"/>
        </w:rPr>
        <w:t xml:space="preserve"> на 201</w:t>
      </w:r>
      <w:r>
        <w:rPr>
          <w:sz w:val="24"/>
          <w:szCs w:val="24"/>
        </w:rPr>
        <w:t>6</w:t>
      </w:r>
      <w:r w:rsidRPr="00846D11">
        <w:rPr>
          <w:sz w:val="24"/>
          <w:szCs w:val="24"/>
        </w:rPr>
        <w:t xml:space="preserve"> год</w:t>
      </w:r>
    </w:p>
    <w:p w:rsidR="00A50BA4" w:rsidRDefault="00A50BA4" w:rsidP="00AD29B1">
      <w:pPr>
        <w:jc w:val="center"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3920"/>
        <w:gridCol w:w="1460"/>
        <w:gridCol w:w="1357"/>
        <w:gridCol w:w="1358"/>
        <w:gridCol w:w="1276"/>
      </w:tblGrid>
      <w:tr w:rsidR="00A50BA4" w:rsidRPr="00907F0B" w:rsidTr="00CF1CBC">
        <w:trPr>
          <w:trHeight w:val="477"/>
          <w:tblHeader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2546FC">
            <w:pPr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546FC">
              <w:rPr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2546FC">
            <w:pPr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546FC">
              <w:rPr>
                <w:bCs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BA4" w:rsidRPr="00066E74" w:rsidRDefault="00A50BA4" w:rsidP="002546FC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 xml:space="preserve">Прогноз </w:t>
            </w:r>
            <w:r>
              <w:rPr>
                <w:sz w:val="24"/>
                <w:szCs w:val="24"/>
              </w:rPr>
              <w:t xml:space="preserve">на </w:t>
            </w: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50BA4" w:rsidRPr="00066E74" w:rsidRDefault="00A50BA4" w:rsidP="002546FC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 (оценка)</w:t>
            </w:r>
          </w:p>
        </w:tc>
      </w:tr>
      <w:tr w:rsidR="00A50BA4" w:rsidRPr="00907F0B" w:rsidTr="008E79C1">
        <w:trPr>
          <w:trHeight w:val="407"/>
          <w:tblHeader/>
        </w:trPr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2546FC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2546FC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2546FC">
            <w:pPr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546FC">
              <w:rPr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2546FC">
            <w:pPr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546FC">
              <w:rPr>
                <w:bCs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A4" w:rsidRPr="002546FC" w:rsidRDefault="00A50BA4" w:rsidP="002546FC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BA4" w:rsidRPr="00907F0B" w:rsidTr="008E79C1">
        <w:trPr>
          <w:trHeight w:val="407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2546FC">
            <w:pPr>
              <w:suppressAutoHyphens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546FC">
              <w:rPr>
                <w:b/>
                <w:bCs/>
                <w:i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2546FC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2546FC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107 787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2546FC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109 166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A4" w:rsidRPr="002546FC" w:rsidRDefault="00A50BA4" w:rsidP="002546FC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103 500</w:t>
            </w:r>
          </w:p>
        </w:tc>
      </w:tr>
      <w:tr w:rsidR="00A50BA4" w:rsidRPr="00907F0B" w:rsidTr="008E79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Прибыль прибыльных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38 601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39 798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25 863</w:t>
            </w:r>
          </w:p>
        </w:tc>
      </w:tr>
      <w:tr w:rsidR="00A50BA4" w:rsidRPr="00907F0B" w:rsidTr="008E79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17 148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17 344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16 255</w:t>
            </w:r>
          </w:p>
        </w:tc>
      </w:tr>
      <w:tr w:rsidR="00A50BA4" w:rsidRPr="00907F0B" w:rsidTr="008E79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Налоговые доходы,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23 102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23 452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18 497</w:t>
            </w:r>
          </w:p>
        </w:tc>
      </w:tr>
      <w:tr w:rsidR="00A50BA4" w:rsidRPr="00907F0B" w:rsidTr="008E79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5 230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5 357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2 107</w:t>
            </w:r>
          </w:p>
        </w:tc>
      </w:tr>
      <w:tr w:rsidR="00A50BA4" w:rsidRPr="00907F0B" w:rsidTr="008E79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 xml:space="preserve"> - 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10 368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10 485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10 100</w:t>
            </w:r>
          </w:p>
        </w:tc>
      </w:tr>
      <w:tr w:rsidR="00A50BA4" w:rsidRPr="00907F0B" w:rsidTr="008E79C1">
        <w:trPr>
          <w:trHeight w:val="25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 xml:space="preserve"> - акцизы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1 104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1 148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794</w:t>
            </w:r>
          </w:p>
        </w:tc>
      </w:tr>
      <w:tr w:rsidR="00A50BA4" w:rsidRPr="00907F0B" w:rsidTr="008E79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 xml:space="preserve"> - 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1 166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1 145</w:t>
            </w:r>
          </w:p>
        </w:tc>
      </w:tr>
      <w:tr w:rsidR="00A50BA4" w:rsidRPr="00907F0B" w:rsidTr="008E79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 xml:space="preserve"> - налоги на имущество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5 079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5 114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4 095</w:t>
            </w:r>
          </w:p>
        </w:tc>
      </w:tr>
      <w:tr w:rsidR="00A50BA4" w:rsidRPr="00907F0B" w:rsidTr="008E79C1">
        <w:trPr>
          <w:trHeight w:val="58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 xml:space="preserve"> - налоги и сборы за пользование природ. ресурсами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A50BA4" w:rsidRPr="00907F0B" w:rsidTr="008E79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 xml:space="preserve"> - прочие 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242</w:t>
            </w:r>
          </w:p>
        </w:tc>
      </w:tr>
      <w:tr w:rsidR="00A50BA4" w:rsidRPr="00907F0B" w:rsidTr="008E79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1 017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1 477</w:t>
            </w:r>
          </w:p>
        </w:tc>
      </w:tr>
      <w:tr w:rsidR="00A50BA4" w:rsidRPr="00907F0B" w:rsidTr="008E79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11 642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11 927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9 651</w:t>
            </w:r>
          </w:p>
        </w:tc>
      </w:tr>
      <w:tr w:rsidR="00A50BA4" w:rsidRPr="00907F0B" w:rsidTr="008E79C1">
        <w:trPr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Страховые взносы в государственные внебюджетные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26 337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26 625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22 551</w:t>
            </w:r>
          </w:p>
        </w:tc>
      </w:tr>
      <w:tr w:rsidR="00A50BA4" w:rsidRPr="00907F0B" w:rsidTr="008E79C1">
        <w:trPr>
          <w:trHeight w:val="5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Сальдо финансовых взаимоотношений с вышестоящими уровнями власти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-10 030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-10 997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9 206</w:t>
            </w:r>
          </w:p>
        </w:tc>
      </w:tr>
      <w:tr w:rsidR="00A50BA4" w:rsidRPr="00907F0B" w:rsidTr="008E79C1">
        <w:trPr>
          <w:trHeight w:val="2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2546FC">
            <w:pPr>
              <w:suppressAutoHyphens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46F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2546FC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2546FC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109 438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2546FC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110 770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2546FC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104 458</w:t>
            </w:r>
          </w:p>
        </w:tc>
      </w:tr>
      <w:tr w:rsidR="00A50BA4" w:rsidRPr="00907F0B" w:rsidTr="008E79C1">
        <w:trPr>
          <w:trHeight w:val="5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Расходы за счет средств, остающихся в распоряжении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46 831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47 946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34 096</w:t>
            </w:r>
          </w:p>
        </w:tc>
      </w:tr>
      <w:tr w:rsidR="00A50BA4" w:rsidRPr="00907F0B" w:rsidTr="008E79C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Расходы на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1 345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1 430</w:t>
            </w:r>
          </w:p>
        </w:tc>
      </w:tr>
      <w:tr w:rsidR="00A50BA4" w:rsidRPr="00907F0B" w:rsidTr="008E79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Расходы на национальную оборону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1 317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1 317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50BA4" w:rsidRPr="00907F0B" w:rsidTr="008E79C1">
        <w:trPr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119</w:t>
            </w:r>
          </w:p>
        </w:tc>
      </w:tr>
      <w:tr w:rsidR="00A50BA4" w:rsidRPr="00907F0B" w:rsidTr="008E79C1">
        <w:trPr>
          <w:trHeight w:val="3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Расходы на национальную экономику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1 815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2 172</w:t>
            </w:r>
          </w:p>
        </w:tc>
      </w:tr>
      <w:tr w:rsidR="00A50BA4" w:rsidRPr="00907F0B" w:rsidTr="008E79C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Расходы на 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1 006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1 006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921</w:t>
            </w:r>
          </w:p>
        </w:tc>
      </w:tr>
      <w:tr w:rsidR="00A50BA4" w:rsidRPr="00907F0B" w:rsidTr="008E79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Расходы на охрану окружающей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A50BA4" w:rsidRPr="00907F0B" w:rsidTr="008E79C1">
        <w:trPr>
          <w:trHeight w:val="76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Расходы на соц.-культ. мероприятия, финансируемые за счет средств всех уровней бюджетной системы РФ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15 639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15 733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15 125</w:t>
            </w:r>
          </w:p>
        </w:tc>
      </w:tr>
      <w:tr w:rsidR="00A50BA4" w:rsidRPr="00907F0B" w:rsidTr="008E79C1">
        <w:trPr>
          <w:trHeight w:val="5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lastRenderedPageBreak/>
              <w:t>Расходы на обслуживание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570</w:t>
            </w:r>
          </w:p>
        </w:tc>
      </w:tr>
      <w:tr w:rsidR="00A50BA4" w:rsidRPr="00907F0B" w:rsidTr="008E79C1">
        <w:trPr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Расходы государственных внебюджетных фондов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39 221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39 221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40 799</w:t>
            </w:r>
          </w:p>
        </w:tc>
      </w:tr>
      <w:tr w:rsidR="00A50BA4" w:rsidRPr="00907F0B" w:rsidTr="008E79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1 113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9 210</w:t>
            </w:r>
          </w:p>
        </w:tc>
      </w:tr>
      <w:tr w:rsidR="00A50BA4" w:rsidRPr="00907F0B" w:rsidTr="008E79C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BA4" w:rsidRPr="002546FC" w:rsidRDefault="00A50BA4" w:rsidP="00CF1CB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Превышение доходов над расходами (+)   или расходов над доходами (-)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-1 651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-1 604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2546FC" w:rsidRDefault="00A50BA4" w:rsidP="00CF1CB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-957</w:t>
            </w:r>
          </w:p>
        </w:tc>
      </w:tr>
    </w:tbl>
    <w:p w:rsidR="00A50BA4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A50BA4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371518">
        <w:rPr>
          <w:sz w:val="24"/>
          <w:szCs w:val="24"/>
        </w:rPr>
        <w:t>В связи с обязательностью размещения с 2016 года прогнозов социально-экономического развития на среднесрочный период в государственной автоматизированной системе «Управление», сопровождаемой Федеральным казначейством РФ, возникла необходимость исключения из СФБ данных, не подтвержденных документально в течение ряда лет и рассчитываемых методом индексации на индекс инфляции.</w:t>
      </w:r>
      <w:r>
        <w:rPr>
          <w:sz w:val="24"/>
          <w:szCs w:val="24"/>
        </w:rPr>
        <w:t xml:space="preserve"> </w:t>
      </w:r>
    </w:p>
    <w:p w:rsidR="00A50BA4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ним относятся данные о расходах федерального бюджета на обеспечение деятельности государственных</w:t>
      </w:r>
      <w:r w:rsidRPr="000F750F">
        <w:rPr>
          <w:sz w:val="24"/>
          <w:szCs w:val="24"/>
        </w:rPr>
        <w:t xml:space="preserve"> учреждений и территориальных подразделений органов федеральной власти, расположенных на территории городского округа (</w:t>
      </w:r>
      <w:r>
        <w:rPr>
          <w:sz w:val="24"/>
          <w:szCs w:val="24"/>
        </w:rPr>
        <w:t xml:space="preserve">направления расходов: «Национальная оборона» - в полном объеме, «Национальная безопасность и правоохранительная деятельность» - частично, «Охрана окружающей среды» - в части финансирования деятельности </w:t>
      </w:r>
      <w:r w:rsidRPr="00062D16">
        <w:rPr>
          <w:sz w:val="24"/>
          <w:szCs w:val="24"/>
        </w:rPr>
        <w:t>Тольяттинск</w:t>
      </w:r>
      <w:r>
        <w:rPr>
          <w:sz w:val="24"/>
          <w:szCs w:val="24"/>
        </w:rPr>
        <w:t>ой</w:t>
      </w:r>
      <w:r w:rsidRPr="00062D16">
        <w:rPr>
          <w:sz w:val="24"/>
          <w:szCs w:val="24"/>
        </w:rPr>
        <w:t xml:space="preserve"> специализированн</w:t>
      </w:r>
      <w:r>
        <w:rPr>
          <w:sz w:val="24"/>
          <w:szCs w:val="24"/>
        </w:rPr>
        <w:t>ой</w:t>
      </w:r>
      <w:r w:rsidRPr="00062D16">
        <w:rPr>
          <w:sz w:val="24"/>
          <w:szCs w:val="24"/>
        </w:rPr>
        <w:t xml:space="preserve"> гидрометеорологическ</w:t>
      </w:r>
      <w:r>
        <w:rPr>
          <w:sz w:val="24"/>
          <w:szCs w:val="24"/>
        </w:rPr>
        <w:t>ой</w:t>
      </w:r>
      <w:r w:rsidRPr="00062D16">
        <w:rPr>
          <w:sz w:val="24"/>
          <w:szCs w:val="24"/>
        </w:rPr>
        <w:t xml:space="preserve"> обсерватори</w:t>
      </w:r>
      <w:r>
        <w:rPr>
          <w:sz w:val="24"/>
          <w:szCs w:val="24"/>
        </w:rPr>
        <w:t>и</w:t>
      </w:r>
      <w:r w:rsidRPr="00062D16">
        <w:rPr>
          <w:sz w:val="24"/>
          <w:szCs w:val="24"/>
        </w:rPr>
        <w:t xml:space="preserve"> (СГМО) ФГБУ </w:t>
      </w:r>
      <w:r>
        <w:rPr>
          <w:sz w:val="24"/>
          <w:szCs w:val="24"/>
        </w:rPr>
        <w:t>«</w:t>
      </w:r>
      <w:r w:rsidRPr="00062D16">
        <w:rPr>
          <w:sz w:val="24"/>
          <w:szCs w:val="24"/>
        </w:rPr>
        <w:t>Приволжское УГМС</w:t>
      </w:r>
      <w:r>
        <w:rPr>
          <w:sz w:val="24"/>
          <w:szCs w:val="24"/>
        </w:rPr>
        <w:t>», «</w:t>
      </w:r>
      <w:r w:rsidRPr="00EB772E">
        <w:rPr>
          <w:sz w:val="24"/>
          <w:szCs w:val="24"/>
        </w:rPr>
        <w:t>Расходы на социально-культурные мероприятия, финансируемые за счет всех уровней бюджетной системы Российской Федерации</w:t>
      </w:r>
      <w:r>
        <w:rPr>
          <w:sz w:val="24"/>
          <w:szCs w:val="24"/>
        </w:rPr>
        <w:t xml:space="preserve">»: здравоохранение – финансирование деятельности ФМБА и диспансеров, образование – финансирование государственных учреждений высшего образования и т.д. </w:t>
      </w:r>
    </w:p>
    <w:p w:rsidR="00A50BA4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доходы СФБ, не распределенные на вышеуказанные бюджетные расходы, а также корректировка способа учета в СФБ утилизационного сбора с производителей колесных транспортных средств (ранее учитывался только в доходной части СФБ согласно методическим указаниям МЭРИТ по Самарской области) значительно изменили значение строки «Сальдо финансовых взаимоотношений с вышестоящими уровнями власти» за 2015 год (с </w:t>
      </w:r>
      <w:r w:rsidRPr="00A757BC">
        <w:rPr>
          <w:sz w:val="24"/>
          <w:szCs w:val="24"/>
        </w:rPr>
        <w:t>-10</w:t>
      </w:r>
      <w:r>
        <w:rPr>
          <w:sz w:val="24"/>
          <w:szCs w:val="24"/>
        </w:rPr>
        <w:t> </w:t>
      </w:r>
      <w:r w:rsidRPr="00A757BC">
        <w:rPr>
          <w:sz w:val="24"/>
          <w:szCs w:val="24"/>
        </w:rPr>
        <w:t>880</w:t>
      </w:r>
      <w:r>
        <w:rPr>
          <w:sz w:val="24"/>
          <w:szCs w:val="24"/>
        </w:rPr>
        <w:t xml:space="preserve"> млн. руб. до 9 206 млн. руб.) и, соответственно, на последующие годы.</w:t>
      </w:r>
    </w:p>
    <w:p w:rsidR="00A50BA4" w:rsidRPr="00846D11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Негативные</w:t>
      </w:r>
      <w:r w:rsidRPr="00846D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последствия сохраняющихся в 2016 году санкций и контрсанкций, ограничений доступа российских компаний к внешним финансовым ресурсам, </w:t>
      </w:r>
      <w:r w:rsidRPr="00846D11">
        <w:rPr>
          <w:sz w:val="24"/>
          <w:szCs w:val="24"/>
        </w:rPr>
        <w:t>оказа</w:t>
      </w:r>
      <w:r>
        <w:rPr>
          <w:sz w:val="24"/>
          <w:szCs w:val="24"/>
        </w:rPr>
        <w:t>ли</w:t>
      </w:r>
      <w:r w:rsidRPr="00846D11">
        <w:rPr>
          <w:sz w:val="24"/>
          <w:szCs w:val="24"/>
        </w:rPr>
        <w:t xml:space="preserve"> влияние на финансово</w:t>
      </w:r>
      <w:r>
        <w:rPr>
          <w:sz w:val="24"/>
          <w:szCs w:val="24"/>
        </w:rPr>
        <w:t>е</w:t>
      </w:r>
      <w:r w:rsidRPr="00846D11">
        <w:rPr>
          <w:sz w:val="24"/>
          <w:szCs w:val="24"/>
        </w:rPr>
        <w:t xml:space="preserve"> состояни</w:t>
      </w:r>
      <w:r>
        <w:rPr>
          <w:sz w:val="24"/>
          <w:szCs w:val="24"/>
        </w:rPr>
        <w:t>е</w:t>
      </w:r>
      <w:r w:rsidRPr="00846D11">
        <w:rPr>
          <w:sz w:val="24"/>
          <w:szCs w:val="24"/>
        </w:rPr>
        <w:t xml:space="preserve"> организаций городского округа и</w:t>
      </w:r>
      <w:r>
        <w:rPr>
          <w:sz w:val="24"/>
          <w:szCs w:val="24"/>
        </w:rPr>
        <w:t xml:space="preserve">, следовательно, налоговые доходы </w:t>
      </w:r>
      <w:r w:rsidRPr="00846D11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846D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связи с чем оценочные значения показателей СФБ на 2016 год пересчитаны относительно прогнозных значений показателей СФБ по первому варианту, рассчитанных годом ранее.  </w:t>
      </w:r>
      <w:r w:rsidRPr="00846D11">
        <w:rPr>
          <w:sz w:val="24"/>
          <w:szCs w:val="24"/>
        </w:rPr>
        <w:t>Из них наиболее значимые:</w:t>
      </w:r>
    </w:p>
    <w:p w:rsidR="00A50BA4" w:rsidRPr="00846D11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846D11">
        <w:rPr>
          <w:sz w:val="24"/>
          <w:szCs w:val="24"/>
        </w:rPr>
        <w:t xml:space="preserve">- </w:t>
      </w:r>
      <w:r>
        <w:rPr>
          <w:sz w:val="24"/>
          <w:szCs w:val="24"/>
        </w:rPr>
        <w:t>строка</w:t>
      </w:r>
      <w:r w:rsidRPr="00846D11">
        <w:rPr>
          <w:sz w:val="24"/>
          <w:szCs w:val="24"/>
        </w:rPr>
        <w:t xml:space="preserve"> «Доходы» - </w:t>
      </w:r>
      <w:r>
        <w:rPr>
          <w:sz w:val="24"/>
          <w:szCs w:val="24"/>
        </w:rPr>
        <w:t>снижение</w:t>
      </w:r>
      <w:r w:rsidRPr="00846D11">
        <w:rPr>
          <w:sz w:val="24"/>
          <w:szCs w:val="24"/>
        </w:rPr>
        <w:t xml:space="preserve"> на </w:t>
      </w:r>
      <w:r>
        <w:rPr>
          <w:sz w:val="24"/>
          <w:szCs w:val="24"/>
        </w:rPr>
        <w:t>4,</w:t>
      </w:r>
      <w:r w:rsidRPr="00292871">
        <w:rPr>
          <w:sz w:val="24"/>
          <w:szCs w:val="24"/>
        </w:rPr>
        <w:t>0</w:t>
      </w:r>
      <w:r w:rsidRPr="00846D11">
        <w:rPr>
          <w:sz w:val="24"/>
          <w:szCs w:val="24"/>
        </w:rPr>
        <w:t xml:space="preserve"> % с учетом корректировки </w:t>
      </w:r>
      <w:r>
        <w:rPr>
          <w:sz w:val="24"/>
          <w:szCs w:val="24"/>
        </w:rPr>
        <w:t>показателей</w:t>
      </w:r>
      <w:r w:rsidRPr="00846D11">
        <w:rPr>
          <w:sz w:val="24"/>
          <w:szCs w:val="24"/>
        </w:rPr>
        <w:t xml:space="preserve"> «Прибыль до налогообложения прибыльных организаций» и «Сальдо финансовых взаимоотношений с вышестоящими уровнями власти»; </w:t>
      </w:r>
    </w:p>
    <w:p w:rsidR="00A50BA4" w:rsidRPr="00846D11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846D11">
        <w:rPr>
          <w:sz w:val="24"/>
          <w:szCs w:val="24"/>
        </w:rPr>
        <w:t xml:space="preserve">- строка «Прибыль до налогообложения прибыльных предприятий» - </w:t>
      </w:r>
      <w:r>
        <w:rPr>
          <w:sz w:val="24"/>
          <w:szCs w:val="24"/>
        </w:rPr>
        <w:t>снижение</w:t>
      </w:r>
      <w:r w:rsidRPr="00846D11">
        <w:rPr>
          <w:sz w:val="24"/>
          <w:szCs w:val="24"/>
        </w:rPr>
        <w:t xml:space="preserve"> </w:t>
      </w:r>
      <w:r w:rsidRPr="00846D11">
        <w:rPr>
          <w:sz w:val="24"/>
          <w:szCs w:val="24"/>
        </w:rPr>
        <w:lastRenderedPageBreak/>
        <w:t xml:space="preserve">оценки на </w:t>
      </w:r>
      <w:r>
        <w:rPr>
          <w:sz w:val="24"/>
          <w:szCs w:val="24"/>
        </w:rPr>
        <w:t>33,0</w:t>
      </w:r>
      <w:r w:rsidRPr="00846D11">
        <w:rPr>
          <w:sz w:val="24"/>
          <w:szCs w:val="24"/>
        </w:rPr>
        <w:t xml:space="preserve"> % до </w:t>
      </w:r>
      <w:r>
        <w:rPr>
          <w:sz w:val="24"/>
          <w:szCs w:val="24"/>
        </w:rPr>
        <w:t>25 863</w:t>
      </w:r>
      <w:r w:rsidRPr="00846D11">
        <w:rPr>
          <w:sz w:val="24"/>
          <w:szCs w:val="24"/>
        </w:rPr>
        <w:t xml:space="preserve"> млн. руб. </w:t>
      </w:r>
      <w:r>
        <w:rPr>
          <w:sz w:val="24"/>
          <w:szCs w:val="24"/>
        </w:rPr>
        <w:t>соответственно фактическим данным за 1 полугодие 2016 года</w:t>
      </w:r>
      <w:r w:rsidRPr="00846D11">
        <w:rPr>
          <w:sz w:val="24"/>
          <w:szCs w:val="24"/>
        </w:rPr>
        <w:t>;</w:t>
      </w:r>
    </w:p>
    <w:p w:rsidR="00A50BA4" w:rsidRPr="00846D11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846D11">
        <w:rPr>
          <w:sz w:val="24"/>
          <w:szCs w:val="24"/>
        </w:rPr>
        <w:t xml:space="preserve">- строка «Налоговые доходы» - снижение на </w:t>
      </w:r>
      <w:r>
        <w:rPr>
          <w:sz w:val="24"/>
          <w:szCs w:val="24"/>
        </w:rPr>
        <w:t>19,9</w:t>
      </w:r>
      <w:r w:rsidRPr="00846D11">
        <w:rPr>
          <w:sz w:val="24"/>
          <w:szCs w:val="24"/>
        </w:rPr>
        <w:t xml:space="preserve"> %</w:t>
      </w:r>
      <w:r>
        <w:rPr>
          <w:sz w:val="24"/>
          <w:szCs w:val="24"/>
        </w:rPr>
        <w:t>,</w:t>
      </w:r>
      <w:r w:rsidRPr="00846D11">
        <w:rPr>
          <w:sz w:val="24"/>
          <w:szCs w:val="24"/>
        </w:rPr>
        <w:t xml:space="preserve"> </w:t>
      </w:r>
      <w:r>
        <w:rPr>
          <w:sz w:val="24"/>
          <w:szCs w:val="24"/>
        </w:rPr>
        <w:t>в основном, за счет корректировки в сторону уменьшения строк «налог на добавленную стоимость» и «налоги на имущество» с учетом их поступлений в 1 полугодии 2016 года</w:t>
      </w:r>
      <w:r w:rsidRPr="00846D11">
        <w:rPr>
          <w:sz w:val="24"/>
          <w:szCs w:val="24"/>
        </w:rPr>
        <w:t>;</w:t>
      </w:r>
    </w:p>
    <w:p w:rsidR="00A50BA4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строка «налог на добавленную стоимость» - снижение на 59,7  % (в 2015 году поступления НДС относительно 2014 года снизились на 44,6 % в связи с резким увеличением размеров возмещения из бюджета (пересчета) сумм НДС по экспортным операциям во 2 полугодии 2015 года; данный фактор не мог быть учтенным в сентябре 2015 года при составлении прогноза на 2016 год; в 2016 году рост размеров возмещения (пересчета) НДС продолжается, и оценка поступлений налога рассчитана с использованием темпа снижения поступлений НДС в 1 полугодии 2016 года (78,4 %));</w:t>
      </w:r>
    </w:p>
    <w:p w:rsidR="00A50BA4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строка «акцизы» - снижение на 28,1 % за счет роста размеров возмещения из бюджета акцизов на </w:t>
      </w:r>
      <w:r w:rsidRPr="00EF31E5">
        <w:rPr>
          <w:sz w:val="24"/>
          <w:szCs w:val="24"/>
        </w:rPr>
        <w:t>бензол, параксилол, ортоксилол, производимые на территории Российской Федерации</w:t>
      </w:r>
      <w:r>
        <w:rPr>
          <w:sz w:val="24"/>
          <w:szCs w:val="24"/>
        </w:rPr>
        <w:t xml:space="preserve"> и направляемые на производство продукции нефтехимии (2014 год – 0 млн. руб., 1 полугодие 2015 года – 90,0 млн. руб., 2015 год – 260,5 млн. руб., 1 полугодие 2016 года – 214,6 млн. руб., оценка 2016 года – 429,1 млн. руб.);</w:t>
      </w:r>
    </w:p>
    <w:p w:rsidR="00A50BA4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строка «налоги на имущество» - снижение на 19,4 % с учетом снижения поступлений налогов на имущество организаций и транспортного налога в 1 полугодии 2016 года на 7,3 % и 25,0 % соответственно, земельного налога на 21,4 %;</w:t>
      </w:r>
    </w:p>
    <w:p w:rsidR="00A50BA4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строка «Прочие налоговые доходы» - повышение на 103 млн. руб., в основном, за счет переоценки поступления госпошлины, в связи с ростом числа обращения населения в МФЦ по оформлению документов, требующего оплаты госпошлины; </w:t>
      </w:r>
    </w:p>
    <w:p w:rsidR="00A50BA4" w:rsidRPr="00846D11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846D11">
        <w:rPr>
          <w:sz w:val="24"/>
          <w:szCs w:val="24"/>
        </w:rPr>
        <w:t xml:space="preserve">- строка «Неналоговые доходы» - </w:t>
      </w:r>
      <w:r>
        <w:rPr>
          <w:sz w:val="24"/>
          <w:szCs w:val="24"/>
        </w:rPr>
        <w:t>повышение</w:t>
      </w:r>
      <w:r w:rsidRPr="00846D11">
        <w:rPr>
          <w:sz w:val="24"/>
          <w:szCs w:val="24"/>
        </w:rPr>
        <w:t xml:space="preserve"> на </w:t>
      </w:r>
      <w:r>
        <w:rPr>
          <w:sz w:val="24"/>
          <w:szCs w:val="24"/>
        </w:rPr>
        <w:t>49,6</w:t>
      </w:r>
      <w:r w:rsidRPr="00846D11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 основном, </w:t>
      </w:r>
      <w:r w:rsidRPr="00846D11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более высоким ожиданием поступлений доходов от размещения рекламы;</w:t>
      </w:r>
    </w:p>
    <w:p w:rsidR="00A50BA4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строка «Прочие доходы» - снижение на 17,1 % с учетом фактических данных о поступлении  </w:t>
      </w:r>
      <w:r w:rsidRPr="00846D11">
        <w:rPr>
          <w:sz w:val="24"/>
          <w:szCs w:val="24"/>
        </w:rPr>
        <w:t xml:space="preserve"> утилизационного сбора с производителей колесных транспортных средств </w:t>
      </w:r>
      <w:r>
        <w:rPr>
          <w:sz w:val="24"/>
          <w:szCs w:val="24"/>
        </w:rPr>
        <w:t>в 1 полугодии 2016 года;</w:t>
      </w:r>
    </w:p>
    <w:p w:rsidR="00A50BA4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строка «Страховые взносы в государственные внебюджетные фонды» - снижение на 17,1 % за счет фактического поступления взносов в 2015 году в размере меньше оценочного в связи сокращением фонда оплаты труда работников организаций;</w:t>
      </w:r>
    </w:p>
    <w:p w:rsidR="00A50BA4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846D11">
        <w:rPr>
          <w:sz w:val="24"/>
          <w:szCs w:val="24"/>
        </w:rPr>
        <w:t xml:space="preserve">- строка «Расходы» - </w:t>
      </w:r>
      <w:r>
        <w:rPr>
          <w:sz w:val="24"/>
          <w:szCs w:val="24"/>
        </w:rPr>
        <w:t>снижение</w:t>
      </w:r>
      <w:r w:rsidRPr="00846D11">
        <w:rPr>
          <w:sz w:val="24"/>
          <w:szCs w:val="24"/>
        </w:rPr>
        <w:t xml:space="preserve"> на </w:t>
      </w:r>
      <w:r>
        <w:rPr>
          <w:sz w:val="24"/>
          <w:szCs w:val="24"/>
        </w:rPr>
        <w:t>4,6</w:t>
      </w:r>
      <w:r w:rsidRPr="00846D11">
        <w:rPr>
          <w:sz w:val="24"/>
          <w:szCs w:val="24"/>
        </w:rPr>
        <w:t xml:space="preserve"> % за счет корректировки строки «Расходы за счет средств, остающихся в распоряжении организаций», значение которой </w:t>
      </w:r>
      <w:r>
        <w:rPr>
          <w:sz w:val="24"/>
          <w:szCs w:val="24"/>
        </w:rPr>
        <w:t>снижается</w:t>
      </w:r>
      <w:r w:rsidRPr="00846D11">
        <w:rPr>
          <w:sz w:val="24"/>
          <w:szCs w:val="24"/>
        </w:rPr>
        <w:t xml:space="preserve"> на </w:t>
      </w:r>
      <w:r>
        <w:rPr>
          <w:sz w:val="24"/>
          <w:szCs w:val="24"/>
        </w:rPr>
        <w:t>27,2</w:t>
      </w:r>
      <w:r w:rsidRPr="00846D11">
        <w:rPr>
          <w:sz w:val="24"/>
          <w:szCs w:val="24"/>
        </w:rPr>
        <w:t xml:space="preserve"> % до </w:t>
      </w:r>
      <w:r>
        <w:rPr>
          <w:sz w:val="24"/>
          <w:szCs w:val="24"/>
        </w:rPr>
        <w:t>34</w:t>
      </w:r>
      <w:r w:rsidRPr="00846D11">
        <w:rPr>
          <w:sz w:val="24"/>
          <w:szCs w:val="24"/>
        </w:rPr>
        <w:t xml:space="preserve"> </w:t>
      </w:r>
      <w:r>
        <w:rPr>
          <w:sz w:val="24"/>
          <w:szCs w:val="24"/>
        </w:rPr>
        <w:t>096</w:t>
      </w:r>
      <w:r w:rsidRPr="00846D11">
        <w:rPr>
          <w:sz w:val="24"/>
          <w:szCs w:val="24"/>
        </w:rPr>
        <w:t xml:space="preserve"> млн. руб. за счет </w:t>
      </w:r>
      <w:r>
        <w:rPr>
          <w:sz w:val="24"/>
          <w:szCs w:val="24"/>
        </w:rPr>
        <w:t>сокращения</w:t>
      </w:r>
      <w:r w:rsidRPr="00846D11">
        <w:rPr>
          <w:sz w:val="24"/>
          <w:szCs w:val="24"/>
        </w:rPr>
        <w:t xml:space="preserve"> прибыли организаций, остающейся после уплаты налога на прибыль;</w:t>
      </w:r>
    </w:p>
    <w:p w:rsidR="00A50BA4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строки, в которых указаны бюджетные расходы – корректируются в сторону снижения по причине, указанной выше (необходимость размещения в 2016 году прогноза в ГАС «Управление», курируемую Федеральным казначейством РФ);</w:t>
      </w:r>
    </w:p>
    <w:p w:rsidR="00A50BA4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строка «Расходы на обслуживание муниципального долга» – снижение на 20,3 % согласно утвержденным бюджетным ассигнованиям на 2016 год;</w:t>
      </w:r>
    </w:p>
    <w:p w:rsidR="00A50BA4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строка «Расходы государственных внебюджетных фондов – повышение на 4,0 % в связи с корректировкой данных за 2015 год;</w:t>
      </w:r>
    </w:p>
    <w:p w:rsidR="00A50BA4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строка «Прочие расходы» - повышение в 7,6 раз за счет включения в данную строку утилизационного сбора с производителей колесных средств согласно изменениям в Методические указания по расчету СФБ;</w:t>
      </w:r>
    </w:p>
    <w:p w:rsidR="00A50BA4" w:rsidRDefault="00A50BA4" w:rsidP="0029287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строка «Превышение доходов над расходами (+) или расходов над доходами (-) снижение до -957 млн. руб. за счет сокращения бюджетных расходов. </w:t>
      </w:r>
    </w:p>
    <w:p w:rsidR="00A50BA4" w:rsidRPr="00A44276" w:rsidRDefault="00A50BA4" w:rsidP="00692B35">
      <w:pPr>
        <w:pStyle w:val="aff1"/>
        <w:spacing w:line="276" w:lineRule="auto"/>
        <w:jc w:val="center"/>
        <w:rPr>
          <w:b/>
          <w:sz w:val="24"/>
          <w:szCs w:val="24"/>
          <w:highlight w:val="yellow"/>
        </w:rPr>
      </w:pPr>
    </w:p>
    <w:p w:rsidR="00A50BA4" w:rsidRPr="008C0775" w:rsidRDefault="00A50BA4" w:rsidP="00692B35">
      <w:pPr>
        <w:pStyle w:val="aff1"/>
        <w:spacing w:line="276" w:lineRule="auto"/>
        <w:jc w:val="center"/>
        <w:rPr>
          <w:b/>
          <w:sz w:val="24"/>
          <w:szCs w:val="24"/>
        </w:rPr>
      </w:pPr>
      <w:r w:rsidRPr="008C0775">
        <w:rPr>
          <w:b/>
          <w:sz w:val="24"/>
          <w:szCs w:val="24"/>
        </w:rPr>
        <w:t>Демография и занятость населения</w:t>
      </w:r>
    </w:p>
    <w:p w:rsidR="00A50BA4" w:rsidRPr="00A44276" w:rsidRDefault="00A50BA4" w:rsidP="00692B35">
      <w:pPr>
        <w:pStyle w:val="aff1"/>
        <w:spacing w:line="276" w:lineRule="auto"/>
        <w:jc w:val="center"/>
        <w:rPr>
          <w:b/>
          <w:sz w:val="24"/>
          <w:szCs w:val="24"/>
          <w:highlight w:val="yellow"/>
        </w:rPr>
      </w:pPr>
    </w:p>
    <w:p w:rsidR="00A50BA4" w:rsidRPr="00640BF8" w:rsidRDefault="00A50BA4" w:rsidP="00A423B6">
      <w:pPr>
        <w:pStyle w:val="aff1"/>
        <w:spacing w:line="276" w:lineRule="auto"/>
        <w:rPr>
          <w:sz w:val="24"/>
          <w:szCs w:val="24"/>
        </w:rPr>
      </w:pPr>
      <w:r w:rsidRPr="00640BF8">
        <w:rPr>
          <w:sz w:val="24"/>
          <w:szCs w:val="24"/>
        </w:rPr>
        <w:t xml:space="preserve">На 01.07.2016 г. </w:t>
      </w:r>
      <w:r w:rsidRPr="00640BF8">
        <w:rPr>
          <w:b/>
          <w:sz w:val="24"/>
          <w:szCs w:val="24"/>
        </w:rPr>
        <w:t>численность постоянного населения</w:t>
      </w:r>
      <w:r w:rsidRPr="00640BF8">
        <w:rPr>
          <w:sz w:val="24"/>
          <w:szCs w:val="24"/>
        </w:rPr>
        <w:t xml:space="preserve"> городского округа Тольятти сократилась на 0,7 тыс. чел. (на 01.01.2016 г.- 712,6 тыс. чел.) и составила 711,9 тыс. чел. Убыль населения отмечена в Автозаводском (- 516 чел.) и в Комсомольском районах городского округа (- 324 чел.), в Центральном районе прирост составил 102 чел. </w:t>
      </w:r>
    </w:p>
    <w:p w:rsidR="00A50BA4" w:rsidRPr="00640BF8" w:rsidRDefault="00A50BA4" w:rsidP="00A423B6">
      <w:pPr>
        <w:pStyle w:val="aff1"/>
        <w:spacing w:line="276" w:lineRule="auto"/>
        <w:rPr>
          <w:sz w:val="24"/>
          <w:szCs w:val="24"/>
        </w:rPr>
      </w:pPr>
      <w:r w:rsidRPr="00640BF8">
        <w:rPr>
          <w:sz w:val="24"/>
          <w:szCs w:val="24"/>
        </w:rPr>
        <w:t>В течение</w:t>
      </w:r>
      <w:r w:rsidRPr="00640BF8">
        <w:rPr>
          <w:b/>
          <w:bCs/>
          <w:sz w:val="24"/>
          <w:szCs w:val="24"/>
        </w:rPr>
        <w:t xml:space="preserve"> </w:t>
      </w:r>
      <w:r w:rsidRPr="00640BF8">
        <w:rPr>
          <w:bCs/>
          <w:sz w:val="24"/>
          <w:szCs w:val="24"/>
        </w:rPr>
        <w:t>1 полугодия</w:t>
      </w:r>
      <w:r w:rsidRPr="00640BF8">
        <w:rPr>
          <w:b/>
          <w:bCs/>
          <w:sz w:val="24"/>
          <w:szCs w:val="24"/>
        </w:rPr>
        <w:t xml:space="preserve"> </w:t>
      </w:r>
      <w:r w:rsidRPr="00640BF8">
        <w:rPr>
          <w:sz w:val="24"/>
          <w:szCs w:val="24"/>
        </w:rPr>
        <w:t xml:space="preserve">2016 года в городском округе Тольятти родилось 4,4 тыс. чел., что на 82 чел. (1,8 %) меньше, чем за период прошлого года. Коэффициент рождаемости составил 12,4 промилле, против 12,6 промилле в 1 </w:t>
      </w:r>
      <w:r w:rsidRPr="00640BF8">
        <w:rPr>
          <w:bCs/>
          <w:sz w:val="24"/>
          <w:szCs w:val="24"/>
        </w:rPr>
        <w:t>полугодии</w:t>
      </w:r>
      <w:r w:rsidRPr="00640BF8">
        <w:rPr>
          <w:sz w:val="24"/>
          <w:szCs w:val="24"/>
        </w:rPr>
        <w:t xml:space="preserve"> 2015 года. </w:t>
      </w:r>
    </w:p>
    <w:p w:rsidR="00A50BA4" w:rsidRPr="00640BF8" w:rsidRDefault="00A50BA4" w:rsidP="00A423B6">
      <w:pPr>
        <w:pStyle w:val="aff1"/>
        <w:spacing w:line="276" w:lineRule="auto"/>
        <w:rPr>
          <w:sz w:val="24"/>
          <w:szCs w:val="24"/>
        </w:rPr>
      </w:pPr>
      <w:r w:rsidRPr="00640BF8">
        <w:rPr>
          <w:sz w:val="24"/>
          <w:szCs w:val="24"/>
        </w:rPr>
        <w:t xml:space="preserve">Число умерших относительно аналогичного показателя прошлого года уменьшилось на 125 чел. (2,9 %) и составило 4,3 тыс. чел. Коэффициент смертности составил 12,0 промилле, против 12,3 промилле в 1 </w:t>
      </w:r>
      <w:r w:rsidRPr="00640BF8">
        <w:rPr>
          <w:bCs/>
          <w:sz w:val="24"/>
          <w:szCs w:val="24"/>
        </w:rPr>
        <w:t>полугодии</w:t>
      </w:r>
      <w:r w:rsidRPr="00640BF8">
        <w:rPr>
          <w:sz w:val="24"/>
          <w:szCs w:val="24"/>
        </w:rPr>
        <w:t xml:space="preserve"> 2015 года. </w:t>
      </w:r>
    </w:p>
    <w:p w:rsidR="00A50BA4" w:rsidRPr="00640BF8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 w:rsidRPr="00640BF8">
        <w:rPr>
          <w:sz w:val="24"/>
          <w:szCs w:val="24"/>
        </w:rPr>
        <w:t>Общая характеристика воспроизводства населения городского округа Тольятти приведена в таблице:</w:t>
      </w:r>
    </w:p>
    <w:p w:rsidR="00A50BA4" w:rsidRDefault="00A50BA4" w:rsidP="008E79C1">
      <w:pPr>
        <w:pStyle w:val="aff1"/>
        <w:keepNext/>
        <w:keepLines/>
        <w:spacing w:after="120"/>
        <w:ind w:firstLine="0"/>
        <w:jc w:val="center"/>
        <w:rPr>
          <w:sz w:val="24"/>
          <w:szCs w:val="24"/>
        </w:rPr>
      </w:pPr>
      <w:r w:rsidRPr="00640BF8">
        <w:rPr>
          <w:sz w:val="24"/>
          <w:szCs w:val="24"/>
        </w:rPr>
        <w:t>Показатели естественного движения населения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134"/>
        <w:gridCol w:w="1276"/>
        <w:gridCol w:w="1417"/>
        <w:gridCol w:w="1134"/>
        <w:gridCol w:w="993"/>
        <w:gridCol w:w="1134"/>
      </w:tblGrid>
      <w:tr w:rsidR="00A50BA4" w:rsidRPr="00640BF8" w:rsidTr="00CF1CBC">
        <w:trPr>
          <w:cantSplit/>
          <w:trHeight w:val="7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8E79C1">
            <w:pPr>
              <w:pStyle w:val="aff1"/>
              <w:keepNext/>
              <w:keepLine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0BF8">
              <w:rPr>
                <w:bCs/>
                <w:sz w:val="24"/>
                <w:szCs w:val="24"/>
              </w:rPr>
              <w:t>Показатель</w:t>
            </w:r>
          </w:p>
          <w:p w:rsidR="00A50BA4" w:rsidRPr="00640BF8" w:rsidRDefault="00A50BA4" w:rsidP="008E79C1">
            <w:pPr>
              <w:pStyle w:val="aff1"/>
              <w:keepNext/>
              <w:keepLines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8E79C1">
            <w:pPr>
              <w:pStyle w:val="aff1"/>
              <w:keepNext/>
              <w:keepLine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0BF8">
              <w:rPr>
                <w:bCs/>
                <w:sz w:val="24"/>
                <w:szCs w:val="24"/>
              </w:rPr>
              <w:t>Январь-июнь,</w:t>
            </w:r>
          </w:p>
          <w:p w:rsidR="00A50BA4" w:rsidRPr="00640BF8" w:rsidRDefault="00A50BA4" w:rsidP="008E79C1">
            <w:pPr>
              <w:pStyle w:val="aff1"/>
              <w:keepNext/>
              <w:keepLine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0BF8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8E79C1">
            <w:pPr>
              <w:pStyle w:val="aff1"/>
              <w:keepNext/>
              <w:keepLine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0BF8">
              <w:rPr>
                <w:bCs/>
                <w:sz w:val="24"/>
                <w:szCs w:val="24"/>
              </w:rPr>
              <w:t>Прирост (+), снижение</w:t>
            </w:r>
          </w:p>
          <w:p w:rsidR="00A50BA4" w:rsidRPr="00640BF8" w:rsidRDefault="00A50BA4" w:rsidP="008E79C1">
            <w:pPr>
              <w:pStyle w:val="aff1"/>
              <w:keepNext/>
              <w:keepLine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0BF8">
              <w:rPr>
                <w:bCs/>
                <w:sz w:val="24"/>
                <w:szCs w:val="24"/>
              </w:rPr>
              <w:t>(-) ,чел.</w:t>
            </w:r>
          </w:p>
          <w:p w:rsidR="00A50BA4" w:rsidRPr="00640BF8" w:rsidRDefault="00A50BA4" w:rsidP="008E79C1">
            <w:pPr>
              <w:pStyle w:val="aff1"/>
              <w:keepNext/>
              <w:keepLine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8E79C1">
            <w:pPr>
              <w:pStyle w:val="aff1"/>
              <w:keepNext/>
              <w:keepLine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0BF8">
              <w:rPr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BA4" w:rsidRPr="00640BF8" w:rsidRDefault="00A50BA4" w:rsidP="008E79C1">
            <w:pPr>
              <w:pStyle w:val="aff1"/>
              <w:keepNext/>
              <w:keepLine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40BF8">
              <w:rPr>
                <w:bCs/>
                <w:sz w:val="24"/>
                <w:szCs w:val="24"/>
              </w:rPr>
              <w:t xml:space="preserve">Январь - июнь на </w:t>
            </w:r>
            <w:r w:rsidRPr="00640BF8">
              <w:rPr>
                <w:sz w:val="24"/>
                <w:szCs w:val="24"/>
              </w:rPr>
              <w:t>1000 населения</w:t>
            </w:r>
          </w:p>
        </w:tc>
      </w:tr>
      <w:tr w:rsidR="00A50BA4" w:rsidRPr="00640BF8" w:rsidTr="00392DFF">
        <w:trPr>
          <w:cantSplit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2546FC">
            <w:pPr>
              <w:pStyle w:val="aff1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2546FC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40BF8">
              <w:rPr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2546FC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40BF8">
              <w:rPr>
                <w:sz w:val="24"/>
                <w:szCs w:val="24"/>
              </w:rPr>
              <w:t>2016 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2546FC">
            <w:pPr>
              <w:pStyle w:val="aff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2546FC">
            <w:pPr>
              <w:pStyle w:val="aff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2546FC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BA4" w:rsidRPr="00640BF8" w:rsidRDefault="00A50BA4" w:rsidP="002546FC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2016 г.</w:t>
            </w:r>
          </w:p>
        </w:tc>
      </w:tr>
      <w:tr w:rsidR="00A50BA4" w:rsidRPr="00640BF8" w:rsidTr="00392DF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40BF8">
              <w:rPr>
                <w:bCs/>
                <w:sz w:val="24"/>
                <w:szCs w:val="24"/>
              </w:rPr>
              <w:t>Родившихся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4484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4402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 w:rsidRPr="00640BF8">
              <w:rPr>
                <w:sz w:val="24"/>
                <w:szCs w:val="24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12,4</w:t>
            </w:r>
          </w:p>
        </w:tc>
      </w:tr>
      <w:tr w:rsidR="00A50BA4" w:rsidRPr="00640BF8" w:rsidTr="00392DFF">
        <w:trPr>
          <w:trHeight w:val="21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40BF8">
              <w:rPr>
                <w:bCs/>
                <w:sz w:val="24"/>
                <w:szCs w:val="24"/>
              </w:rPr>
              <w:t>Умерших.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4382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4257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 w:rsidRPr="00640BF8">
              <w:rPr>
                <w:sz w:val="24"/>
                <w:szCs w:val="24"/>
              </w:rPr>
              <w:t>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12,0</w:t>
            </w:r>
          </w:p>
        </w:tc>
      </w:tr>
      <w:tr w:rsidR="00A50BA4" w:rsidRPr="00640BF8" w:rsidTr="00392DF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40BF8">
              <w:rPr>
                <w:bCs/>
                <w:sz w:val="24"/>
                <w:szCs w:val="24"/>
              </w:rPr>
              <w:t>В том числе детей</w:t>
            </w:r>
          </w:p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40BF8">
              <w:rPr>
                <w:bCs/>
                <w:sz w:val="24"/>
                <w:szCs w:val="24"/>
              </w:rPr>
              <w:t>в возрасте 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120,8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5,2*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6,6*</w:t>
            </w:r>
          </w:p>
        </w:tc>
      </w:tr>
      <w:tr w:rsidR="00A50BA4" w:rsidRPr="00640BF8" w:rsidTr="00392DF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40BF8">
              <w:rPr>
                <w:bCs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BA4" w:rsidRPr="00640BF8" w:rsidRDefault="00A50BA4" w:rsidP="00CF1CBC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0,4</w:t>
            </w:r>
          </w:p>
        </w:tc>
      </w:tr>
    </w:tbl>
    <w:p w:rsidR="00A50BA4" w:rsidRPr="00640BF8" w:rsidRDefault="00A50BA4" w:rsidP="00640BF8">
      <w:pPr>
        <w:pStyle w:val="aff1"/>
        <w:rPr>
          <w:sz w:val="24"/>
          <w:szCs w:val="24"/>
        </w:rPr>
      </w:pPr>
      <w:r w:rsidRPr="00640BF8">
        <w:rPr>
          <w:sz w:val="24"/>
          <w:szCs w:val="24"/>
        </w:rPr>
        <w:t>* на 1000 родившихся</w:t>
      </w:r>
    </w:p>
    <w:p w:rsidR="00A50BA4" w:rsidRDefault="00A50BA4" w:rsidP="00A423B6">
      <w:pPr>
        <w:pStyle w:val="aff1"/>
        <w:spacing w:line="276" w:lineRule="auto"/>
        <w:rPr>
          <w:sz w:val="24"/>
          <w:szCs w:val="24"/>
        </w:rPr>
      </w:pPr>
    </w:p>
    <w:p w:rsidR="00A50BA4" w:rsidRPr="00640BF8" w:rsidRDefault="00A50BA4" w:rsidP="00A423B6">
      <w:pPr>
        <w:pStyle w:val="aff1"/>
        <w:spacing w:line="276" w:lineRule="auto"/>
        <w:rPr>
          <w:sz w:val="24"/>
          <w:szCs w:val="24"/>
        </w:rPr>
      </w:pPr>
      <w:r w:rsidRPr="00640BF8">
        <w:rPr>
          <w:sz w:val="24"/>
          <w:szCs w:val="24"/>
        </w:rPr>
        <w:t xml:space="preserve">В результате естественный прирост населения городского округа увеличился на 43 чел. и составил 145 чел.  Общий коэффициент естественного прироста зафиксирован на уровне 0,4 промилле, против 0,3 промилле в 1 </w:t>
      </w:r>
      <w:r w:rsidRPr="00640BF8">
        <w:rPr>
          <w:bCs/>
          <w:sz w:val="24"/>
          <w:szCs w:val="24"/>
        </w:rPr>
        <w:t>полугодии</w:t>
      </w:r>
      <w:r w:rsidRPr="00640BF8">
        <w:rPr>
          <w:sz w:val="24"/>
          <w:szCs w:val="24"/>
        </w:rPr>
        <w:t xml:space="preserve"> 2015 года. При этом в Автозаводском районе сохраняется естественный прирост  (+475 чел.), в Комсомольском (-145 чел.) и   Центральном    (-185 чел.) районах городского округа сложилась естественная убыль. </w:t>
      </w:r>
    </w:p>
    <w:p w:rsidR="00A50BA4" w:rsidRPr="00640BF8" w:rsidRDefault="00A50BA4" w:rsidP="00A423B6">
      <w:pPr>
        <w:pStyle w:val="230"/>
        <w:spacing w:after="0" w:line="276" w:lineRule="auto"/>
        <w:ind w:left="0" w:firstLine="709"/>
        <w:jc w:val="both"/>
        <w:rPr>
          <w:sz w:val="24"/>
          <w:szCs w:val="24"/>
        </w:rPr>
      </w:pPr>
      <w:r w:rsidRPr="00640BF8">
        <w:rPr>
          <w:sz w:val="24"/>
          <w:szCs w:val="24"/>
        </w:rPr>
        <w:t>В 2016 году ожидается, что численность родившихся составит, по оценке, 9,3 тыс. чел., а численность умерших – 8,2 тыс. чел. Естественный прирост, таким образом, ожидается на уровне 1,1 тыс. чел.</w:t>
      </w:r>
    </w:p>
    <w:p w:rsidR="00A50BA4" w:rsidRPr="00640BF8" w:rsidRDefault="00A50BA4" w:rsidP="00640BF8">
      <w:pPr>
        <w:pStyle w:val="230"/>
        <w:spacing w:after="0" w:line="276" w:lineRule="auto"/>
        <w:ind w:left="0" w:firstLine="709"/>
        <w:jc w:val="both"/>
        <w:rPr>
          <w:sz w:val="24"/>
          <w:szCs w:val="24"/>
        </w:rPr>
      </w:pPr>
    </w:p>
    <w:p w:rsidR="00A50BA4" w:rsidRDefault="00A50BA4" w:rsidP="00392DFF">
      <w:pPr>
        <w:pStyle w:val="230"/>
        <w:keepNext/>
        <w:keepLines/>
        <w:spacing w:after="0" w:line="240" w:lineRule="auto"/>
        <w:ind w:left="0"/>
        <w:jc w:val="center"/>
        <w:rPr>
          <w:bCs/>
          <w:sz w:val="24"/>
          <w:szCs w:val="24"/>
        </w:rPr>
      </w:pPr>
      <w:r w:rsidRPr="00640BF8">
        <w:rPr>
          <w:bCs/>
          <w:sz w:val="24"/>
          <w:szCs w:val="24"/>
        </w:rPr>
        <w:lastRenderedPageBreak/>
        <w:t>Ожидаемое выполнение прогнозных показателей по разделу «Демография»</w:t>
      </w:r>
      <w:r>
        <w:rPr>
          <w:bCs/>
          <w:sz w:val="24"/>
          <w:szCs w:val="24"/>
        </w:rPr>
        <w:t xml:space="preserve"> </w:t>
      </w:r>
    </w:p>
    <w:p w:rsidR="00A50BA4" w:rsidRDefault="00A50BA4" w:rsidP="00392DFF">
      <w:pPr>
        <w:pStyle w:val="230"/>
        <w:keepNext/>
        <w:keepLines/>
        <w:spacing w:after="0" w:line="240" w:lineRule="auto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2016 год</w:t>
      </w:r>
    </w:p>
    <w:p w:rsidR="00A50BA4" w:rsidRPr="00640BF8" w:rsidRDefault="00A50BA4" w:rsidP="00392DFF">
      <w:pPr>
        <w:pStyle w:val="230"/>
        <w:keepNext/>
        <w:keepLines/>
        <w:spacing w:after="0" w:line="240" w:lineRule="auto"/>
        <w:ind w:left="0"/>
        <w:jc w:val="center"/>
        <w:rPr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417"/>
        <w:gridCol w:w="1418"/>
        <w:gridCol w:w="1417"/>
        <w:gridCol w:w="1843"/>
      </w:tblGrid>
      <w:tr w:rsidR="00A50BA4" w:rsidRPr="00640BF8" w:rsidTr="002546FC">
        <w:trPr>
          <w:cantSplit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2546FC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 xml:space="preserve">Прогноз </w:t>
            </w:r>
            <w:r>
              <w:rPr>
                <w:sz w:val="24"/>
                <w:szCs w:val="24"/>
              </w:rPr>
              <w:t xml:space="preserve">на </w:t>
            </w: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6E74" w:rsidRDefault="00A50BA4" w:rsidP="002546FC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 (оценка)</w:t>
            </w:r>
          </w:p>
        </w:tc>
      </w:tr>
      <w:tr w:rsidR="00A50BA4" w:rsidRPr="00640BF8" w:rsidTr="00DA59F0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1 вариант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2 вариант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0BA4" w:rsidRPr="00640BF8" w:rsidTr="00DA59F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640BF8" w:rsidRDefault="00A50BA4" w:rsidP="00DA59F0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713,7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714,3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712,2</w:t>
            </w:r>
          </w:p>
        </w:tc>
      </w:tr>
      <w:tr w:rsidR="00A50BA4" w:rsidRPr="00640BF8" w:rsidTr="00DA59F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640BF8" w:rsidRDefault="00A50BA4" w:rsidP="00DA59F0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Естественная убыль (прирост)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1,1</w:t>
            </w:r>
          </w:p>
        </w:tc>
      </w:tr>
      <w:tr w:rsidR="00A50BA4" w:rsidRPr="00640BF8" w:rsidTr="00DA59F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640BF8" w:rsidRDefault="00A50BA4" w:rsidP="00DA59F0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Миграционный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-1,5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-0,8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640BF8" w:rsidRDefault="00A50BA4" w:rsidP="00DA59F0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0BF8">
              <w:rPr>
                <w:sz w:val="24"/>
                <w:szCs w:val="24"/>
              </w:rPr>
              <w:t>-2,0</w:t>
            </w:r>
          </w:p>
        </w:tc>
      </w:tr>
    </w:tbl>
    <w:p w:rsidR="00A50BA4" w:rsidRDefault="00A50BA4" w:rsidP="00A423B6">
      <w:pPr>
        <w:pStyle w:val="aff1"/>
        <w:spacing w:line="276" w:lineRule="auto"/>
        <w:rPr>
          <w:sz w:val="24"/>
          <w:szCs w:val="24"/>
        </w:rPr>
      </w:pPr>
    </w:p>
    <w:p w:rsidR="00A50BA4" w:rsidRPr="00640BF8" w:rsidRDefault="00DC30D0" w:rsidP="00A423B6">
      <w:pPr>
        <w:pStyle w:val="aff1"/>
        <w:spacing w:line="276" w:lineRule="auto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>О</w:t>
      </w:r>
      <w:r w:rsidR="00A50BA4" w:rsidRPr="00E8369C">
        <w:rPr>
          <w:bCs/>
          <w:sz w:val="24"/>
          <w:szCs w:val="24"/>
          <w:lang w:eastAsia="ru-RU"/>
        </w:rPr>
        <w:t>ценка миграционн</w:t>
      </w:r>
      <w:r>
        <w:rPr>
          <w:bCs/>
          <w:sz w:val="24"/>
          <w:szCs w:val="24"/>
          <w:lang w:eastAsia="ru-RU"/>
        </w:rPr>
        <w:t>ой</w:t>
      </w:r>
      <w:r w:rsidR="00A50BA4" w:rsidRPr="00E8369C">
        <w:rPr>
          <w:bCs/>
          <w:sz w:val="24"/>
          <w:szCs w:val="24"/>
          <w:lang w:eastAsia="ru-RU"/>
        </w:rPr>
        <w:t xml:space="preserve"> </w:t>
      </w:r>
      <w:r w:rsidR="00A50BA4">
        <w:rPr>
          <w:bCs/>
          <w:sz w:val="24"/>
          <w:szCs w:val="24"/>
          <w:lang w:eastAsia="ru-RU"/>
        </w:rPr>
        <w:t>убыли</w:t>
      </w:r>
      <w:r w:rsidR="00A50BA4" w:rsidRPr="00E8369C">
        <w:rPr>
          <w:bCs/>
          <w:sz w:val="24"/>
          <w:szCs w:val="24"/>
          <w:lang w:eastAsia="ru-RU"/>
        </w:rPr>
        <w:t xml:space="preserve"> на 2016 год скорректирована </w:t>
      </w:r>
      <w:r w:rsidR="00A50BA4">
        <w:rPr>
          <w:bCs/>
          <w:sz w:val="24"/>
          <w:szCs w:val="24"/>
          <w:lang w:eastAsia="ru-RU"/>
        </w:rPr>
        <w:t xml:space="preserve">до </w:t>
      </w:r>
      <w:r w:rsidR="00A50BA4" w:rsidRPr="00640BF8">
        <w:rPr>
          <w:sz w:val="24"/>
          <w:szCs w:val="24"/>
        </w:rPr>
        <w:t>уровн</w:t>
      </w:r>
      <w:r w:rsidR="00A50BA4">
        <w:rPr>
          <w:sz w:val="24"/>
          <w:szCs w:val="24"/>
        </w:rPr>
        <w:t>я</w:t>
      </w:r>
      <w:r w:rsidR="00A50BA4" w:rsidRPr="00640BF8">
        <w:rPr>
          <w:sz w:val="24"/>
          <w:szCs w:val="24"/>
        </w:rPr>
        <w:t xml:space="preserve"> </w:t>
      </w:r>
      <w:r w:rsidR="00A50BA4">
        <w:rPr>
          <w:sz w:val="24"/>
          <w:szCs w:val="24"/>
        </w:rPr>
        <w:t>-</w:t>
      </w:r>
      <w:r w:rsidR="00A50BA4" w:rsidRPr="00640BF8">
        <w:rPr>
          <w:sz w:val="24"/>
          <w:szCs w:val="24"/>
        </w:rPr>
        <w:t>2,0 тыс. чел</w:t>
      </w:r>
      <w:r w:rsidR="00A50BA4">
        <w:rPr>
          <w:sz w:val="24"/>
          <w:szCs w:val="24"/>
        </w:rPr>
        <w:t>овек</w:t>
      </w:r>
      <w:r>
        <w:rPr>
          <w:sz w:val="24"/>
          <w:szCs w:val="24"/>
        </w:rPr>
        <w:t xml:space="preserve"> </w:t>
      </w:r>
      <w:r w:rsidRPr="003250E6">
        <w:rPr>
          <w:sz w:val="24"/>
          <w:szCs w:val="24"/>
        </w:rPr>
        <w:t xml:space="preserve">исходя из динамики данного показателя, сложившейся в </w:t>
      </w:r>
      <w:r>
        <w:rPr>
          <w:sz w:val="24"/>
          <w:szCs w:val="24"/>
        </w:rPr>
        <w:t>текущем году</w:t>
      </w:r>
      <w:r w:rsidR="00A50BA4" w:rsidRPr="00640BF8">
        <w:rPr>
          <w:sz w:val="24"/>
          <w:szCs w:val="24"/>
        </w:rPr>
        <w:t xml:space="preserve">. </w:t>
      </w:r>
    </w:p>
    <w:p w:rsidR="00A50BA4" w:rsidRPr="00640BF8" w:rsidRDefault="00A50BA4" w:rsidP="00A423B6">
      <w:pPr>
        <w:pStyle w:val="af6"/>
        <w:spacing w:line="276" w:lineRule="auto"/>
        <w:ind w:right="0" w:firstLine="709"/>
        <w:rPr>
          <w:szCs w:val="24"/>
        </w:rPr>
      </w:pPr>
      <w:r w:rsidRPr="00640BF8">
        <w:rPr>
          <w:szCs w:val="24"/>
        </w:rPr>
        <w:t>С учетом естественного и механического прироста населения, сложившихся на 01.07.2016 г.</w:t>
      </w:r>
      <w:r>
        <w:rPr>
          <w:szCs w:val="24"/>
        </w:rPr>
        <w:t>,</w:t>
      </w:r>
      <w:r w:rsidRPr="00640BF8">
        <w:rPr>
          <w:szCs w:val="24"/>
        </w:rPr>
        <w:t xml:space="preserve"> среднегодовая численность населения городского округа Тольятти, по оценке, в 2016 году составит 712,2 тыс. чел., что на 0,2 % меньше </w:t>
      </w:r>
      <w:r>
        <w:rPr>
          <w:szCs w:val="24"/>
        </w:rPr>
        <w:t xml:space="preserve">значения </w:t>
      </w:r>
      <w:r w:rsidRPr="00640BF8">
        <w:rPr>
          <w:szCs w:val="24"/>
        </w:rPr>
        <w:t>показателя перво</w:t>
      </w:r>
      <w:r w:rsidR="00DC30D0">
        <w:rPr>
          <w:szCs w:val="24"/>
        </w:rPr>
        <w:t>го</w:t>
      </w:r>
      <w:r w:rsidRPr="00640BF8">
        <w:rPr>
          <w:szCs w:val="24"/>
        </w:rPr>
        <w:t xml:space="preserve"> вариант</w:t>
      </w:r>
      <w:r w:rsidR="00DC30D0">
        <w:rPr>
          <w:szCs w:val="24"/>
        </w:rPr>
        <w:t>а</w:t>
      </w:r>
      <w:r w:rsidRPr="00640BF8">
        <w:rPr>
          <w:szCs w:val="24"/>
        </w:rPr>
        <w:t xml:space="preserve"> прогноза</w:t>
      </w:r>
      <w:r w:rsidR="00DC30D0">
        <w:rPr>
          <w:szCs w:val="24"/>
        </w:rPr>
        <w:t>, рассчитанного в прошлом году</w:t>
      </w:r>
      <w:r w:rsidRPr="00640BF8">
        <w:rPr>
          <w:szCs w:val="24"/>
        </w:rPr>
        <w:t xml:space="preserve">. </w:t>
      </w:r>
    </w:p>
    <w:p w:rsidR="00A50BA4" w:rsidRPr="00640BF8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 w:rsidRPr="006E469E">
        <w:rPr>
          <w:sz w:val="24"/>
          <w:szCs w:val="24"/>
        </w:rPr>
        <w:t>Возрас</w:t>
      </w:r>
      <w:r w:rsidRPr="00640BF8">
        <w:rPr>
          <w:sz w:val="24"/>
          <w:szCs w:val="24"/>
        </w:rPr>
        <w:t>тная структура населения городского округа Тольятти будет характеризоваться увеличением доли численности населения моложе трудоспособного возраста в общей численности с 16,8 % в 2015 году до 17,1 % в 2016 году. По оценке 2016 года</w:t>
      </w:r>
      <w:r w:rsidR="00DB37CC">
        <w:rPr>
          <w:sz w:val="24"/>
          <w:szCs w:val="24"/>
        </w:rPr>
        <w:t>,</w:t>
      </w:r>
      <w:r w:rsidRPr="00640BF8">
        <w:rPr>
          <w:sz w:val="24"/>
          <w:szCs w:val="24"/>
        </w:rPr>
        <w:t xml:space="preserve"> доля численности населения в трудоспособном возрасте снизится на 1,1 % и составит 58,1 %. Соответственно доля численности населения старше трудоспособного возраста в 2016 году увеличится до 24,7 % (в 201</w:t>
      </w:r>
      <w:r>
        <w:rPr>
          <w:sz w:val="24"/>
          <w:szCs w:val="24"/>
        </w:rPr>
        <w:t>5</w:t>
      </w:r>
      <w:r w:rsidRPr="00640BF8">
        <w:rPr>
          <w:sz w:val="24"/>
          <w:szCs w:val="24"/>
        </w:rPr>
        <w:t xml:space="preserve"> году – 24,0 %). </w:t>
      </w:r>
    </w:p>
    <w:p w:rsidR="00A50BA4" w:rsidRPr="007B482B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 w:rsidRPr="000D5F59">
        <w:rPr>
          <w:sz w:val="24"/>
          <w:szCs w:val="24"/>
        </w:rPr>
        <w:t xml:space="preserve">Доля численности </w:t>
      </w:r>
      <w:r w:rsidRPr="008240CD">
        <w:rPr>
          <w:b/>
          <w:sz w:val="24"/>
          <w:szCs w:val="24"/>
        </w:rPr>
        <w:t>трудовых ресурсов</w:t>
      </w:r>
      <w:r w:rsidRPr="000D5F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городском округе Тольятти, </w:t>
      </w:r>
      <w:r w:rsidRPr="000D5F59">
        <w:rPr>
          <w:sz w:val="24"/>
          <w:szCs w:val="24"/>
        </w:rPr>
        <w:t>по оценке</w:t>
      </w:r>
      <w:r>
        <w:rPr>
          <w:sz w:val="24"/>
          <w:szCs w:val="24"/>
        </w:rPr>
        <w:t>,</w:t>
      </w:r>
      <w:r w:rsidRPr="000D5F59">
        <w:rPr>
          <w:sz w:val="24"/>
          <w:szCs w:val="24"/>
        </w:rPr>
        <w:t xml:space="preserve"> в общей численности населения </w:t>
      </w:r>
      <w:r>
        <w:rPr>
          <w:sz w:val="24"/>
          <w:szCs w:val="24"/>
        </w:rPr>
        <w:t xml:space="preserve">городского </w:t>
      </w:r>
      <w:r w:rsidRPr="000D5F59">
        <w:rPr>
          <w:sz w:val="24"/>
          <w:szCs w:val="24"/>
        </w:rPr>
        <w:t xml:space="preserve">округа по итогам 2015 </w:t>
      </w:r>
      <w:r w:rsidRPr="007B482B">
        <w:rPr>
          <w:sz w:val="24"/>
          <w:szCs w:val="24"/>
        </w:rPr>
        <w:t>года составила около 65,5 %.</w:t>
      </w:r>
    </w:p>
    <w:p w:rsidR="00A50BA4" w:rsidRPr="00E3435E" w:rsidRDefault="00A50BA4" w:rsidP="00A423B6">
      <w:pPr>
        <w:pStyle w:val="aff1"/>
        <w:spacing w:line="276" w:lineRule="auto"/>
        <w:rPr>
          <w:sz w:val="24"/>
          <w:szCs w:val="24"/>
        </w:rPr>
      </w:pPr>
      <w:r w:rsidRPr="00E3435E">
        <w:rPr>
          <w:sz w:val="24"/>
          <w:szCs w:val="24"/>
        </w:rPr>
        <w:t xml:space="preserve">Преобладающая часть занятого населения сосредоточена на крупных и средних предприятиях. По итогам </w:t>
      </w:r>
      <w:r>
        <w:rPr>
          <w:sz w:val="24"/>
          <w:szCs w:val="24"/>
        </w:rPr>
        <w:t xml:space="preserve">1 полугодия </w:t>
      </w:r>
      <w:r w:rsidRPr="00E3435E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E3435E">
        <w:rPr>
          <w:sz w:val="24"/>
          <w:szCs w:val="24"/>
        </w:rPr>
        <w:t xml:space="preserve"> года среднесписочная численность работающих на крупных и средних предприятиях городского округа Тольятти по сравнению с аналогичным </w:t>
      </w:r>
      <w:r w:rsidRPr="00396E82">
        <w:rPr>
          <w:sz w:val="24"/>
          <w:szCs w:val="24"/>
        </w:rPr>
        <w:t>показателем прошлого года уменьшилась на 7,9 % и составила 174,0 тыс. чел.</w:t>
      </w:r>
    </w:p>
    <w:p w:rsidR="00A50BA4" w:rsidRPr="006E02E8" w:rsidRDefault="00A50BA4" w:rsidP="00A423B6">
      <w:pPr>
        <w:pStyle w:val="aff1"/>
        <w:spacing w:line="276" w:lineRule="auto"/>
        <w:rPr>
          <w:sz w:val="24"/>
          <w:szCs w:val="24"/>
        </w:rPr>
      </w:pPr>
      <w:r w:rsidRPr="006E02E8">
        <w:rPr>
          <w:sz w:val="24"/>
          <w:szCs w:val="24"/>
        </w:rPr>
        <w:t xml:space="preserve">Наиболее значительное уменьшение персонала произошло на предприятиях  строительства – на 22,6 %, обрабатывающих производств – на 15,3 %, на предприятиях финансовой деятельности – 8,3 %, транспорта и связи - на 6,4 %. В области государственного управления и обеспечения военной безопасности численность работников уменьшилась на 3,8 %. </w:t>
      </w:r>
    </w:p>
    <w:p w:rsidR="00A50BA4" w:rsidRDefault="00A50BA4" w:rsidP="00A423B6">
      <w:pPr>
        <w:pStyle w:val="aff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6E02E8">
        <w:rPr>
          <w:sz w:val="24"/>
          <w:szCs w:val="24"/>
        </w:rPr>
        <w:t>рирост численности работников в рассматриваемый период текущего года относительно аналогичного периода прошлого года отмечается на предприятиях оптовой и розничной торговли - на 9,8 %, по производству и распределению электроэнергии, газа и воды – на 4,9 %. Впервые за последние 6 лет наблюдается рост численности  работников в области здравоохранения - на 3,1 %.</w:t>
      </w:r>
      <w:r w:rsidRPr="00493CBE">
        <w:rPr>
          <w:sz w:val="24"/>
          <w:szCs w:val="24"/>
        </w:rPr>
        <w:t xml:space="preserve"> </w:t>
      </w:r>
    </w:p>
    <w:p w:rsidR="00A50BA4" w:rsidRDefault="00A50BA4" w:rsidP="00A423B6">
      <w:pPr>
        <w:pStyle w:val="aff1"/>
        <w:spacing w:line="276" w:lineRule="auto"/>
        <w:rPr>
          <w:sz w:val="24"/>
          <w:szCs w:val="24"/>
        </w:rPr>
      </w:pPr>
      <w:r w:rsidRPr="0062748E">
        <w:rPr>
          <w:sz w:val="24"/>
          <w:szCs w:val="24"/>
        </w:rPr>
        <w:t>Численность безработных граждан  на 01.07.2016 г. составила 9185 чел., что на 9,8</w:t>
      </w:r>
      <w:r>
        <w:rPr>
          <w:sz w:val="24"/>
          <w:szCs w:val="24"/>
        </w:rPr>
        <w:t xml:space="preserve"> </w:t>
      </w:r>
      <w:r w:rsidRPr="0062748E">
        <w:rPr>
          <w:sz w:val="24"/>
          <w:szCs w:val="24"/>
        </w:rPr>
        <w:t xml:space="preserve">%  больше, чем на начало года (относительно уровня показателя 1 полугодия прошлого года – в 1,6 раза).  </w:t>
      </w:r>
    </w:p>
    <w:p w:rsidR="00A50BA4" w:rsidRDefault="00A50BA4" w:rsidP="00A423B6">
      <w:pPr>
        <w:pStyle w:val="aff1"/>
        <w:spacing w:line="276" w:lineRule="auto"/>
        <w:rPr>
          <w:sz w:val="24"/>
          <w:szCs w:val="24"/>
        </w:rPr>
      </w:pPr>
      <w:r w:rsidRPr="0062748E">
        <w:rPr>
          <w:sz w:val="24"/>
          <w:szCs w:val="24"/>
        </w:rPr>
        <w:t xml:space="preserve">Уровень безработицы на конец июня 2016 года увеличился на 0,79 п.п. относительно показателя 1 полугодия 2015 года и достиг 2,1 %. </w:t>
      </w:r>
    </w:p>
    <w:p w:rsidR="00A50BA4" w:rsidRDefault="00A50BA4" w:rsidP="00A423B6">
      <w:pPr>
        <w:pStyle w:val="aff1"/>
        <w:spacing w:line="276" w:lineRule="auto"/>
        <w:rPr>
          <w:sz w:val="24"/>
          <w:szCs w:val="24"/>
        </w:rPr>
      </w:pPr>
      <w:r w:rsidRPr="0062748E">
        <w:rPr>
          <w:sz w:val="24"/>
          <w:szCs w:val="24"/>
        </w:rPr>
        <w:t xml:space="preserve">Пик безработицы в 2016 году пришелся на апрель – май, когда количество </w:t>
      </w:r>
      <w:r w:rsidRPr="0062748E">
        <w:rPr>
          <w:sz w:val="24"/>
          <w:szCs w:val="24"/>
        </w:rPr>
        <w:lastRenderedPageBreak/>
        <w:t>зарегистрированных безработных достигало 10,5 тыс. человек и выше. Со второй декады мая текущего года  наблюдается снижение количества безработных граждан</w:t>
      </w:r>
      <w:r>
        <w:rPr>
          <w:sz w:val="24"/>
          <w:szCs w:val="24"/>
        </w:rPr>
        <w:t>.</w:t>
      </w:r>
    </w:p>
    <w:p w:rsidR="00A50BA4" w:rsidRPr="00F33B85" w:rsidRDefault="00A50BA4" w:rsidP="00A423B6">
      <w:pPr>
        <w:pStyle w:val="aff1"/>
        <w:spacing w:line="276" w:lineRule="auto"/>
        <w:rPr>
          <w:bCs/>
          <w:sz w:val="24"/>
          <w:szCs w:val="24"/>
        </w:rPr>
      </w:pPr>
      <w:r w:rsidRPr="00F33B85">
        <w:rPr>
          <w:bCs/>
          <w:sz w:val="24"/>
          <w:szCs w:val="24"/>
        </w:rPr>
        <w:t xml:space="preserve">Число открытых вакансий, имеющихся в распоряжении службы занятости, уменьшилось относительно прошлого года в 1,7 раза и составило на конец июня 4,7 тыс. ед. (на 02.09.2016 г. – 4,9 тыс.ед.). </w:t>
      </w:r>
    </w:p>
    <w:p w:rsidR="00A50BA4" w:rsidRPr="00243A7E" w:rsidRDefault="00A50BA4" w:rsidP="00A423B6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243A7E">
        <w:rPr>
          <w:bCs/>
          <w:sz w:val="24"/>
          <w:szCs w:val="24"/>
        </w:rPr>
        <w:t xml:space="preserve">Вследствие роста количества безработных и сокращения вакансий нагрузка на одну вакансию в 1 полугодии 2016 года выросла в 2,5 раза до уровня 2,0 чел. (на 02.09.2016 г. – 1,8 чел.). </w:t>
      </w:r>
    </w:p>
    <w:p w:rsidR="00A50BA4" w:rsidRPr="00E3435E" w:rsidRDefault="00A50BA4" w:rsidP="00A423B6">
      <w:pPr>
        <w:pStyle w:val="aff1"/>
        <w:spacing w:line="276" w:lineRule="auto"/>
        <w:rPr>
          <w:sz w:val="24"/>
          <w:szCs w:val="24"/>
        </w:rPr>
      </w:pPr>
      <w:r w:rsidRPr="00E3435E">
        <w:rPr>
          <w:sz w:val="24"/>
          <w:szCs w:val="24"/>
        </w:rPr>
        <w:t xml:space="preserve">Наблюдается </w:t>
      </w:r>
      <w:r>
        <w:rPr>
          <w:sz w:val="24"/>
          <w:szCs w:val="24"/>
        </w:rPr>
        <w:t>незначительное снижение</w:t>
      </w:r>
      <w:r w:rsidRPr="00E3435E">
        <w:rPr>
          <w:sz w:val="24"/>
          <w:szCs w:val="24"/>
        </w:rPr>
        <w:t xml:space="preserve"> доли длительно неработающих граждан (более 1 года) – </w:t>
      </w:r>
      <w:r>
        <w:rPr>
          <w:sz w:val="24"/>
          <w:szCs w:val="24"/>
        </w:rPr>
        <w:t>7</w:t>
      </w:r>
      <w:r w:rsidRPr="00E3435E">
        <w:rPr>
          <w:sz w:val="24"/>
          <w:szCs w:val="24"/>
        </w:rPr>
        <w:t>,</w:t>
      </w:r>
      <w:r>
        <w:rPr>
          <w:sz w:val="24"/>
          <w:szCs w:val="24"/>
        </w:rPr>
        <w:t xml:space="preserve">7 </w:t>
      </w:r>
      <w:r w:rsidRPr="00E3435E">
        <w:rPr>
          <w:sz w:val="24"/>
          <w:szCs w:val="24"/>
        </w:rPr>
        <w:t xml:space="preserve">% против </w:t>
      </w:r>
      <w:r>
        <w:rPr>
          <w:sz w:val="24"/>
          <w:szCs w:val="24"/>
        </w:rPr>
        <w:t>8,0</w:t>
      </w:r>
      <w:r w:rsidRPr="00E3435E">
        <w:rPr>
          <w:sz w:val="24"/>
          <w:szCs w:val="24"/>
        </w:rPr>
        <w:t xml:space="preserve"> %. Доля работников, уволенных по причине сокращения в общем числе ранее работавших безработных, </w:t>
      </w:r>
      <w:r>
        <w:rPr>
          <w:sz w:val="24"/>
          <w:szCs w:val="24"/>
        </w:rPr>
        <w:t>увеличи</w:t>
      </w:r>
      <w:r w:rsidRPr="00E3435E">
        <w:rPr>
          <w:sz w:val="24"/>
          <w:szCs w:val="24"/>
        </w:rPr>
        <w:t xml:space="preserve">лась </w:t>
      </w:r>
      <w:r>
        <w:rPr>
          <w:sz w:val="24"/>
          <w:szCs w:val="24"/>
        </w:rPr>
        <w:t xml:space="preserve">на 6,2 п.п. </w:t>
      </w:r>
      <w:r w:rsidRPr="00E3435E">
        <w:rPr>
          <w:sz w:val="24"/>
          <w:szCs w:val="24"/>
        </w:rPr>
        <w:t xml:space="preserve">и составила </w:t>
      </w:r>
      <w:r>
        <w:rPr>
          <w:sz w:val="24"/>
          <w:szCs w:val="24"/>
        </w:rPr>
        <w:t>23,6</w:t>
      </w:r>
      <w:r w:rsidRPr="00E3435E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</w:t>
      </w:r>
      <w:r w:rsidRPr="00E3435E">
        <w:rPr>
          <w:sz w:val="24"/>
          <w:szCs w:val="24"/>
        </w:rPr>
        <w:t>(</w:t>
      </w:r>
      <w:r>
        <w:rPr>
          <w:sz w:val="24"/>
          <w:szCs w:val="24"/>
        </w:rPr>
        <w:t xml:space="preserve">1 полугодие </w:t>
      </w:r>
      <w:r w:rsidRPr="00E3435E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E3435E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E3435E">
        <w:rPr>
          <w:sz w:val="24"/>
          <w:szCs w:val="24"/>
        </w:rPr>
        <w:t xml:space="preserve"> – </w:t>
      </w:r>
      <w:r>
        <w:rPr>
          <w:sz w:val="24"/>
          <w:szCs w:val="24"/>
        </w:rPr>
        <w:t>17,4</w:t>
      </w:r>
      <w:r w:rsidRPr="00E3435E">
        <w:rPr>
          <w:sz w:val="24"/>
          <w:szCs w:val="24"/>
        </w:rPr>
        <w:t xml:space="preserve"> %).</w:t>
      </w:r>
    </w:p>
    <w:p w:rsidR="00A50BA4" w:rsidRDefault="00A50BA4" w:rsidP="00A423B6">
      <w:pPr>
        <w:pStyle w:val="aff1"/>
        <w:spacing w:line="276" w:lineRule="auto"/>
        <w:rPr>
          <w:sz w:val="24"/>
          <w:szCs w:val="24"/>
        </w:rPr>
      </w:pPr>
      <w:r w:rsidRPr="00861936">
        <w:rPr>
          <w:sz w:val="24"/>
          <w:szCs w:val="24"/>
        </w:rPr>
        <w:t xml:space="preserve">По сведениям ГКУСО «Центр занятости населения городского округа Тольятти» за </w:t>
      </w:r>
      <w:r>
        <w:rPr>
          <w:sz w:val="24"/>
          <w:szCs w:val="24"/>
        </w:rPr>
        <w:t>6</w:t>
      </w:r>
      <w:r w:rsidRPr="00861936">
        <w:rPr>
          <w:sz w:val="24"/>
          <w:szCs w:val="24"/>
        </w:rPr>
        <w:t xml:space="preserve"> месяцев текущего года было высвобождено по причине сокращения штатов 2,8 тыс. чел. (171 предприятие), что в 1,8 раза больше прошлогоднего показателя.</w:t>
      </w:r>
      <w:r w:rsidRPr="00E3435E">
        <w:rPr>
          <w:sz w:val="24"/>
          <w:szCs w:val="24"/>
        </w:rPr>
        <w:t xml:space="preserve"> </w:t>
      </w:r>
    </w:p>
    <w:p w:rsidR="00A50BA4" w:rsidRPr="00A955FD" w:rsidRDefault="00A50BA4" w:rsidP="00A423B6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A955FD">
        <w:rPr>
          <w:color w:val="000000"/>
          <w:sz w:val="24"/>
          <w:szCs w:val="24"/>
        </w:rPr>
        <w:t>ысвобождения работников</w:t>
      </w:r>
      <w:r>
        <w:rPr>
          <w:color w:val="000000"/>
          <w:sz w:val="24"/>
          <w:szCs w:val="24"/>
        </w:rPr>
        <w:t xml:space="preserve"> наблюдались не только на</w:t>
      </w:r>
      <w:r w:rsidRPr="00A955FD">
        <w:rPr>
          <w:color w:val="000000"/>
          <w:sz w:val="24"/>
          <w:szCs w:val="24"/>
        </w:rPr>
        <w:t xml:space="preserve"> предприяти</w:t>
      </w:r>
      <w:r>
        <w:rPr>
          <w:color w:val="000000"/>
          <w:sz w:val="24"/>
          <w:szCs w:val="24"/>
        </w:rPr>
        <w:t>ях</w:t>
      </w:r>
      <w:r w:rsidRPr="00A955FD">
        <w:rPr>
          <w:color w:val="000000"/>
          <w:sz w:val="24"/>
          <w:szCs w:val="24"/>
        </w:rPr>
        <w:t xml:space="preserve"> автомобильной отрасли, но и других сфер, прежде всего, финансовой. </w:t>
      </w:r>
    </w:p>
    <w:p w:rsidR="00A50BA4" w:rsidRPr="00584F92" w:rsidRDefault="00A50BA4" w:rsidP="00A423B6">
      <w:pPr>
        <w:pStyle w:val="aff6"/>
        <w:spacing w:line="276" w:lineRule="auto"/>
        <w:ind w:firstLine="709"/>
        <w:jc w:val="both"/>
        <w:rPr>
          <w:b w:val="0"/>
        </w:rPr>
      </w:pPr>
      <w:r w:rsidRPr="00584F92">
        <w:rPr>
          <w:b w:val="0"/>
        </w:rPr>
        <w:t>В то</w:t>
      </w:r>
      <w:r>
        <w:rPr>
          <w:b w:val="0"/>
        </w:rPr>
        <w:t xml:space="preserve"> </w:t>
      </w:r>
      <w:r w:rsidRPr="00584F92">
        <w:rPr>
          <w:b w:val="0"/>
        </w:rPr>
        <w:t>же время в городском округе Тольятти создаются новые рабочие места: только на крупных и средних предприятиях на созданные рабочие места за 1 полугодие 2016 года принято около 0,8 тыс. чел.</w:t>
      </w:r>
    </w:p>
    <w:p w:rsidR="00A50BA4" w:rsidRPr="00584F92" w:rsidRDefault="00A50BA4" w:rsidP="00A423B6">
      <w:pPr>
        <w:pStyle w:val="afc"/>
        <w:numPr>
          <w:ilvl w:val="0"/>
          <w:numId w:val="5"/>
        </w:numPr>
        <w:suppressAutoHyphens w:val="0"/>
        <w:spacing w:line="276" w:lineRule="auto"/>
        <w:ind w:left="0" w:firstLine="709"/>
        <w:contextualSpacing/>
        <w:jc w:val="both"/>
        <w:rPr>
          <w:lang w:eastAsia="ru-RU"/>
        </w:rPr>
      </w:pPr>
      <w:r w:rsidRPr="00584F92">
        <w:rPr>
          <w:lang w:eastAsia="ru-RU"/>
        </w:rPr>
        <w:t>На 01.07.2016</w:t>
      </w:r>
      <w:r>
        <w:rPr>
          <w:lang w:eastAsia="ru-RU"/>
        </w:rPr>
        <w:t xml:space="preserve"> </w:t>
      </w:r>
      <w:r w:rsidRPr="00584F92">
        <w:rPr>
          <w:lang w:eastAsia="ru-RU"/>
        </w:rPr>
        <w:t xml:space="preserve">г. 61 предприятие работало в режиме неполного рабочего времени, временной приостановки работы (простое) (на 01.07.2015 г. - 30 предприятий). Количество работников, работающих в режиме неполной занятости, выросло в 18,1 раза и достигло 48,9 тыс. чел. </w:t>
      </w:r>
    </w:p>
    <w:p w:rsidR="00A50BA4" w:rsidRPr="00AA47D8" w:rsidRDefault="00A50BA4" w:rsidP="00A423B6">
      <w:pPr>
        <w:pStyle w:val="afc"/>
        <w:numPr>
          <w:ilvl w:val="0"/>
          <w:numId w:val="5"/>
        </w:numPr>
        <w:suppressAutoHyphens w:val="0"/>
        <w:spacing w:line="276" w:lineRule="auto"/>
        <w:ind w:left="0" w:firstLine="709"/>
        <w:contextualSpacing/>
        <w:jc w:val="both"/>
        <w:rPr>
          <w:szCs w:val="24"/>
          <w:lang w:eastAsia="ru-RU"/>
        </w:rPr>
      </w:pPr>
      <w:r w:rsidRPr="00AA47D8">
        <w:rPr>
          <w:szCs w:val="24"/>
          <w:lang w:eastAsia="ru-RU"/>
        </w:rPr>
        <w:t>С февраля по июль текущего года ОАО «АВТОВАЗ» работал в режиме 4-х дневной рабочей недели (неполную рабочую неделю было занято 40 тыс. человек). По сведениям пресс-службы компании с 17 октября 2016 года до 19 февраля 2017 года предприятие вновь перейдет на 4-х дневную рабочую неделю. В этом случае существуют риски дальнейшего высвобождения работников с предприятия.</w:t>
      </w:r>
    </w:p>
    <w:p w:rsidR="00A50BA4" w:rsidRPr="00584F92" w:rsidRDefault="00A50BA4" w:rsidP="00A423B6">
      <w:pPr>
        <w:pStyle w:val="af6"/>
        <w:spacing w:line="276" w:lineRule="auto"/>
        <w:ind w:right="0" w:firstLine="709"/>
        <w:rPr>
          <w:szCs w:val="24"/>
        </w:rPr>
      </w:pPr>
      <w:r w:rsidRPr="00584F92">
        <w:rPr>
          <w:szCs w:val="24"/>
        </w:rPr>
        <w:t>Для рынка труда городского округа</w:t>
      </w:r>
      <w:r>
        <w:rPr>
          <w:szCs w:val="24"/>
        </w:rPr>
        <w:t xml:space="preserve"> Тольятти</w:t>
      </w:r>
      <w:r w:rsidRPr="00584F92">
        <w:rPr>
          <w:szCs w:val="24"/>
        </w:rPr>
        <w:t xml:space="preserve"> по-прежнему остаются характерными структурные диспропорции между спросом на рабочую силу и ее предложением. </w:t>
      </w:r>
    </w:p>
    <w:p w:rsidR="00A50BA4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 w:rsidRPr="00584F92">
        <w:rPr>
          <w:sz w:val="24"/>
          <w:szCs w:val="24"/>
        </w:rPr>
        <w:t xml:space="preserve">В городском округе Тольятти активно реализуются </w:t>
      </w:r>
      <w:r w:rsidRPr="00B51B15">
        <w:rPr>
          <w:sz w:val="24"/>
          <w:szCs w:val="24"/>
        </w:rPr>
        <w:t xml:space="preserve">мероприятия по стабилизации ситуации на рынке труда. </w:t>
      </w:r>
    </w:p>
    <w:p w:rsidR="00A50BA4" w:rsidRPr="00584F92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 w:rsidRPr="00B51B15">
        <w:rPr>
          <w:sz w:val="24"/>
          <w:szCs w:val="24"/>
        </w:rPr>
        <w:t>Еженедельно ГКУСО «Центр занятости населения г.о.Тольятти» совместно с мэрией городского округа Тольятти осуществляется мониторинг ситуации на рынке труда города.</w:t>
      </w:r>
    </w:p>
    <w:p w:rsidR="00A50BA4" w:rsidRPr="00F07621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 w:rsidRPr="00B51B15">
        <w:rPr>
          <w:sz w:val="24"/>
          <w:szCs w:val="24"/>
        </w:rPr>
        <w:t>Реализуются мероприятия государственных программ по содействию занятости населения и снижению напряженности на рынке труда</w:t>
      </w:r>
      <w:r>
        <w:rPr>
          <w:sz w:val="24"/>
          <w:szCs w:val="24"/>
        </w:rPr>
        <w:t>, а также мероприятия муниципальных программ</w:t>
      </w:r>
      <w:r w:rsidRPr="00B51B15">
        <w:rPr>
          <w:sz w:val="24"/>
          <w:szCs w:val="24"/>
        </w:rPr>
        <w:t>.</w:t>
      </w:r>
    </w:p>
    <w:p w:rsidR="00A50BA4" w:rsidRPr="00C16689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 w:rsidRPr="00E3435E">
        <w:rPr>
          <w:sz w:val="24"/>
          <w:szCs w:val="24"/>
        </w:rPr>
        <w:t xml:space="preserve">В рамках государственной </w:t>
      </w:r>
      <w:r w:rsidRPr="00B51B15">
        <w:rPr>
          <w:sz w:val="24"/>
          <w:szCs w:val="24"/>
        </w:rPr>
        <w:t>П</w:t>
      </w:r>
      <w:r w:rsidRPr="00E3435E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E3435E">
        <w:rPr>
          <w:sz w:val="24"/>
          <w:szCs w:val="24"/>
        </w:rPr>
        <w:t xml:space="preserve">содействия занятости населения Самарской области на 2014-2020 годы в городском округе Тольятти из числа обратившихся в </w:t>
      </w:r>
      <w:r>
        <w:rPr>
          <w:sz w:val="24"/>
          <w:szCs w:val="24"/>
        </w:rPr>
        <w:t xml:space="preserve">1 полугодии </w:t>
      </w:r>
      <w:r w:rsidRPr="00E3435E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E3435E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E3435E">
        <w:rPr>
          <w:sz w:val="24"/>
          <w:szCs w:val="24"/>
        </w:rPr>
        <w:t xml:space="preserve"> было трудоустроено </w:t>
      </w:r>
      <w:r>
        <w:rPr>
          <w:sz w:val="24"/>
          <w:szCs w:val="24"/>
        </w:rPr>
        <w:t>4,9 тыс.</w:t>
      </w:r>
      <w:r w:rsidRPr="00E3435E">
        <w:rPr>
          <w:sz w:val="24"/>
          <w:szCs w:val="24"/>
        </w:rPr>
        <w:t xml:space="preserve"> </w:t>
      </w:r>
      <w:r w:rsidRPr="0003336A">
        <w:rPr>
          <w:sz w:val="24"/>
          <w:szCs w:val="24"/>
        </w:rPr>
        <w:t>чел., количество созданных рабочих мест составило 2,6 тыс. ед</w:t>
      </w:r>
      <w:r w:rsidRPr="00C16689">
        <w:rPr>
          <w:sz w:val="24"/>
          <w:szCs w:val="24"/>
        </w:rPr>
        <w:t>. (за 8 месяцев 2016 г. – 6,8 тыс. чел. и 2,7 тыс. ед. соответственно).</w:t>
      </w:r>
    </w:p>
    <w:p w:rsidR="00A50BA4" w:rsidRPr="00C16689" w:rsidRDefault="00A50BA4" w:rsidP="00A423B6">
      <w:pPr>
        <w:spacing w:line="276" w:lineRule="auto"/>
        <w:ind w:firstLine="709"/>
        <w:jc w:val="both"/>
        <w:rPr>
          <w:sz w:val="24"/>
          <w:szCs w:val="24"/>
        </w:rPr>
      </w:pPr>
      <w:r w:rsidRPr="00356A06">
        <w:rPr>
          <w:sz w:val="24"/>
          <w:szCs w:val="24"/>
          <w:lang w:eastAsia="ar-SA"/>
        </w:rPr>
        <w:lastRenderedPageBreak/>
        <w:t xml:space="preserve">В рамках Программы дополнительных мероприятий по снижению напряженности на рынке труда Самарской области на 2016 год  количество участников в городском округе Тольятти по итогам 1 полугодия составило 19,6 тыс. чел., количество созданных рабочих мест – более 21,0 тыс. ед. </w:t>
      </w:r>
      <w:r w:rsidRPr="0003336A">
        <w:rPr>
          <w:sz w:val="24"/>
          <w:szCs w:val="24"/>
        </w:rPr>
        <w:t xml:space="preserve">(за 8 месяцев 2016 </w:t>
      </w:r>
      <w:r w:rsidRPr="00C16689">
        <w:rPr>
          <w:sz w:val="24"/>
          <w:szCs w:val="24"/>
        </w:rPr>
        <w:t>г. – 20,5 тыс. чел. и 21,6 тыс. ед. соответственно).</w:t>
      </w:r>
    </w:p>
    <w:p w:rsidR="00A50BA4" w:rsidRPr="00584F92" w:rsidRDefault="00A50BA4" w:rsidP="00A423B6">
      <w:pPr>
        <w:pStyle w:val="af9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85ED9">
        <w:rPr>
          <w:rFonts w:ascii="Times New Roman" w:hAnsi="Times New Roman"/>
          <w:color w:val="000000"/>
          <w:sz w:val="24"/>
          <w:szCs w:val="24"/>
          <w:lang w:eastAsia="en-US"/>
        </w:rPr>
        <w:t>В рамках муниципальной программы городского округа Тольятти «Развитие малого и среднего предпринимательства городского округа Тольятти на 2014-2017 годы»</w:t>
      </w:r>
      <w:r w:rsidR="00DB37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утвержденной постановлением мэрии городского округа Тольятти </w:t>
      </w:r>
      <w:r w:rsidR="00DB37CC" w:rsidRPr="00DB37CC">
        <w:rPr>
          <w:rFonts w:ascii="Times New Roman" w:hAnsi="Times New Roman"/>
          <w:color w:val="000000"/>
          <w:sz w:val="24"/>
          <w:szCs w:val="24"/>
          <w:lang w:eastAsia="en-US"/>
        </w:rPr>
        <w:t>от</w:t>
      </w:r>
      <w:r w:rsidR="00DB37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11.10.2013 № 3150-п/1</w:t>
      </w:r>
      <w:r w:rsidR="00DB37CC" w:rsidRPr="00DB37CC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  <w:r w:rsidR="00DB37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85ED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субъектам малого и среднего предпринимательства </w:t>
      </w:r>
      <w:r w:rsidRPr="00B51B15">
        <w:rPr>
          <w:rFonts w:ascii="Times New Roman" w:hAnsi="Times New Roman"/>
          <w:color w:val="000000"/>
          <w:sz w:val="24"/>
          <w:szCs w:val="24"/>
          <w:lang w:eastAsia="en-US"/>
        </w:rPr>
        <w:t>(далее – СМСП) оказывается</w:t>
      </w:r>
      <w:r w:rsidRPr="00685ED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финансовая, имущественная, информационная и консультационная помощь.</w:t>
      </w:r>
    </w:p>
    <w:p w:rsidR="00A50BA4" w:rsidRPr="00584F92" w:rsidRDefault="00A50BA4" w:rsidP="00A423B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84F92">
        <w:rPr>
          <w:sz w:val="24"/>
          <w:szCs w:val="24"/>
          <w:lang w:eastAsia="ru-RU"/>
        </w:rPr>
        <w:t xml:space="preserve">По итогам проведенного в 1 полугодии 2016 года конкурса  по предоставлению субсидий СМСП в целях возмещения затрат в связи с производством товаров (выполнением работ, оказанием услуг)  заключен договор о предоставлении субсидии на сумму 716,4 тыс. руб. В течение года будет продолжен прием заявок и определение получателей субсидий. </w:t>
      </w:r>
    </w:p>
    <w:p w:rsidR="00A50BA4" w:rsidRPr="00584F92" w:rsidRDefault="00A50BA4" w:rsidP="00A423B6">
      <w:pPr>
        <w:pStyle w:val="aff1"/>
        <w:spacing w:line="276" w:lineRule="auto"/>
        <w:rPr>
          <w:sz w:val="24"/>
          <w:szCs w:val="24"/>
          <w:lang w:eastAsia="ru-RU"/>
        </w:rPr>
      </w:pPr>
      <w:r w:rsidRPr="00584F92">
        <w:rPr>
          <w:sz w:val="24"/>
          <w:szCs w:val="24"/>
          <w:lang w:eastAsia="ru-RU"/>
        </w:rPr>
        <w:t>За 6 месяцев 2016 года Муниципальным Фондом поддержки и развития субъектов малого и среднего предпринимательства городского округа Тольятти «Бизнес-Гарант» выдано 20 займов на сумму 16</w:t>
      </w:r>
      <w:r>
        <w:rPr>
          <w:sz w:val="24"/>
          <w:szCs w:val="24"/>
          <w:lang w:eastAsia="ru-RU"/>
        </w:rPr>
        <w:t xml:space="preserve"> </w:t>
      </w:r>
      <w:r w:rsidRPr="00584F92">
        <w:rPr>
          <w:sz w:val="24"/>
          <w:szCs w:val="24"/>
          <w:lang w:eastAsia="ru-RU"/>
        </w:rPr>
        <w:t>252,5 тыс. руб.</w:t>
      </w:r>
    </w:p>
    <w:p w:rsidR="00A50BA4" w:rsidRPr="00584F92" w:rsidRDefault="00A50BA4" w:rsidP="00A423B6">
      <w:pPr>
        <w:pStyle w:val="aff1"/>
        <w:spacing w:line="276" w:lineRule="auto"/>
        <w:rPr>
          <w:sz w:val="24"/>
          <w:szCs w:val="24"/>
          <w:lang w:eastAsia="ru-RU"/>
        </w:rPr>
      </w:pPr>
      <w:r w:rsidRPr="00584F92">
        <w:rPr>
          <w:sz w:val="24"/>
          <w:szCs w:val="24"/>
          <w:lang w:eastAsia="ru-RU"/>
        </w:rPr>
        <w:t>В целях развития инфраструктуры поддержки субъектов малого и среднего предпринимательства по состоянию на 01.07.2015 г. в бизнес-инкубаторе был размещен 41 резидент, количество рабочих мест, созданных резидентами – 228 ед.</w:t>
      </w:r>
    </w:p>
    <w:p w:rsidR="00A50BA4" w:rsidRPr="00584F92" w:rsidRDefault="00A50BA4" w:rsidP="00A423B6">
      <w:pPr>
        <w:pStyle w:val="aff1"/>
        <w:spacing w:line="276" w:lineRule="auto"/>
        <w:rPr>
          <w:sz w:val="24"/>
          <w:szCs w:val="24"/>
          <w:lang w:eastAsia="ru-RU"/>
        </w:rPr>
      </w:pPr>
      <w:r w:rsidRPr="00584F92">
        <w:rPr>
          <w:sz w:val="24"/>
          <w:szCs w:val="24"/>
          <w:lang w:eastAsia="ru-RU"/>
        </w:rPr>
        <w:t xml:space="preserve">Помимо этого, СМСП оказывается информационно-консультационная поддержка предпринимателей и лиц планирующих заниматься предпринимательской деятельностью, по вопросам налогообложения, бухгалтерского учета, развития предприятия, бизнес-планирования, участия в программах поддержки предпринимательства, местных и областных конкурсах. </w:t>
      </w:r>
    </w:p>
    <w:p w:rsidR="00A50BA4" w:rsidRDefault="00A50BA4" w:rsidP="00A423B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84F92">
        <w:rPr>
          <w:sz w:val="24"/>
          <w:szCs w:val="24"/>
          <w:lang w:eastAsia="ru-RU"/>
        </w:rPr>
        <w:t>В ходе реализации муниципальной программы по организации работы с детьми и молодежью в городском округе Тольятти «Молодежь Тольятти» на 2014-2020 гг. за 1 полугодие 2016 года трудоустроено на   временные работы 0,7 тыс. несовершеннолетних граждан (74,6</w:t>
      </w:r>
      <w:r>
        <w:rPr>
          <w:sz w:val="24"/>
          <w:szCs w:val="24"/>
          <w:lang w:eastAsia="ru-RU"/>
        </w:rPr>
        <w:t xml:space="preserve"> </w:t>
      </w:r>
      <w:r w:rsidRPr="00584F92">
        <w:rPr>
          <w:sz w:val="24"/>
          <w:szCs w:val="24"/>
          <w:lang w:eastAsia="ru-RU"/>
        </w:rPr>
        <w:t>% от годового планового показателя).</w:t>
      </w:r>
    </w:p>
    <w:p w:rsidR="00A50BA4" w:rsidRPr="00144617" w:rsidRDefault="00A50BA4" w:rsidP="00144617">
      <w:pPr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Pr="00144617">
        <w:rPr>
          <w:sz w:val="24"/>
          <w:szCs w:val="24"/>
          <w:lang w:eastAsia="ru-RU"/>
        </w:rPr>
        <w:t xml:space="preserve">еализуются мероприятия Комплексного инвестиционного плана модернизации городского округа Тольятти Самарской области на 2010-2020 годы (КИП). Всего с начала реализации КИП было создано более 15 тыс. постоянных рабочих мест и 47 тыс. временных. </w:t>
      </w:r>
    </w:p>
    <w:p w:rsidR="00A50BA4" w:rsidRDefault="00A50BA4" w:rsidP="00AD29B1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84F92">
        <w:rPr>
          <w:sz w:val="24"/>
          <w:szCs w:val="24"/>
          <w:lang w:eastAsia="ru-RU"/>
        </w:rPr>
        <w:t xml:space="preserve">Мэрия </w:t>
      </w:r>
      <w:r w:rsidRPr="00B51B15">
        <w:rPr>
          <w:sz w:val="24"/>
          <w:szCs w:val="24"/>
          <w:lang w:eastAsia="ru-RU"/>
        </w:rPr>
        <w:t>городского округа Тольятти</w:t>
      </w:r>
      <w:r w:rsidRPr="00584F92">
        <w:rPr>
          <w:sz w:val="24"/>
          <w:szCs w:val="24"/>
          <w:lang w:eastAsia="ru-RU"/>
        </w:rPr>
        <w:t xml:space="preserve"> участвует в реализации Межведомственного плана действий по минимизации кризисных явлений в социальной и экономической сферах городского округа Тольятти Самарской области в 2016 году, в рамках которого мэрией оказывается консультационная помощь и осуществляются меры социальной поддержки гражданам, находящихся в трудной жизненной ситуации, чрезвычайных обстоятельствах (в частности, работникам </w:t>
      </w:r>
      <w:r>
        <w:rPr>
          <w:sz w:val="24"/>
          <w:szCs w:val="24"/>
          <w:lang w:eastAsia="ru-RU"/>
        </w:rPr>
        <w:t>О</w:t>
      </w:r>
      <w:r w:rsidRPr="00584F92">
        <w:rPr>
          <w:sz w:val="24"/>
          <w:szCs w:val="24"/>
          <w:lang w:eastAsia="ru-RU"/>
        </w:rPr>
        <w:t>АО «АвтоВАЗагрегат» и его дочерних компаний).</w:t>
      </w:r>
    </w:p>
    <w:p w:rsidR="00A50BA4" w:rsidRDefault="00A50BA4" w:rsidP="00AD29B1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84F92">
        <w:rPr>
          <w:sz w:val="24"/>
          <w:szCs w:val="24"/>
          <w:lang w:eastAsia="ru-RU"/>
        </w:rPr>
        <w:t xml:space="preserve">В мэрии городского округа Тольятти регулярно проводятся заседания Координационного совета и городской трехсторонней комиссии по регулированию социально-трудовых отношений, где рассматриваются текущая ситуация на рынке труда, </w:t>
      </w:r>
      <w:r w:rsidRPr="00584F92">
        <w:rPr>
          <w:sz w:val="24"/>
          <w:szCs w:val="24"/>
          <w:lang w:eastAsia="ru-RU"/>
        </w:rPr>
        <w:lastRenderedPageBreak/>
        <w:t xml:space="preserve">а также вопросы, связанные с реализацией мероприятий, направленных на снижение напряженности на рынке труда </w:t>
      </w:r>
      <w:r w:rsidRPr="00B51B15">
        <w:rPr>
          <w:sz w:val="24"/>
          <w:szCs w:val="24"/>
          <w:lang w:eastAsia="ru-RU"/>
        </w:rPr>
        <w:t>городского округа Тольятти</w:t>
      </w:r>
      <w:r w:rsidRPr="00584F92">
        <w:rPr>
          <w:sz w:val="24"/>
          <w:szCs w:val="24"/>
          <w:lang w:eastAsia="ru-RU"/>
        </w:rPr>
        <w:t>.</w:t>
      </w:r>
    </w:p>
    <w:p w:rsidR="00A50BA4" w:rsidRPr="00584F92" w:rsidRDefault="00A50BA4" w:rsidP="00392DFF">
      <w:pPr>
        <w:pStyle w:val="230"/>
        <w:keepNext/>
        <w:keepLines/>
        <w:spacing w:after="0" w:line="276" w:lineRule="auto"/>
        <w:ind w:left="0"/>
        <w:jc w:val="both"/>
        <w:rPr>
          <w:bCs/>
          <w:sz w:val="24"/>
          <w:szCs w:val="24"/>
          <w:highlight w:val="yellow"/>
        </w:rPr>
      </w:pPr>
    </w:p>
    <w:p w:rsidR="00A50BA4" w:rsidRDefault="00A50BA4" w:rsidP="008E79C1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</w:rPr>
      </w:pPr>
      <w:r w:rsidRPr="00AF452D">
        <w:rPr>
          <w:bCs/>
          <w:sz w:val="24"/>
          <w:szCs w:val="24"/>
        </w:rPr>
        <w:t xml:space="preserve">Ожидаемое выполнение прогнозных показателей </w:t>
      </w:r>
    </w:p>
    <w:p w:rsidR="00A50BA4" w:rsidRDefault="00A50BA4" w:rsidP="008E79C1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</w:rPr>
      </w:pPr>
      <w:r w:rsidRPr="00AF452D">
        <w:rPr>
          <w:bCs/>
          <w:sz w:val="24"/>
          <w:szCs w:val="24"/>
        </w:rPr>
        <w:t>по разделу</w:t>
      </w:r>
      <w:r>
        <w:rPr>
          <w:bCs/>
          <w:sz w:val="24"/>
          <w:szCs w:val="24"/>
        </w:rPr>
        <w:t xml:space="preserve"> </w:t>
      </w:r>
      <w:r w:rsidRPr="00AF452D">
        <w:rPr>
          <w:bCs/>
          <w:sz w:val="24"/>
          <w:szCs w:val="24"/>
        </w:rPr>
        <w:t>«Занятость населения»</w:t>
      </w:r>
      <w:r>
        <w:rPr>
          <w:bCs/>
          <w:sz w:val="24"/>
          <w:szCs w:val="24"/>
        </w:rPr>
        <w:t xml:space="preserve"> на 2016 год</w:t>
      </w:r>
    </w:p>
    <w:p w:rsidR="00A50BA4" w:rsidRDefault="00A50BA4" w:rsidP="00392DFF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</w:rPr>
      </w:pPr>
    </w:p>
    <w:tbl>
      <w:tblPr>
        <w:tblW w:w="9872" w:type="dxa"/>
        <w:tblInd w:w="-125" w:type="dxa"/>
        <w:tblLayout w:type="fixed"/>
        <w:tblLook w:val="0000"/>
      </w:tblPr>
      <w:tblGrid>
        <w:gridCol w:w="4061"/>
        <w:gridCol w:w="1275"/>
        <w:gridCol w:w="1701"/>
        <w:gridCol w:w="1418"/>
        <w:gridCol w:w="1417"/>
      </w:tblGrid>
      <w:tr w:rsidR="00A50BA4" w:rsidRPr="00BE0E7B" w:rsidTr="002546FC">
        <w:trPr>
          <w:cantSplit/>
          <w:tblHeader/>
        </w:trPr>
        <w:tc>
          <w:tcPr>
            <w:tcW w:w="4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F452D" w:rsidRDefault="00A50BA4" w:rsidP="008C2B8E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F452D" w:rsidRDefault="00A50BA4" w:rsidP="008C2B8E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Ед. изм.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2546FC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 xml:space="preserve">Прогноз </w:t>
            </w:r>
            <w:r>
              <w:rPr>
                <w:sz w:val="24"/>
                <w:szCs w:val="24"/>
              </w:rPr>
              <w:t xml:space="preserve">на </w:t>
            </w: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6E74" w:rsidRDefault="00A50BA4" w:rsidP="002546FC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 (оценка)</w:t>
            </w:r>
          </w:p>
        </w:tc>
      </w:tr>
      <w:tr w:rsidR="00A50BA4" w:rsidRPr="00BE0E7B" w:rsidTr="009A3B1B">
        <w:trPr>
          <w:cantSplit/>
          <w:tblHeader/>
        </w:trPr>
        <w:tc>
          <w:tcPr>
            <w:tcW w:w="4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F452D" w:rsidRDefault="00A50BA4" w:rsidP="008C2B8E">
            <w:pPr>
              <w:keepNext/>
              <w:keepLines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F452D" w:rsidRDefault="00A50BA4" w:rsidP="008C2B8E">
            <w:pPr>
              <w:keepNext/>
              <w:keepLines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F452D" w:rsidRDefault="00A50BA4" w:rsidP="00CF1CB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1 вариант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F452D" w:rsidRDefault="00A50BA4" w:rsidP="00CF1CB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2 вариант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1B585E" w:rsidRDefault="00A50BA4" w:rsidP="008C2B8E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0BA4" w:rsidRPr="00BE0E7B" w:rsidTr="009A3B1B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AF452D" w:rsidRDefault="00A50BA4" w:rsidP="00CF1CBC">
            <w:pPr>
              <w:pStyle w:val="230"/>
              <w:keepNext/>
              <w:keepLines/>
              <w:spacing w:after="0" w:line="240" w:lineRule="auto"/>
              <w:ind w:left="0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Трудовые ресурсы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F452D" w:rsidRDefault="00A50BA4" w:rsidP="00CF1CBC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F452D" w:rsidRDefault="00A50BA4" w:rsidP="00CF1CBC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463,0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F452D" w:rsidRDefault="00A50BA4" w:rsidP="00CF1CBC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467,0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1B585E" w:rsidRDefault="00A50BA4" w:rsidP="00CF1CBC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B585E">
              <w:rPr>
                <w:sz w:val="24"/>
                <w:szCs w:val="24"/>
              </w:rPr>
              <w:t>462,0</w:t>
            </w:r>
          </w:p>
        </w:tc>
      </w:tr>
      <w:tr w:rsidR="00A50BA4" w:rsidRPr="00BE0E7B" w:rsidTr="0001660B">
        <w:trPr>
          <w:trHeight w:val="311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AF452D" w:rsidRDefault="00A50BA4" w:rsidP="00CF1CBC">
            <w:pPr>
              <w:pStyle w:val="230"/>
              <w:keepNext/>
              <w:keepLines/>
              <w:spacing w:after="0" w:line="240" w:lineRule="auto"/>
              <w:ind w:left="0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Занятые в экономике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F452D" w:rsidRDefault="00A50BA4" w:rsidP="00CF1CBC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F452D" w:rsidRDefault="00A50BA4" w:rsidP="00CF1CBC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348,0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F452D" w:rsidRDefault="00A50BA4" w:rsidP="00CF1CBC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353,0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1B585E" w:rsidRDefault="00A50BA4" w:rsidP="00CF1CBC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B585E">
              <w:rPr>
                <w:sz w:val="24"/>
                <w:szCs w:val="24"/>
              </w:rPr>
              <w:t>346,5</w:t>
            </w:r>
          </w:p>
        </w:tc>
      </w:tr>
      <w:tr w:rsidR="00A50BA4" w:rsidRPr="00BE0E7B" w:rsidTr="009A3B1B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AF452D" w:rsidRDefault="00A50BA4" w:rsidP="00CF1CBC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Среднегодовая численность безработных, зарегистрированных в службе занятости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F452D" w:rsidRDefault="00A50BA4" w:rsidP="00CF1CBC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F452D" w:rsidRDefault="00A50BA4" w:rsidP="00CF1CBC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F452D" w:rsidRDefault="00A50BA4" w:rsidP="00CF1CBC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1B585E" w:rsidRDefault="00A50BA4" w:rsidP="00177095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B585E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0</w:t>
            </w:r>
          </w:p>
        </w:tc>
      </w:tr>
      <w:tr w:rsidR="00A50BA4" w:rsidRPr="00BE0E7B" w:rsidTr="009A3B1B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AF452D" w:rsidRDefault="00A50BA4" w:rsidP="00CF1CBC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Уровень официальной безработицы относительно населения в трудоспособном возрасте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F452D" w:rsidRDefault="00A50BA4" w:rsidP="00CF1CBC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F452D" w:rsidRDefault="00A50BA4" w:rsidP="00CF1CBC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2,20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F452D" w:rsidRDefault="00A50BA4" w:rsidP="00CF1CBC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F452D">
              <w:rPr>
                <w:sz w:val="24"/>
                <w:szCs w:val="24"/>
              </w:rPr>
              <w:t>1,88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1B585E" w:rsidRDefault="00A50BA4" w:rsidP="00177095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B585E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A50BA4" w:rsidRDefault="00A50BA4" w:rsidP="00A423B6">
      <w:pPr>
        <w:pStyle w:val="af6"/>
        <w:tabs>
          <w:tab w:val="left" w:pos="1134"/>
        </w:tabs>
        <w:spacing w:line="276" w:lineRule="auto"/>
        <w:ind w:right="0" w:firstLine="709"/>
        <w:rPr>
          <w:szCs w:val="24"/>
        </w:rPr>
      </w:pPr>
    </w:p>
    <w:p w:rsidR="00A50BA4" w:rsidRPr="00334ED8" w:rsidRDefault="00A50BA4" w:rsidP="00A423B6">
      <w:pPr>
        <w:pStyle w:val="af6"/>
        <w:tabs>
          <w:tab w:val="left" w:pos="1134"/>
        </w:tabs>
        <w:spacing w:line="276" w:lineRule="auto"/>
        <w:ind w:right="0" w:firstLine="709"/>
        <w:rPr>
          <w:szCs w:val="24"/>
        </w:rPr>
      </w:pPr>
      <w:r w:rsidRPr="00AF452D">
        <w:rPr>
          <w:szCs w:val="24"/>
        </w:rPr>
        <w:t xml:space="preserve">На основании оперативных данных статистики, прогнозное значение численности </w:t>
      </w:r>
      <w:r w:rsidRPr="00334ED8">
        <w:rPr>
          <w:szCs w:val="24"/>
        </w:rPr>
        <w:t xml:space="preserve">трудовых ресурсов на 2016 год составляло не менее 463,0 тыс. чел. Однако,  с учетом скорректированного органами статистики  оценочного значения показателя за 2015 год, оценочное значение показателя за 2016 год </w:t>
      </w:r>
      <w:r w:rsidR="00DC30D0">
        <w:rPr>
          <w:szCs w:val="24"/>
        </w:rPr>
        <w:t>снижено до 462,0 тыс.</w:t>
      </w:r>
      <w:r w:rsidR="00A82442">
        <w:rPr>
          <w:szCs w:val="24"/>
        </w:rPr>
        <w:t xml:space="preserve"> </w:t>
      </w:r>
      <w:r w:rsidR="00DC30D0">
        <w:rPr>
          <w:szCs w:val="24"/>
        </w:rPr>
        <w:t>чел.</w:t>
      </w:r>
    </w:p>
    <w:p w:rsidR="00A50BA4" w:rsidRPr="00334ED8" w:rsidRDefault="00A50BA4" w:rsidP="00A82442">
      <w:pPr>
        <w:pStyle w:val="af6"/>
        <w:tabs>
          <w:tab w:val="left" w:pos="1134"/>
        </w:tabs>
        <w:spacing w:line="276" w:lineRule="auto"/>
        <w:ind w:right="0" w:firstLine="709"/>
        <w:rPr>
          <w:bCs/>
          <w:szCs w:val="24"/>
        </w:rPr>
      </w:pPr>
      <w:r>
        <w:rPr>
          <w:szCs w:val="24"/>
        </w:rPr>
        <w:t>Основным фактором, влияющим на</w:t>
      </w:r>
      <w:r w:rsidRPr="00334ED8">
        <w:rPr>
          <w:szCs w:val="24"/>
        </w:rPr>
        <w:t xml:space="preserve"> </w:t>
      </w:r>
      <w:r>
        <w:rPr>
          <w:szCs w:val="24"/>
        </w:rPr>
        <w:t xml:space="preserve">снижение </w:t>
      </w:r>
      <w:r w:rsidRPr="00334ED8">
        <w:rPr>
          <w:szCs w:val="24"/>
        </w:rPr>
        <w:t>численности трудовых ресурсов городского округа в 2016 году</w:t>
      </w:r>
      <w:r>
        <w:rPr>
          <w:szCs w:val="24"/>
        </w:rPr>
        <w:t>,</w:t>
      </w:r>
      <w:r w:rsidRPr="00334ED8">
        <w:rPr>
          <w:szCs w:val="24"/>
        </w:rPr>
        <w:t xml:space="preserve"> </w:t>
      </w:r>
      <w:r>
        <w:rPr>
          <w:szCs w:val="24"/>
        </w:rPr>
        <w:t xml:space="preserve">является </w:t>
      </w:r>
      <w:r w:rsidRPr="00334ED8">
        <w:rPr>
          <w:szCs w:val="24"/>
        </w:rPr>
        <w:t xml:space="preserve">тенденция сокращения численности населения </w:t>
      </w:r>
      <w:r w:rsidRPr="00584FD3">
        <w:rPr>
          <w:szCs w:val="24"/>
        </w:rPr>
        <w:t xml:space="preserve">трудоспособного возраста (на 9,0 тыс. чел., или 2,1 %). </w:t>
      </w:r>
    </w:p>
    <w:p w:rsidR="00A50BA4" w:rsidRPr="00882D04" w:rsidRDefault="00A50BA4" w:rsidP="00A423B6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882D04">
        <w:rPr>
          <w:sz w:val="24"/>
          <w:szCs w:val="24"/>
        </w:rPr>
        <w:t xml:space="preserve">Аналогичная ситуация сложилась по показателю  «Число занятых в экономике», значение которого в 2016 году ожидалось на уровне 348,0-353,0 тыс. чел. в зависимости от варианта. В результате ухудшения состояния на рынке труда,  данный показатель </w:t>
      </w:r>
      <w:r>
        <w:rPr>
          <w:sz w:val="24"/>
          <w:szCs w:val="24"/>
        </w:rPr>
        <w:t>на</w:t>
      </w:r>
      <w:r w:rsidRPr="00882D04">
        <w:rPr>
          <w:sz w:val="24"/>
          <w:szCs w:val="24"/>
        </w:rPr>
        <w:t xml:space="preserve"> 2016 год, по оценке, составит 346,5  тыс. чел., что на 0,4 % ниже уровня первого варианта прогноза.</w:t>
      </w:r>
    </w:p>
    <w:p w:rsidR="00A50BA4" w:rsidRPr="00AF452D" w:rsidRDefault="00A50BA4" w:rsidP="00A423B6">
      <w:pPr>
        <w:pStyle w:val="320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AF452D">
        <w:rPr>
          <w:sz w:val="24"/>
          <w:szCs w:val="24"/>
        </w:rPr>
        <w:t>Реализация  мер активной политики занятости населения городского округа Тольятти  будет  способствовать сдерживанию темпов роста регистрируемой безработицы и стабилизации  ситуации в сфере занятости</w:t>
      </w:r>
      <w:r>
        <w:rPr>
          <w:sz w:val="24"/>
          <w:szCs w:val="24"/>
        </w:rPr>
        <w:t xml:space="preserve"> </w:t>
      </w:r>
      <w:r w:rsidRPr="00B51B15">
        <w:rPr>
          <w:sz w:val="24"/>
          <w:szCs w:val="24"/>
        </w:rPr>
        <w:t>до конца 2016 года.</w:t>
      </w:r>
      <w:r w:rsidRPr="00AF452D">
        <w:rPr>
          <w:sz w:val="24"/>
          <w:szCs w:val="24"/>
        </w:rPr>
        <w:t xml:space="preserve"> </w:t>
      </w:r>
    </w:p>
    <w:p w:rsidR="00A50BA4" w:rsidRPr="00174517" w:rsidRDefault="00A50BA4" w:rsidP="00A423B6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174517">
        <w:rPr>
          <w:sz w:val="24"/>
          <w:szCs w:val="24"/>
        </w:rPr>
        <w:t>По оценке, за 2016 год численность зарегистрированных безработных в среднегодовом исчислении может увеличиться относительно 2015 года с 6,1 тыс. чел. до 9,</w:t>
      </w:r>
      <w:r>
        <w:rPr>
          <w:sz w:val="24"/>
          <w:szCs w:val="24"/>
        </w:rPr>
        <w:t>0</w:t>
      </w:r>
      <w:r w:rsidRPr="00174517">
        <w:rPr>
          <w:sz w:val="24"/>
          <w:szCs w:val="24"/>
        </w:rPr>
        <w:t xml:space="preserve"> тыс. чел. При этом  среднегодовой уровень безработицы ожидается порядка – 2,</w:t>
      </w:r>
      <w:r>
        <w:rPr>
          <w:sz w:val="24"/>
          <w:szCs w:val="24"/>
        </w:rPr>
        <w:t>1</w:t>
      </w:r>
      <w:r w:rsidRPr="00174517">
        <w:rPr>
          <w:sz w:val="24"/>
          <w:szCs w:val="24"/>
        </w:rPr>
        <w:t xml:space="preserve"> %. </w:t>
      </w:r>
    </w:p>
    <w:p w:rsidR="00A50BA4" w:rsidRDefault="00A50BA4" w:rsidP="009A3B1B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</w:p>
    <w:p w:rsidR="00A50BA4" w:rsidRDefault="00A50BA4" w:rsidP="009A3B1B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  <w:r w:rsidRPr="00963947">
        <w:rPr>
          <w:b/>
          <w:sz w:val="24"/>
          <w:szCs w:val="24"/>
        </w:rPr>
        <w:t>Заработная плата</w:t>
      </w:r>
    </w:p>
    <w:p w:rsidR="00A50BA4" w:rsidRDefault="00A50BA4" w:rsidP="009A3B1B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</w:p>
    <w:p w:rsidR="00A50BA4" w:rsidRPr="00682D70" w:rsidRDefault="00A50BA4" w:rsidP="00A423B6">
      <w:pPr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887D53">
        <w:rPr>
          <w:b/>
          <w:sz w:val="24"/>
          <w:szCs w:val="24"/>
        </w:rPr>
        <w:t>Среднемесячная начисленная заработная плата</w:t>
      </w:r>
      <w:r w:rsidRPr="00887D53">
        <w:rPr>
          <w:sz w:val="24"/>
          <w:szCs w:val="24"/>
        </w:rPr>
        <w:t xml:space="preserve"> </w:t>
      </w:r>
      <w:r w:rsidRPr="00887D53">
        <w:rPr>
          <w:sz w:val="24"/>
          <w:szCs w:val="24"/>
          <w:lang w:eastAsia="ar-SA"/>
        </w:rPr>
        <w:t>работников</w:t>
      </w:r>
      <w:r w:rsidR="00A82442">
        <w:rPr>
          <w:sz w:val="24"/>
          <w:szCs w:val="24"/>
          <w:lang w:eastAsia="ar-SA"/>
        </w:rPr>
        <w:t>, не относящихся к субъектам малого предпринимательства,</w:t>
      </w:r>
      <w:r w:rsidRPr="00887D53">
        <w:rPr>
          <w:sz w:val="24"/>
          <w:szCs w:val="24"/>
          <w:lang w:eastAsia="ar-SA"/>
        </w:rPr>
        <w:t xml:space="preserve"> городского округа Тольятти по итогам 1 полугодия 2016 года увеличилась по сравнению с аналогичным показателем 2015 года на 3,0 % и составила 28</w:t>
      </w:r>
      <w:r>
        <w:rPr>
          <w:sz w:val="24"/>
          <w:szCs w:val="24"/>
          <w:lang w:eastAsia="ar-SA"/>
        </w:rPr>
        <w:t xml:space="preserve"> 791</w:t>
      </w:r>
      <w:r w:rsidRPr="00887D53">
        <w:rPr>
          <w:sz w:val="24"/>
          <w:szCs w:val="24"/>
          <w:lang w:eastAsia="ar-SA"/>
        </w:rPr>
        <w:t xml:space="preserve"> руб. Реальная заработная плата за январь-июнь </w:t>
      </w:r>
      <w:r w:rsidRPr="00887D53">
        <w:rPr>
          <w:sz w:val="24"/>
          <w:szCs w:val="24"/>
        </w:rPr>
        <w:t>текущего</w:t>
      </w:r>
      <w:r w:rsidRPr="00887D53">
        <w:rPr>
          <w:sz w:val="24"/>
          <w:szCs w:val="24"/>
          <w:lang w:eastAsia="ar-SA"/>
        </w:rPr>
        <w:t xml:space="preserve"> года, относительно аналогичного периода </w:t>
      </w:r>
      <w:r>
        <w:rPr>
          <w:sz w:val="24"/>
          <w:szCs w:val="24"/>
          <w:lang w:eastAsia="ar-SA"/>
        </w:rPr>
        <w:t>прошлого</w:t>
      </w:r>
      <w:r w:rsidRPr="00887D53">
        <w:rPr>
          <w:sz w:val="24"/>
          <w:szCs w:val="24"/>
          <w:lang w:eastAsia="ar-SA"/>
        </w:rPr>
        <w:t xml:space="preserve"> года </w:t>
      </w:r>
      <w:r>
        <w:rPr>
          <w:sz w:val="24"/>
          <w:szCs w:val="24"/>
          <w:lang w:eastAsia="ar-SA"/>
        </w:rPr>
        <w:t>уменьш</w:t>
      </w:r>
      <w:r w:rsidRPr="00887D53">
        <w:rPr>
          <w:sz w:val="24"/>
          <w:szCs w:val="24"/>
          <w:lang w:eastAsia="ar-SA"/>
        </w:rPr>
        <w:t>илась на 4,1 %.</w:t>
      </w:r>
      <w:r w:rsidRPr="00682D70">
        <w:rPr>
          <w:sz w:val="24"/>
          <w:szCs w:val="24"/>
          <w:lang w:eastAsia="ar-SA"/>
        </w:rPr>
        <w:t xml:space="preserve"> </w:t>
      </w:r>
    </w:p>
    <w:p w:rsidR="00A50BA4" w:rsidRPr="00887D53" w:rsidRDefault="00A50BA4" w:rsidP="00AD4E99">
      <w:pPr>
        <w:pStyle w:val="231"/>
        <w:spacing w:after="0" w:line="276" w:lineRule="auto"/>
        <w:ind w:firstLine="709"/>
        <w:jc w:val="both"/>
        <w:rPr>
          <w:sz w:val="24"/>
          <w:szCs w:val="24"/>
        </w:rPr>
      </w:pPr>
      <w:r w:rsidRPr="00887D53">
        <w:rPr>
          <w:sz w:val="24"/>
          <w:szCs w:val="24"/>
        </w:rPr>
        <w:t xml:space="preserve">Как и в прошлые периоды, дифференциация среднемесячной заработной платы в различных секторах экономики сохраняется высокой. </w:t>
      </w:r>
    </w:p>
    <w:p w:rsidR="00A50BA4" w:rsidRPr="00EE0689" w:rsidRDefault="00A50BA4" w:rsidP="00AD4E99">
      <w:pPr>
        <w:pStyle w:val="aff1"/>
        <w:spacing w:line="276" w:lineRule="auto"/>
        <w:rPr>
          <w:sz w:val="24"/>
          <w:szCs w:val="24"/>
        </w:rPr>
      </w:pPr>
      <w:r w:rsidRPr="00EE0689">
        <w:rPr>
          <w:sz w:val="24"/>
          <w:szCs w:val="24"/>
        </w:rPr>
        <w:t xml:space="preserve">По итогам 1 полугодия текущего года химическое производство, является самым </w:t>
      </w:r>
      <w:r w:rsidRPr="00EE0689">
        <w:rPr>
          <w:sz w:val="24"/>
          <w:szCs w:val="24"/>
        </w:rPr>
        <w:lastRenderedPageBreak/>
        <w:t xml:space="preserve">оплачиваемым видом деятельности. Среднемесячная заработная плата в этом виде деятельности превысила среднемесячную заработную плату в целом по городскому округу в 1,5 раза. Также лидером по уровню заработной платы, является финансовая деятельность (в 1,3 раза) и деятельность по операциям с недвижимым имуществом, арендой и предоставлением услуг (в 1,2 раза). </w:t>
      </w:r>
    </w:p>
    <w:p w:rsidR="00A50BA4" w:rsidRPr="00EE0689" w:rsidRDefault="00A50BA4" w:rsidP="00AD4E99">
      <w:pPr>
        <w:pStyle w:val="aff1"/>
        <w:spacing w:line="276" w:lineRule="auto"/>
        <w:rPr>
          <w:sz w:val="24"/>
          <w:szCs w:val="24"/>
        </w:rPr>
      </w:pPr>
      <w:r w:rsidRPr="00EE0689">
        <w:rPr>
          <w:sz w:val="24"/>
          <w:szCs w:val="24"/>
        </w:rPr>
        <w:t xml:space="preserve">В аутсайдерах по уровню заработной платы по итогам 1 полугодия 2016 года </w:t>
      </w:r>
      <w:r>
        <w:rPr>
          <w:sz w:val="24"/>
          <w:szCs w:val="24"/>
        </w:rPr>
        <w:t>стали</w:t>
      </w:r>
      <w:r w:rsidRPr="00EE0689">
        <w:rPr>
          <w:sz w:val="24"/>
          <w:szCs w:val="24"/>
        </w:rPr>
        <w:t xml:space="preserve"> предприятия текстильно</w:t>
      </w:r>
      <w:r>
        <w:rPr>
          <w:sz w:val="24"/>
          <w:szCs w:val="24"/>
        </w:rPr>
        <w:t>го</w:t>
      </w:r>
      <w:r w:rsidRPr="00EE0689">
        <w:rPr>
          <w:sz w:val="24"/>
          <w:szCs w:val="24"/>
        </w:rPr>
        <w:t xml:space="preserve"> и швейно</w:t>
      </w:r>
      <w:r>
        <w:rPr>
          <w:sz w:val="24"/>
          <w:szCs w:val="24"/>
        </w:rPr>
        <w:t>го</w:t>
      </w:r>
      <w:r w:rsidRPr="00EE0689">
        <w:rPr>
          <w:sz w:val="24"/>
          <w:szCs w:val="24"/>
        </w:rPr>
        <w:t xml:space="preserve"> производств</w:t>
      </w:r>
      <w:r>
        <w:rPr>
          <w:sz w:val="24"/>
          <w:szCs w:val="24"/>
        </w:rPr>
        <w:t>а</w:t>
      </w:r>
      <w:r w:rsidRPr="00EE0689">
        <w:rPr>
          <w:sz w:val="24"/>
          <w:szCs w:val="24"/>
        </w:rPr>
        <w:t xml:space="preserve"> (55,2 % от среднемесячной заработной платы по </w:t>
      </w:r>
      <w:r>
        <w:rPr>
          <w:sz w:val="24"/>
          <w:szCs w:val="24"/>
        </w:rPr>
        <w:t>городу</w:t>
      </w:r>
      <w:r w:rsidRPr="00EE0689">
        <w:rPr>
          <w:sz w:val="24"/>
          <w:szCs w:val="24"/>
        </w:rPr>
        <w:t>), производ</w:t>
      </w:r>
      <w:r>
        <w:rPr>
          <w:sz w:val="24"/>
          <w:szCs w:val="24"/>
        </w:rPr>
        <w:t>ители</w:t>
      </w:r>
      <w:r w:rsidRPr="00EE0689">
        <w:rPr>
          <w:sz w:val="24"/>
          <w:szCs w:val="24"/>
        </w:rPr>
        <w:t xml:space="preserve"> пищевых продуктов (69,2 %), гостиницы и рестораны (65,8 %), а также </w:t>
      </w:r>
      <w:r>
        <w:rPr>
          <w:sz w:val="24"/>
          <w:szCs w:val="24"/>
        </w:rPr>
        <w:t xml:space="preserve">организации </w:t>
      </w:r>
      <w:r w:rsidRPr="00EE0689">
        <w:rPr>
          <w:sz w:val="24"/>
          <w:szCs w:val="24"/>
        </w:rPr>
        <w:t>образования (79,3</w:t>
      </w:r>
      <w:r>
        <w:rPr>
          <w:sz w:val="24"/>
          <w:szCs w:val="24"/>
        </w:rPr>
        <w:t xml:space="preserve"> </w:t>
      </w:r>
      <w:r w:rsidRPr="00EE0689">
        <w:rPr>
          <w:sz w:val="24"/>
          <w:szCs w:val="24"/>
        </w:rPr>
        <w:t>%).</w:t>
      </w:r>
    </w:p>
    <w:p w:rsidR="00A50BA4" w:rsidRPr="004B150E" w:rsidRDefault="00A50BA4" w:rsidP="00AD4E99">
      <w:pPr>
        <w:pStyle w:val="aff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4B150E">
        <w:rPr>
          <w:sz w:val="24"/>
          <w:szCs w:val="24"/>
        </w:rPr>
        <w:t>о сравнению с аналогичным периодом прошлого года номинальная начисленная заработная плата выросла практически во всех наблюдаемых видах экономической деятельности за исключением предприятий оптовой и розничной торговли (темп роста – 98,6%) и здравоохранения (темп роста – 98,8 %).</w:t>
      </w:r>
    </w:p>
    <w:p w:rsidR="00A50BA4" w:rsidRPr="00D17ED4" w:rsidRDefault="00A50BA4" w:rsidP="00AD4E99">
      <w:pPr>
        <w:pStyle w:val="aff1"/>
        <w:spacing w:line="276" w:lineRule="auto"/>
        <w:rPr>
          <w:sz w:val="24"/>
          <w:szCs w:val="24"/>
        </w:rPr>
      </w:pPr>
      <w:r w:rsidRPr="00D17ED4">
        <w:rPr>
          <w:sz w:val="24"/>
          <w:szCs w:val="24"/>
        </w:rPr>
        <w:t xml:space="preserve">Наиболее высокие темпы роста заработной платы отмечаются на предприятиях строительства (128,2 %), </w:t>
      </w:r>
      <w:r w:rsidRPr="000A35E6">
        <w:rPr>
          <w:sz w:val="24"/>
          <w:szCs w:val="24"/>
        </w:rPr>
        <w:t>осуществляющих операции</w:t>
      </w:r>
      <w:r w:rsidRPr="00D17ED4">
        <w:rPr>
          <w:sz w:val="24"/>
          <w:szCs w:val="24"/>
        </w:rPr>
        <w:t xml:space="preserve"> с недвижимым имуществом, арендой и предоставлением услуг (107,9 %). </w:t>
      </w:r>
    </w:p>
    <w:p w:rsidR="00A50BA4" w:rsidRPr="00D17ED4" w:rsidRDefault="00A50BA4" w:rsidP="00AD4E99">
      <w:pPr>
        <w:pStyle w:val="aff1"/>
        <w:spacing w:line="276" w:lineRule="auto"/>
        <w:rPr>
          <w:sz w:val="24"/>
          <w:szCs w:val="24"/>
        </w:rPr>
      </w:pPr>
      <w:r w:rsidRPr="00D17ED4">
        <w:rPr>
          <w:sz w:val="24"/>
          <w:szCs w:val="24"/>
        </w:rPr>
        <w:t xml:space="preserve">На предприятиях обрабатывающих производств номинальная начисленная заработная плата выросла на 4,7 % (в производстве транспортных средств и оборудования – 100,8 %, в химическом производстве – 113,3 %). </w:t>
      </w:r>
    </w:p>
    <w:p w:rsidR="00A50BA4" w:rsidRPr="0091529C" w:rsidRDefault="00A50BA4" w:rsidP="00AD4E99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91529C">
        <w:rPr>
          <w:sz w:val="24"/>
          <w:szCs w:val="24"/>
        </w:rPr>
        <w:t>Следует отметить, что по данным ОАО «АВТОВАЗ», деятельность которого по-прежнему оказывает существенное влияние на экономику города, все сотрудники предприятия (за исключением топ менеджеров) с 1 июля 2016 года получили прибавку к окладам и тарифным ставкам в размере 6 %. Темп роста среднемесячной заработной платы одного работника градообразующего предприятия по итогам 2016 года ожидается на уровне 102,0 %.</w:t>
      </w:r>
    </w:p>
    <w:p w:rsidR="00A50BA4" w:rsidRPr="00EE0689" w:rsidRDefault="00A50BA4" w:rsidP="00AD4E99">
      <w:pPr>
        <w:pStyle w:val="aff1"/>
        <w:spacing w:line="276" w:lineRule="auto"/>
        <w:rPr>
          <w:sz w:val="24"/>
          <w:szCs w:val="24"/>
        </w:rPr>
      </w:pPr>
      <w:r w:rsidRPr="00EE0689">
        <w:rPr>
          <w:sz w:val="24"/>
          <w:szCs w:val="24"/>
        </w:rPr>
        <w:t xml:space="preserve">В целях поэтапного доведения минимального размера оплаты труда до величины прожиточного минимума трудоспособного населения в соответствии со ст.1 Федерального закона от 02.06.2016 г. № 164-ФЗ минимальный размер оплаты труда (МРОТ) с 1 июля 2016 года увеличился на 20,9 % (с 6204 руб. до 7500 руб.). </w:t>
      </w:r>
    </w:p>
    <w:p w:rsidR="00A50BA4" w:rsidRDefault="00A50BA4" w:rsidP="00392DFF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</w:rPr>
      </w:pPr>
    </w:p>
    <w:p w:rsidR="00A50BA4" w:rsidRDefault="00A50BA4" w:rsidP="00392DFF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</w:rPr>
      </w:pPr>
      <w:r w:rsidRPr="00C72521">
        <w:rPr>
          <w:bCs/>
          <w:sz w:val="24"/>
          <w:szCs w:val="24"/>
        </w:rPr>
        <w:t>Ожидаемое выполнение прогнозных показателей по разделу «</w:t>
      </w:r>
      <w:r>
        <w:rPr>
          <w:bCs/>
          <w:sz w:val="24"/>
          <w:szCs w:val="24"/>
        </w:rPr>
        <w:t>З</w:t>
      </w:r>
      <w:r w:rsidRPr="00C72521">
        <w:rPr>
          <w:bCs/>
          <w:sz w:val="24"/>
          <w:szCs w:val="24"/>
        </w:rPr>
        <w:t>аработная плата»</w:t>
      </w:r>
      <w:r>
        <w:rPr>
          <w:bCs/>
          <w:sz w:val="24"/>
          <w:szCs w:val="24"/>
        </w:rPr>
        <w:t xml:space="preserve">                на 2016 год</w:t>
      </w:r>
    </w:p>
    <w:p w:rsidR="00A50BA4" w:rsidRDefault="00A50BA4" w:rsidP="00392DFF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1134"/>
        <w:gridCol w:w="1417"/>
        <w:gridCol w:w="1418"/>
        <w:gridCol w:w="1559"/>
      </w:tblGrid>
      <w:tr w:rsidR="00A50BA4" w:rsidRPr="00C72521" w:rsidTr="008E79C1">
        <w:trPr>
          <w:tblHeader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72521" w:rsidRDefault="00A50BA4" w:rsidP="008C2B8E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72521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72521" w:rsidRDefault="00A50BA4" w:rsidP="008C2B8E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72521">
              <w:rPr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8E79C1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 xml:space="preserve">Прогноз </w:t>
            </w:r>
            <w:r>
              <w:rPr>
                <w:sz w:val="24"/>
                <w:szCs w:val="24"/>
              </w:rPr>
              <w:t xml:space="preserve">на </w:t>
            </w: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6E74" w:rsidRDefault="00A50BA4" w:rsidP="008E79C1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 (оценка)</w:t>
            </w:r>
          </w:p>
        </w:tc>
      </w:tr>
      <w:tr w:rsidR="00A50BA4" w:rsidRPr="00C72521" w:rsidTr="003B59D5">
        <w:trPr>
          <w:trHeight w:val="539"/>
          <w:tblHeader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72521" w:rsidRDefault="00A50BA4" w:rsidP="008C2B8E">
            <w:pPr>
              <w:pStyle w:val="230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72521" w:rsidRDefault="00A50BA4" w:rsidP="008C2B8E">
            <w:pPr>
              <w:pStyle w:val="230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72521" w:rsidRDefault="00A50BA4" w:rsidP="008C2B8E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72521">
              <w:rPr>
                <w:sz w:val="24"/>
                <w:szCs w:val="24"/>
              </w:rPr>
              <w:t>1 вариант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72521" w:rsidRDefault="00A50BA4" w:rsidP="008C2B8E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72521">
              <w:rPr>
                <w:sz w:val="24"/>
                <w:szCs w:val="24"/>
              </w:rPr>
              <w:t>2 вариант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C72521" w:rsidRDefault="00A50BA4" w:rsidP="008C2B8E">
            <w:pPr>
              <w:pStyle w:val="230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0BA4" w:rsidRPr="00C72521" w:rsidTr="003B59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C72521" w:rsidRDefault="00A50BA4" w:rsidP="00CF1CBC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C72521">
              <w:rPr>
                <w:sz w:val="24"/>
                <w:szCs w:val="24"/>
              </w:rPr>
              <w:t>Среднемесячная начисленная заработная плата работников организаций, не относящихся к субъектам малого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72521" w:rsidRDefault="00A50BA4" w:rsidP="00CF1CBC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72521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72521" w:rsidRDefault="00A50BA4" w:rsidP="00CF1CBC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7252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C72521"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72521" w:rsidRDefault="00A50BA4" w:rsidP="00CF1CBC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7252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C72521">
              <w:rPr>
                <w:sz w:val="24"/>
                <w:szCs w:val="24"/>
              </w:rPr>
              <w:t>080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C72521" w:rsidRDefault="00A50BA4" w:rsidP="00CF1CBC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7252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C72521">
              <w:rPr>
                <w:sz w:val="24"/>
                <w:szCs w:val="24"/>
              </w:rPr>
              <w:t>460</w:t>
            </w:r>
          </w:p>
        </w:tc>
      </w:tr>
      <w:tr w:rsidR="00A50BA4" w:rsidRPr="00BE0E7B" w:rsidTr="003B59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C72521" w:rsidRDefault="00A50BA4" w:rsidP="00CF1CBC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C72521">
              <w:rPr>
                <w:sz w:val="24"/>
                <w:szCs w:val="24"/>
              </w:rPr>
              <w:t>Реальная среднемесячная начисленная заработная плата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72521" w:rsidRDefault="00A50BA4" w:rsidP="00CF1CBC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7252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72521" w:rsidRDefault="00A50BA4" w:rsidP="00CF1CBC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72521">
              <w:rPr>
                <w:sz w:val="24"/>
                <w:szCs w:val="24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72521" w:rsidRDefault="00A50BA4" w:rsidP="00CF1CBC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72521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C72521" w:rsidRDefault="00A50BA4" w:rsidP="00CF1CBC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72521">
              <w:rPr>
                <w:sz w:val="24"/>
                <w:szCs w:val="24"/>
              </w:rPr>
              <w:t>95,9</w:t>
            </w:r>
          </w:p>
        </w:tc>
      </w:tr>
    </w:tbl>
    <w:p w:rsidR="00A50BA4" w:rsidRDefault="00A50BA4" w:rsidP="00A423B6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</w:p>
    <w:p w:rsidR="00A82442" w:rsidRDefault="00A50BA4" w:rsidP="00AD4E99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E4137C">
        <w:rPr>
          <w:sz w:val="24"/>
          <w:szCs w:val="24"/>
        </w:rPr>
        <w:t>В соответствии с прогнозом</w:t>
      </w:r>
      <w:r>
        <w:rPr>
          <w:sz w:val="24"/>
          <w:szCs w:val="24"/>
        </w:rPr>
        <w:t>, разработанным в 2015 году,</w:t>
      </w:r>
      <w:r w:rsidRPr="00E4137C">
        <w:rPr>
          <w:sz w:val="24"/>
          <w:szCs w:val="24"/>
        </w:rPr>
        <w:t xml:space="preserve"> показатель среднемесячной заработной платы в 2016 году ожидался в размере 30 360,0 по первому </w:t>
      </w:r>
      <w:r w:rsidRPr="00E4137C">
        <w:rPr>
          <w:sz w:val="24"/>
          <w:szCs w:val="24"/>
        </w:rPr>
        <w:lastRenderedPageBreak/>
        <w:t>варианту, 31 080,0 руб. – по второму, реальная заработная плата 97,7</w:t>
      </w:r>
      <w:r w:rsidR="00A82442">
        <w:rPr>
          <w:sz w:val="24"/>
          <w:szCs w:val="24"/>
        </w:rPr>
        <w:t xml:space="preserve"> % </w:t>
      </w:r>
      <w:r w:rsidRPr="00E4137C">
        <w:rPr>
          <w:sz w:val="24"/>
          <w:szCs w:val="24"/>
        </w:rPr>
        <w:t>-</w:t>
      </w:r>
      <w:r w:rsidR="00A82442">
        <w:rPr>
          <w:sz w:val="24"/>
          <w:szCs w:val="24"/>
        </w:rPr>
        <w:t xml:space="preserve"> </w:t>
      </w:r>
      <w:r w:rsidRPr="00E4137C">
        <w:rPr>
          <w:sz w:val="24"/>
          <w:szCs w:val="24"/>
        </w:rPr>
        <w:t>100,0</w:t>
      </w:r>
      <w:r w:rsidR="00A82442">
        <w:rPr>
          <w:sz w:val="24"/>
          <w:szCs w:val="24"/>
        </w:rPr>
        <w:t xml:space="preserve"> </w:t>
      </w:r>
      <w:r w:rsidRPr="00E4137C">
        <w:rPr>
          <w:sz w:val="24"/>
          <w:szCs w:val="24"/>
        </w:rPr>
        <w:t xml:space="preserve">% (соответственно по вариантам). </w:t>
      </w:r>
    </w:p>
    <w:p w:rsidR="00A50BA4" w:rsidRPr="00E4137C" w:rsidRDefault="00A50BA4" w:rsidP="00AD4E99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E4137C">
        <w:rPr>
          <w:sz w:val="24"/>
          <w:szCs w:val="24"/>
        </w:rPr>
        <w:t>Учитывая сложившийся темп роста номинальной начисленной среднемесячной заработной платы работников организаций, не относящихся к субъектам малого предпринимательства, за 1 полугодие 2016 года (103,0 %), а также, и</w:t>
      </w:r>
      <w:r w:rsidRPr="00E4137C">
        <w:rPr>
          <w:bCs/>
          <w:sz w:val="24"/>
          <w:szCs w:val="24"/>
        </w:rPr>
        <w:t>сходя из сложившихся условий экономического развития городского округа,</w:t>
      </w:r>
      <w:r w:rsidRPr="00E4137C">
        <w:rPr>
          <w:sz w:val="24"/>
          <w:szCs w:val="24"/>
        </w:rPr>
        <w:t xml:space="preserve"> оценка показателя номинальной начисленной среднемесячной заработной платы в целом за 2016 год составляет 30 460,0 руб. (102,6 %). Оценка реальной заработной платы скорректирована на индекс потребительских цен до 95,9 %. </w:t>
      </w:r>
    </w:p>
    <w:p w:rsidR="00A50BA4" w:rsidRPr="00A44276" w:rsidRDefault="00A50BA4" w:rsidP="00385EA4">
      <w:pPr>
        <w:pStyle w:val="2a"/>
        <w:spacing w:after="0" w:line="276" w:lineRule="auto"/>
        <w:ind w:firstLine="709"/>
        <w:jc w:val="both"/>
        <w:rPr>
          <w:sz w:val="24"/>
          <w:szCs w:val="24"/>
          <w:highlight w:val="yellow"/>
        </w:rPr>
      </w:pPr>
    </w:p>
    <w:p w:rsidR="00A50BA4" w:rsidRDefault="00A50BA4" w:rsidP="00FC515F">
      <w:pPr>
        <w:pStyle w:val="2a"/>
        <w:spacing w:after="0" w:line="276" w:lineRule="auto"/>
        <w:jc w:val="center"/>
        <w:rPr>
          <w:b/>
          <w:sz w:val="24"/>
          <w:szCs w:val="24"/>
        </w:rPr>
      </w:pPr>
      <w:r w:rsidRPr="00BB2021">
        <w:rPr>
          <w:b/>
          <w:sz w:val="24"/>
          <w:szCs w:val="24"/>
        </w:rPr>
        <w:t>Транспорт</w:t>
      </w:r>
    </w:p>
    <w:p w:rsidR="00A50BA4" w:rsidRPr="009B703E" w:rsidRDefault="00A50BA4" w:rsidP="000420C4">
      <w:pPr>
        <w:pStyle w:val="2a"/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A50BA4" w:rsidRDefault="00A50BA4" w:rsidP="00AD4E99">
      <w:pPr>
        <w:pStyle w:val="aff1"/>
        <w:spacing w:line="276" w:lineRule="auto"/>
        <w:rPr>
          <w:sz w:val="24"/>
          <w:szCs w:val="24"/>
        </w:rPr>
      </w:pPr>
      <w:r w:rsidRPr="003F57D1">
        <w:rPr>
          <w:sz w:val="24"/>
          <w:szCs w:val="24"/>
        </w:rPr>
        <w:t xml:space="preserve">По данным органов статистики </w:t>
      </w:r>
      <w:r w:rsidRPr="00E51EEA">
        <w:rPr>
          <w:sz w:val="24"/>
          <w:szCs w:val="24"/>
        </w:rPr>
        <w:t>за 1 полугодие 2016 года наблюдается рост показателей работы грузового и пассажирского транспорта: грузооборот на коммерческой</w:t>
      </w:r>
      <w:r w:rsidRPr="003F57D1">
        <w:rPr>
          <w:sz w:val="24"/>
          <w:szCs w:val="24"/>
        </w:rPr>
        <w:t xml:space="preserve"> основе (без трубопроводного транспорта) вырос на 20,9 % </w:t>
      </w:r>
      <w:r>
        <w:rPr>
          <w:sz w:val="24"/>
          <w:szCs w:val="24"/>
        </w:rPr>
        <w:t xml:space="preserve">к аналогичному периоду 2015 года </w:t>
      </w:r>
      <w:r w:rsidRPr="003F57D1">
        <w:rPr>
          <w:sz w:val="24"/>
          <w:szCs w:val="24"/>
        </w:rPr>
        <w:t xml:space="preserve">и составил 84,1 млн. т. км. </w:t>
      </w:r>
    </w:p>
    <w:p w:rsidR="00A50BA4" w:rsidRPr="00D65FAC" w:rsidRDefault="00A50BA4" w:rsidP="00AD4E99">
      <w:pPr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392DFF">
        <w:rPr>
          <w:sz w:val="24"/>
          <w:szCs w:val="24"/>
        </w:rPr>
        <w:t xml:space="preserve">Рост грузооборота обусловлен увеличением средней дальности перевозок крупных транспортных предприятий города (на 74 % к соответствующему периоду прошлого года). </w:t>
      </w:r>
    </w:p>
    <w:p w:rsidR="00A50BA4" w:rsidRPr="007115AC" w:rsidRDefault="00A50BA4" w:rsidP="00AD4E99">
      <w:pPr>
        <w:suppressAutoHyphens w:val="0"/>
        <w:spacing w:line="276" w:lineRule="auto"/>
        <w:ind w:firstLine="709"/>
        <w:jc w:val="both"/>
        <w:rPr>
          <w:sz w:val="24"/>
          <w:szCs w:val="24"/>
        </w:rPr>
      </w:pPr>
      <w:r w:rsidRPr="007115AC">
        <w:rPr>
          <w:sz w:val="24"/>
          <w:szCs w:val="24"/>
        </w:rPr>
        <w:t xml:space="preserve">Регулярные перевозки пассажиров в </w:t>
      </w:r>
      <w:r>
        <w:rPr>
          <w:sz w:val="24"/>
          <w:szCs w:val="24"/>
        </w:rPr>
        <w:t>городском округе Тольятти в январе – июне 2016 года</w:t>
      </w:r>
      <w:r w:rsidRPr="007115AC">
        <w:rPr>
          <w:sz w:val="24"/>
          <w:szCs w:val="24"/>
        </w:rPr>
        <w:t xml:space="preserve"> осуществляли 2 муниципальных предприятия по 45 маршрутам, а также 12 организаций коммерческого транспорта по 35 маршрутам. Перевозки по внутримуниципальным маршрутам осуществляются по договорам об осуществлении регулярных перевозок по внутримуниципальным маршрутам городского округа Тольятти, заключенным на 5 лет (с 01.01.2015 г. по 31.12.2019 г.).</w:t>
      </w:r>
      <w:r>
        <w:rPr>
          <w:sz w:val="24"/>
          <w:szCs w:val="24"/>
        </w:rPr>
        <w:t xml:space="preserve"> </w:t>
      </w:r>
    </w:p>
    <w:p w:rsidR="00A50BA4" w:rsidRDefault="00A50BA4" w:rsidP="00AD4E99">
      <w:pPr>
        <w:pStyle w:val="aff1"/>
        <w:spacing w:line="276" w:lineRule="auto"/>
        <w:rPr>
          <w:sz w:val="24"/>
          <w:szCs w:val="24"/>
        </w:rPr>
      </w:pPr>
      <w:r w:rsidRPr="00976ADE">
        <w:rPr>
          <w:sz w:val="24"/>
          <w:szCs w:val="24"/>
        </w:rPr>
        <w:t>Пассажирооборот автобусов общего пользования в отчетном периоде увеличился на 1,8 % к январю – июню 2015 году до 548,4 млн. пасс/км.</w:t>
      </w:r>
    </w:p>
    <w:p w:rsidR="00A50BA4" w:rsidRPr="00976ADE" w:rsidRDefault="00A50BA4" w:rsidP="00AD4E99">
      <w:pPr>
        <w:pStyle w:val="aff1"/>
        <w:spacing w:line="276" w:lineRule="auto"/>
        <w:rPr>
          <w:sz w:val="24"/>
          <w:szCs w:val="24"/>
        </w:rPr>
      </w:pPr>
      <w:r w:rsidRPr="00976ADE">
        <w:rPr>
          <w:sz w:val="24"/>
          <w:szCs w:val="24"/>
        </w:rPr>
        <w:t xml:space="preserve">На </w:t>
      </w:r>
      <w:r>
        <w:rPr>
          <w:sz w:val="24"/>
          <w:szCs w:val="24"/>
        </w:rPr>
        <w:t>01.07.2016 г.</w:t>
      </w:r>
      <w:r w:rsidRPr="00976ADE">
        <w:rPr>
          <w:sz w:val="24"/>
          <w:szCs w:val="24"/>
        </w:rPr>
        <w:t xml:space="preserve"> на балансе муниципальных пассажирских предприятиях находятся 340 автобусов и 100 троллейбусов, из них полностью начислена амортизация на 122 автобуса и 69 троллейбусов.</w:t>
      </w:r>
    </w:p>
    <w:p w:rsidR="00A50BA4" w:rsidRPr="00976ADE" w:rsidRDefault="00A50BA4" w:rsidP="00AD4E99">
      <w:pPr>
        <w:pStyle w:val="aff1"/>
        <w:spacing w:line="276" w:lineRule="auto"/>
        <w:rPr>
          <w:sz w:val="24"/>
          <w:szCs w:val="24"/>
        </w:rPr>
      </w:pPr>
      <w:r w:rsidRPr="00976ADE">
        <w:rPr>
          <w:sz w:val="24"/>
          <w:szCs w:val="24"/>
        </w:rPr>
        <w:t>В рамках заключенного в декабре 2015 года муниципального контракта об оказании услуг</w:t>
      </w:r>
      <w:r>
        <w:rPr>
          <w:sz w:val="24"/>
          <w:szCs w:val="24"/>
        </w:rPr>
        <w:t xml:space="preserve"> по финансовой аренде (лизингу)</w:t>
      </w:r>
      <w:r w:rsidRPr="00976ADE">
        <w:rPr>
          <w:sz w:val="24"/>
          <w:szCs w:val="24"/>
        </w:rPr>
        <w:t>, работающих на газомоторном топливе с низким уровнем пола, оборудованные аппарелями и местами для крепления инвалидных колясок, средствами визуаль</w:t>
      </w:r>
      <w:r>
        <w:rPr>
          <w:sz w:val="24"/>
          <w:szCs w:val="24"/>
        </w:rPr>
        <w:t>ного и светового оповещения, в 1 полугодии</w:t>
      </w:r>
      <w:r w:rsidRPr="00976ADE">
        <w:rPr>
          <w:sz w:val="24"/>
          <w:szCs w:val="24"/>
        </w:rPr>
        <w:t xml:space="preserve"> 2016 года поступили </w:t>
      </w:r>
      <w:r>
        <w:rPr>
          <w:sz w:val="24"/>
          <w:szCs w:val="24"/>
        </w:rPr>
        <w:t xml:space="preserve">60 </w:t>
      </w:r>
      <w:r w:rsidRPr="00976ADE">
        <w:rPr>
          <w:sz w:val="24"/>
          <w:szCs w:val="24"/>
        </w:rPr>
        <w:t>автобусов.</w:t>
      </w:r>
    </w:p>
    <w:p w:rsidR="00A50BA4" w:rsidRPr="00976ADE" w:rsidRDefault="00A50BA4" w:rsidP="00AD4E99">
      <w:pPr>
        <w:pStyle w:val="aff1"/>
        <w:spacing w:line="276" w:lineRule="auto"/>
        <w:rPr>
          <w:sz w:val="24"/>
          <w:szCs w:val="24"/>
        </w:rPr>
      </w:pPr>
      <w:r w:rsidRPr="00976ADE">
        <w:rPr>
          <w:sz w:val="24"/>
          <w:szCs w:val="24"/>
        </w:rPr>
        <w:t xml:space="preserve">Выполнение расписания движения маршрутными автобусами организациями всех форм собственности </w:t>
      </w:r>
      <w:r w:rsidRPr="000A35E6">
        <w:rPr>
          <w:sz w:val="24"/>
          <w:szCs w:val="24"/>
        </w:rPr>
        <w:t>в 1 полугодии 2016 года</w:t>
      </w:r>
      <w:r w:rsidRPr="00976ADE">
        <w:rPr>
          <w:sz w:val="24"/>
          <w:szCs w:val="24"/>
        </w:rPr>
        <w:t xml:space="preserve"> составило 88,5 %. </w:t>
      </w:r>
    </w:p>
    <w:p w:rsidR="00A50BA4" w:rsidRDefault="00A50BA4" w:rsidP="00AD4E99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н</w:t>
      </w:r>
      <w:r w:rsidRPr="003F57D1">
        <w:rPr>
          <w:sz w:val="24"/>
          <w:szCs w:val="24"/>
        </w:rPr>
        <w:t>егативн</w:t>
      </w:r>
      <w:r>
        <w:rPr>
          <w:sz w:val="24"/>
          <w:szCs w:val="24"/>
        </w:rPr>
        <w:t>ую</w:t>
      </w:r>
      <w:r w:rsidRPr="003F57D1">
        <w:rPr>
          <w:sz w:val="24"/>
          <w:szCs w:val="24"/>
        </w:rPr>
        <w:t xml:space="preserve"> тенденци</w:t>
      </w:r>
      <w:r>
        <w:rPr>
          <w:sz w:val="24"/>
          <w:szCs w:val="24"/>
        </w:rPr>
        <w:t>ю</w:t>
      </w:r>
      <w:r w:rsidRPr="003F57D1">
        <w:rPr>
          <w:sz w:val="24"/>
          <w:szCs w:val="24"/>
        </w:rPr>
        <w:t>, сложивш</w:t>
      </w:r>
      <w:r>
        <w:rPr>
          <w:sz w:val="24"/>
          <w:szCs w:val="24"/>
        </w:rPr>
        <w:t>ую</w:t>
      </w:r>
      <w:r w:rsidRPr="003F57D1">
        <w:rPr>
          <w:sz w:val="24"/>
          <w:szCs w:val="24"/>
        </w:rPr>
        <w:t xml:space="preserve">ся за последние несколько лет в основных секторах экономики, </w:t>
      </w:r>
      <w:r>
        <w:rPr>
          <w:sz w:val="24"/>
          <w:szCs w:val="24"/>
        </w:rPr>
        <w:t>которая</w:t>
      </w:r>
      <w:r w:rsidRPr="003F57D1">
        <w:rPr>
          <w:sz w:val="24"/>
          <w:szCs w:val="24"/>
        </w:rPr>
        <w:t xml:space="preserve"> оказыва</w:t>
      </w:r>
      <w:r>
        <w:rPr>
          <w:sz w:val="24"/>
          <w:szCs w:val="24"/>
        </w:rPr>
        <w:t>ет</w:t>
      </w:r>
      <w:r w:rsidRPr="003F57D1">
        <w:rPr>
          <w:sz w:val="24"/>
          <w:szCs w:val="24"/>
        </w:rPr>
        <w:t xml:space="preserve"> неблагоприятное влияние на деятельность пред</w:t>
      </w:r>
      <w:r>
        <w:rPr>
          <w:sz w:val="24"/>
          <w:szCs w:val="24"/>
        </w:rPr>
        <w:t>приятий транспортного комплекса, к</w:t>
      </w:r>
      <w:r w:rsidRPr="006E37A9">
        <w:rPr>
          <w:sz w:val="24"/>
          <w:szCs w:val="24"/>
        </w:rPr>
        <w:t xml:space="preserve"> концу 2016 года ожидается </w:t>
      </w:r>
      <w:r>
        <w:rPr>
          <w:sz w:val="24"/>
          <w:szCs w:val="24"/>
        </w:rPr>
        <w:t>увеличение</w:t>
      </w:r>
      <w:r w:rsidRPr="006E37A9">
        <w:rPr>
          <w:sz w:val="24"/>
          <w:szCs w:val="24"/>
        </w:rPr>
        <w:t xml:space="preserve"> грузооборота и </w:t>
      </w:r>
      <w:r w:rsidR="00AD4E99">
        <w:rPr>
          <w:sz w:val="24"/>
          <w:szCs w:val="24"/>
        </w:rPr>
        <w:t>пассажирооборота</w:t>
      </w:r>
      <w:r w:rsidRPr="006E37A9">
        <w:rPr>
          <w:sz w:val="24"/>
          <w:szCs w:val="24"/>
        </w:rPr>
        <w:t>: по оценке, грузооборот составит 1</w:t>
      </w:r>
      <w:r>
        <w:rPr>
          <w:sz w:val="24"/>
          <w:szCs w:val="24"/>
        </w:rPr>
        <w:t>68,0</w:t>
      </w:r>
      <w:r w:rsidRPr="006E37A9">
        <w:rPr>
          <w:sz w:val="24"/>
          <w:szCs w:val="24"/>
        </w:rPr>
        <w:t xml:space="preserve"> млн. т. км (</w:t>
      </w:r>
      <w:r>
        <w:rPr>
          <w:sz w:val="24"/>
          <w:szCs w:val="24"/>
        </w:rPr>
        <w:t>рост</w:t>
      </w:r>
      <w:r w:rsidRPr="006E37A9">
        <w:rPr>
          <w:sz w:val="24"/>
          <w:szCs w:val="24"/>
        </w:rPr>
        <w:t xml:space="preserve"> на </w:t>
      </w:r>
      <w:r>
        <w:rPr>
          <w:sz w:val="24"/>
          <w:szCs w:val="24"/>
        </w:rPr>
        <w:t>10</w:t>
      </w:r>
      <w:r w:rsidRPr="006E37A9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6E37A9">
        <w:rPr>
          <w:sz w:val="24"/>
          <w:szCs w:val="24"/>
        </w:rPr>
        <w:t xml:space="preserve"> % к 2015 году), пассажирооборот – 1</w:t>
      </w:r>
      <w:r>
        <w:rPr>
          <w:sz w:val="24"/>
          <w:szCs w:val="24"/>
        </w:rPr>
        <w:t>100,0</w:t>
      </w:r>
      <w:r w:rsidRPr="006E37A9">
        <w:rPr>
          <w:sz w:val="24"/>
          <w:szCs w:val="24"/>
        </w:rPr>
        <w:t xml:space="preserve"> млн. пасс. км (</w:t>
      </w:r>
      <w:r>
        <w:rPr>
          <w:sz w:val="24"/>
          <w:szCs w:val="24"/>
        </w:rPr>
        <w:t>рост</w:t>
      </w:r>
      <w:r w:rsidRPr="006E37A9">
        <w:rPr>
          <w:sz w:val="24"/>
          <w:szCs w:val="24"/>
        </w:rPr>
        <w:t xml:space="preserve"> на </w:t>
      </w:r>
      <w:r>
        <w:rPr>
          <w:sz w:val="24"/>
          <w:szCs w:val="24"/>
        </w:rPr>
        <w:t>0,</w:t>
      </w:r>
      <w:r w:rsidRPr="006E37A9">
        <w:rPr>
          <w:sz w:val="24"/>
          <w:szCs w:val="24"/>
        </w:rPr>
        <w:t>6 %).</w:t>
      </w:r>
    </w:p>
    <w:p w:rsidR="00A50BA4" w:rsidRPr="006E37A9" w:rsidRDefault="00A50BA4" w:rsidP="009B703E">
      <w:pPr>
        <w:pStyle w:val="aff1"/>
        <w:spacing w:line="276" w:lineRule="auto"/>
        <w:rPr>
          <w:sz w:val="24"/>
          <w:szCs w:val="24"/>
        </w:rPr>
      </w:pPr>
    </w:p>
    <w:p w:rsidR="00AF628F" w:rsidRDefault="00AF628F" w:rsidP="00CF1CBC">
      <w:pPr>
        <w:spacing w:line="276" w:lineRule="auto"/>
        <w:ind w:firstLine="709"/>
        <w:jc w:val="center"/>
        <w:rPr>
          <w:sz w:val="24"/>
          <w:szCs w:val="24"/>
        </w:rPr>
      </w:pPr>
    </w:p>
    <w:p w:rsidR="0001660B" w:rsidRDefault="0001660B" w:rsidP="00CF1CBC">
      <w:pPr>
        <w:spacing w:line="276" w:lineRule="auto"/>
        <w:ind w:firstLine="709"/>
        <w:jc w:val="center"/>
        <w:rPr>
          <w:sz w:val="24"/>
          <w:szCs w:val="24"/>
        </w:rPr>
      </w:pPr>
    </w:p>
    <w:p w:rsidR="0001660B" w:rsidRDefault="0001660B" w:rsidP="00CF1CBC">
      <w:pPr>
        <w:spacing w:line="276" w:lineRule="auto"/>
        <w:ind w:firstLine="709"/>
        <w:jc w:val="center"/>
        <w:rPr>
          <w:sz w:val="24"/>
          <w:szCs w:val="24"/>
        </w:rPr>
      </w:pPr>
    </w:p>
    <w:p w:rsidR="00A50BA4" w:rsidRDefault="00A50BA4" w:rsidP="00CF1CBC">
      <w:pPr>
        <w:spacing w:line="276" w:lineRule="auto"/>
        <w:ind w:firstLine="709"/>
        <w:jc w:val="center"/>
        <w:rPr>
          <w:sz w:val="24"/>
          <w:szCs w:val="24"/>
        </w:rPr>
      </w:pPr>
      <w:r w:rsidRPr="006E37A9">
        <w:rPr>
          <w:sz w:val="24"/>
          <w:szCs w:val="24"/>
        </w:rPr>
        <w:lastRenderedPageBreak/>
        <w:t xml:space="preserve">Ожидаемое выполнение прогнозных показателей </w:t>
      </w:r>
      <w:r>
        <w:rPr>
          <w:sz w:val="24"/>
          <w:szCs w:val="24"/>
        </w:rPr>
        <w:t xml:space="preserve">по разделу «Транспорт» </w:t>
      </w:r>
    </w:p>
    <w:p w:rsidR="00A50BA4" w:rsidRDefault="00A50BA4" w:rsidP="00CF1CBC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6E37A9">
        <w:rPr>
          <w:sz w:val="24"/>
          <w:szCs w:val="24"/>
        </w:rPr>
        <w:t xml:space="preserve"> 2016 </w:t>
      </w:r>
      <w:r>
        <w:rPr>
          <w:sz w:val="24"/>
          <w:szCs w:val="24"/>
        </w:rPr>
        <w:t>год</w:t>
      </w:r>
    </w:p>
    <w:p w:rsidR="00A50BA4" w:rsidRDefault="00A50BA4" w:rsidP="009B703E">
      <w:pPr>
        <w:ind w:firstLine="709"/>
        <w:jc w:val="center"/>
        <w:rPr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2364"/>
        <w:gridCol w:w="1842"/>
        <w:gridCol w:w="1791"/>
        <w:gridCol w:w="1791"/>
        <w:gridCol w:w="1793"/>
      </w:tblGrid>
      <w:tr w:rsidR="00A50BA4" w:rsidRPr="003F57D1" w:rsidTr="003B59D5"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6E37A9" w:rsidRDefault="00A50BA4" w:rsidP="00CF1CB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50BA4" w:rsidRPr="006E37A9" w:rsidRDefault="00A50BA4" w:rsidP="00CF1C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37A9">
              <w:rPr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6E37A9" w:rsidRDefault="00A50BA4" w:rsidP="00CF1C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37A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CF1C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 xml:space="preserve">Прогноз </w:t>
            </w:r>
            <w:r>
              <w:rPr>
                <w:sz w:val="24"/>
                <w:szCs w:val="24"/>
              </w:rPr>
              <w:t xml:space="preserve">на </w:t>
            </w: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6E74" w:rsidRDefault="00A50BA4" w:rsidP="00CF1C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 (оценка)</w:t>
            </w:r>
          </w:p>
        </w:tc>
      </w:tr>
      <w:tr w:rsidR="00A50BA4" w:rsidRPr="003F57D1" w:rsidTr="003B59D5">
        <w:trPr>
          <w:trHeight w:val="249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6E37A9" w:rsidRDefault="00A50BA4" w:rsidP="00CF1CB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6E37A9" w:rsidRDefault="00A50BA4" w:rsidP="00CF1CB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3F57D1" w:rsidRDefault="00A50BA4" w:rsidP="00CF1CB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6E37A9">
              <w:rPr>
                <w:sz w:val="24"/>
                <w:szCs w:val="24"/>
              </w:rPr>
              <w:t>1 вариант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6E37A9" w:rsidRDefault="00A50BA4" w:rsidP="00CF1C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37A9">
              <w:rPr>
                <w:sz w:val="24"/>
                <w:szCs w:val="24"/>
              </w:rPr>
              <w:t>2 вариант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6E37A9" w:rsidRDefault="00A50BA4" w:rsidP="00CF1CB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50BA4" w:rsidRPr="003F57D1" w:rsidTr="003B59D5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6E37A9" w:rsidRDefault="00A50BA4" w:rsidP="00CF1CBC">
            <w:pPr>
              <w:spacing w:line="276" w:lineRule="auto"/>
              <w:rPr>
                <w:sz w:val="24"/>
                <w:szCs w:val="24"/>
              </w:rPr>
            </w:pPr>
            <w:r w:rsidRPr="006E37A9">
              <w:rPr>
                <w:sz w:val="24"/>
                <w:szCs w:val="24"/>
              </w:rPr>
              <w:t>Грузооборот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6E37A9" w:rsidRDefault="00A50BA4" w:rsidP="00CF1C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37A9">
              <w:rPr>
                <w:sz w:val="24"/>
                <w:szCs w:val="24"/>
              </w:rPr>
              <w:t>млн. т. км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6E37A9" w:rsidRDefault="00A50BA4" w:rsidP="00CF1C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6E37A9" w:rsidRDefault="00A50BA4" w:rsidP="00CF1C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6E37A9" w:rsidRDefault="00A50BA4" w:rsidP="00CF1C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37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6E37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A50BA4" w:rsidRPr="003F57D1" w:rsidTr="003B59D5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6E37A9" w:rsidRDefault="00A50BA4" w:rsidP="00CF1CBC">
            <w:pPr>
              <w:spacing w:line="276" w:lineRule="auto"/>
              <w:rPr>
                <w:sz w:val="24"/>
                <w:szCs w:val="24"/>
              </w:rPr>
            </w:pPr>
            <w:r w:rsidRPr="006E37A9">
              <w:rPr>
                <w:sz w:val="24"/>
                <w:szCs w:val="24"/>
              </w:rPr>
              <w:t>Пассажирооборот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6E37A9" w:rsidRDefault="00A50BA4" w:rsidP="00CF1C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37A9">
              <w:rPr>
                <w:sz w:val="24"/>
                <w:szCs w:val="24"/>
              </w:rPr>
              <w:t>млн. пасс. км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6E37A9" w:rsidRDefault="00A50BA4" w:rsidP="00CF1C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1083,1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6E37A9" w:rsidRDefault="00A50BA4" w:rsidP="00CF1C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1152,1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6E37A9" w:rsidRDefault="00A50BA4" w:rsidP="00CF1CBC">
            <w:pPr>
              <w:spacing w:line="276" w:lineRule="auto"/>
              <w:jc w:val="center"/>
              <w:rPr>
                <w:sz w:val="24"/>
                <w:szCs w:val="24"/>
                <w:shd w:val="clear" w:color="auto" w:fill="FFFF00"/>
              </w:rPr>
            </w:pPr>
            <w:r w:rsidRPr="006E37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100</w:t>
            </w:r>
            <w:r w:rsidRPr="006E37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A50BA4" w:rsidRDefault="00A50BA4" w:rsidP="00A423B6">
      <w:pPr>
        <w:pStyle w:val="aff1"/>
        <w:spacing w:line="276" w:lineRule="auto"/>
        <w:rPr>
          <w:sz w:val="24"/>
          <w:szCs w:val="24"/>
        </w:rPr>
      </w:pPr>
    </w:p>
    <w:p w:rsidR="00A50BA4" w:rsidRPr="003B5074" w:rsidRDefault="00A50BA4" w:rsidP="00A423B6">
      <w:pPr>
        <w:pStyle w:val="aff1"/>
        <w:spacing w:line="276" w:lineRule="auto"/>
        <w:rPr>
          <w:sz w:val="24"/>
          <w:szCs w:val="24"/>
        </w:rPr>
      </w:pPr>
      <w:r w:rsidRPr="003B5074">
        <w:rPr>
          <w:sz w:val="24"/>
          <w:szCs w:val="24"/>
        </w:rPr>
        <w:t>На основании фактических данных з</w:t>
      </w:r>
      <w:r w:rsidR="00AD4E99">
        <w:rPr>
          <w:sz w:val="24"/>
          <w:szCs w:val="24"/>
        </w:rPr>
        <w:t xml:space="preserve">а истекший период текущего года </w:t>
      </w:r>
      <w:r>
        <w:rPr>
          <w:sz w:val="24"/>
          <w:szCs w:val="24"/>
        </w:rPr>
        <w:t xml:space="preserve"> </w:t>
      </w:r>
      <w:r w:rsidRPr="003B5074">
        <w:rPr>
          <w:sz w:val="24"/>
          <w:szCs w:val="24"/>
        </w:rPr>
        <w:t xml:space="preserve">показатель грузооборота, по оценке 2016 года, увеличен по сравнению с прогнозом, рассчитанным в 2015 году, до 168,0 млн.т.км. </w:t>
      </w:r>
    </w:p>
    <w:p w:rsidR="00A50BA4" w:rsidRDefault="00A50BA4" w:rsidP="00F32EDE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BB2021">
        <w:rPr>
          <w:b/>
          <w:sz w:val="24"/>
          <w:szCs w:val="24"/>
        </w:rPr>
        <w:t>Связь</w:t>
      </w:r>
    </w:p>
    <w:p w:rsidR="00A50BA4" w:rsidRPr="00BB2021" w:rsidRDefault="00A50BA4" w:rsidP="00F32EDE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A50BA4" w:rsidRPr="00982E9E" w:rsidRDefault="00A50BA4" w:rsidP="00AD4E99">
      <w:pPr>
        <w:pStyle w:val="aff1"/>
        <w:spacing w:line="276" w:lineRule="auto"/>
        <w:rPr>
          <w:sz w:val="24"/>
          <w:szCs w:val="24"/>
        </w:rPr>
      </w:pPr>
      <w:r w:rsidRPr="0076476B">
        <w:rPr>
          <w:sz w:val="24"/>
          <w:szCs w:val="24"/>
        </w:rPr>
        <w:t xml:space="preserve">Общее количество установленных </w:t>
      </w:r>
      <w:r w:rsidRPr="00F32EDE">
        <w:rPr>
          <w:sz w:val="24"/>
          <w:szCs w:val="24"/>
        </w:rPr>
        <w:t>квартирных телефонных аппаратов сети общего</w:t>
      </w:r>
      <w:r w:rsidRPr="0076476B">
        <w:rPr>
          <w:sz w:val="24"/>
          <w:szCs w:val="24"/>
        </w:rPr>
        <w:t xml:space="preserve"> пользования в городском округе Тольятти по состоянию на 01.07.201</w:t>
      </w:r>
      <w:r>
        <w:rPr>
          <w:sz w:val="24"/>
          <w:szCs w:val="24"/>
        </w:rPr>
        <w:t>6</w:t>
      </w:r>
      <w:r w:rsidRPr="0076476B">
        <w:rPr>
          <w:sz w:val="24"/>
          <w:szCs w:val="24"/>
        </w:rPr>
        <w:t xml:space="preserve"> г. состав</w:t>
      </w:r>
      <w:r>
        <w:rPr>
          <w:sz w:val="24"/>
          <w:szCs w:val="24"/>
        </w:rPr>
        <w:t>ило</w:t>
      </w:r>
      <w:r w:rsidRPr="0076476B">
        <w:rPr>
          <w:sz w:val="24"/>
          <w:szCs w:val="24"/>
        </w:rPr>
        <w:t xml:space="preserve"> </w:t>
      </w:r>
      <w:r>
        <w:rPr>
          <w:sz w:val="24"/>
          <w:szCs w:val="24"/>
        </w:rPr>
        <w:t>132,9</w:t>
      </w:r>
      <w:r w:rsidRPr="0076476B">
        <w:rPr>
          <w:sz w:val="24"/>
          <w:szCs w:val="24"/>
        </w:rPr>
        <w:t xml:space="preserve"> тыс. единиц, что на </w:t>
      </w:r>
      <w:r>
        <w:rPr>
          <w:sz w:val="24"/>
          <w:szCs w:val="24"/>
        </w:rPr>
        <w:t>12</w:t>
      </w:r>
      <w:r w:rsidRPr="0076476B">
        <w:rPr>
          <w:sz w:val="24"/>
          <w:szCs w:val="24"/>
        </w:rPr>
        <w:t xml:space="preserve"> % ниже 1 полугодия 201</w:t>
      </w:r>
      <w:r>
        <w:rPr>
          <w:sz w:val="24"/>
          <w:szCs w:val="24"/>
        </w:rPr>
        <w:t>5</w:t>
      </w:r>
      <w:r w:rsidRPr="0076476B">
        <w:rPr>
          <w:sz w:val="24"/>
          <w:szCs w:val="24"/>
        </w:rPr>
        <w:t> года</w:t>
      </w:r>
      <w:r>
        <w:rPr>
          <w:sz w:val="24"/>
          <w:szCs w:val="24"/>
        </w:rPr>
        <w:t>, о</w:t>
      </w:r>
      <w:r w:rsidRPr="0076476B">
        <w:rPr>
          <w:sz w:val="24"/>
          <w:szCs w:val="24"/>
        </w:rPr>
        <w:t xml:space="preserve">беспеченность населения квартирными телефонными аппаратами сети общего пользования в отчетном периоде </w:t>
      </w:r>
      <w:r>
        <w:rPr>
          <w:sz w:val="24"/>
          <w:szCs w:val="24"/>
        </w:rPr>
        <w:t>–</w:t>
      </w:r>
      <w:r w:rsidRPr="0076476B">
        <w:rPr>
          <w:sz w:val="24"/>
          <w:szCs w:val="24"/>
        </w:rPr>
        <w:t xml:space="preserve"> </w:t>
      </w:r>
      <w:r>
        <w:rPr>
          <w:sz w:val="24"/>
          <w:szCs w:val="24"/>
        </w:rPr>
        <w:t>18,7</w:t>
      </w:r>
      <w:r w:rsidRPr="00982E9E">
        <w:rPr>
          <w:sz w:val="24"/>
          <w:szCs w:val="24"/>
        </w:rPr>
        <w:t xml:space="preserve"> телефон</w:t>
      </w:r>
      <w:r>
        <w:rPr>
          <w:sz w:val="24"/>
          <w:szCs w:val="24"/>
        </w:rPr>
        <w:t>ных аппаратов</w:t>
      </w:r>
      <w:r w:rsidRPr="00982E9E">
        <w:rPr>
          <w:sz w:val="24"/>
          <w:szCs w:val="24"/>
        </w:rPr>
        <w:t xml:space="preserve"> на 100 жителей.  </w:t>
      </w:r>
    </w:p>
    <w:p w:rsidR="00A50BA4" w:rsidRPr="00982E9E" w:rsidRDefault="00A50BA4" w:rsidP="00AD4E99">
      <w:pPr>
        <w:pStyle w:val="112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82E9E">
        <w:rPr>
          <w:rFonts w:ascii="Times New Roman" w:hAnsi="Times New Roman" w:cs="Times New Roman"/>
          <w:color w:val="000000"/>
          <w:sz w:val="24"/>
          <w:szCs w:val="24"/>
        </w:rPr>
        <w:t>До конца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82E9E">
        <w:rPr>
          <w:rFonts w:ascii="Times New Roman" w:hAnsi="Times New Roman" w:cs="Times New Roman"/>
          <w:color w:val="000000"/>
          <w:sz w:val="24"/>
          <w:szCs w:val="24"/>
        </w:rPr>
        <w:t xml:space="preserve"> года ожидается снижение обеспеченности населения квартирными телефонными аппаратами сети общего пользования до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982E9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82E9E">
        <w:rPr>
          <w:rFonts w:ascii="Times New Roman" w:hAnsi="Times New Roman" w:cs="Times New Roman"/>
          <w:color w:val="000000"/>
          <w:sz w:val="24"/>
          <w:szCs w:val="24"/>
        </w:rPr>
        <w:t xml:space="preserve"> штук на 100 чел. относительно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82E9E">
        <w:rPr>
          <w:rFonts w:ascii="Times New Roman" w:hAnsi="Times New Roman" w:cs="Times New Roman"/>
          <w:color w:val="000000"/>
          <w:sz w:val="24"/>
          <w:szCs w:val="24"/>
        </w:rPr>
        <w:t xml:space="preserve"> года, что обусловлено повсеместным распространением мобильной связи </w:t>
      </w:r>
      <w:r w:rsidRPr="00982E9E">
        <w:rPr>
          <w:rFonts w:ascii="Times New Roman" w:hAnsi="Times New Roman" w:cs="Times New Roman"/>
          <w:sz w:val="24"/>
          <w:szCs w:val="24"/>
        </w:rPr>
        <w:t>(благодаря ее мобильности, количеству тарифных планов, предлагаемых услуг-опций, экономии затрат на связь)</w:t>
      </w:r>
      <w:r w:rsidRPr="00982E9E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982E9E">
        <w:rPr>
          <w:rFonts w:ascii="Times New Roman" w:hAnsi="Times New Roman" w:cs="Times New Roman"/>
          <w:color w:val="000000"/>
          <w:sz w:val="24"/>
          <w:szCs w:val="24"/>
          <w:lang w:val="en-US"/>
        </w:rPr>
        <w:t>IP</w:t>
      </w:r>
      <w:r w:rsidRPr="00982E9E">
        <w:rPr>
          <w:rFonts w:ascii="Times New Roman" w:hAnsi="Times New Roman" w:cs="Times New Roman"/>
          <w:color w:val="000000"/>
          <w:sz w:val="24"/>
          <w:szCs w:val="24"/>
        </w:rPr>
        <w:t>-телефонии.</w:t>
      </w:r>
    </w:p>
    <w:p w:rsidR="00A50BA4" w:rsidRDefault="00A50BA4" w:rsidP="00036307">
      <w:pPr>
        <w:ind w:firstLine="709"/>
        <w:jc w:val="center"/>
        <w:rPr>
          <w:sz w:val="24"/>
          <w:szCs w:val="24"/>
        </w:rPr>
      </w:pPr>
    </w:p>
    <w:p w:rsidR="00A50BA4" w:rsidRDefault="00A50BA4" w:rsidP="00036307">
      <w:pPr>
        <w:ind w:firstLine="709"/>
        <w:jc w:val="center"/>
        <w:rPr>
          <w:sz w:val="24"/>
          <w:szCs w:val="24"/>
        </w:rPr>
      </w:pPr>
      <w:r w:rsidRPr="00982E9E">
        <w:rPr>
          <w:sz w:val="24"/>
          <w:szCs w:val="24"/>
        </w:rPr>
        <w:t xml:space="preserve">Ожидаемое выполнение прогнозных показателей по разделу «Связь» </w:t>
      </w:r>
      <w:r>
        <w:rPr>
          <w:sz w:val="24"/>
          <w:szCs w:val="24"/>
        </w:rPr>
        <w:t>на</w:t>
      </w:r>
      <w:r w:rsidRPr="00982E9E">
        <w:rPr>
          <w:sz w:val="24"/>
          <w:szCs w:val="24"/>
        </w:rPr>
        <w:t xml:space="preserve"> 201</w:t>
      </w:r>
      <w:r>
        <w:rPr>
          <w:sz w:val="24"/>
          <w:szCs w:val="24"/>
        </w:rPr>
        <w:t>6 год</w:t>
      </w:r>
    </w:p>
    <w:p w:rsidR="00A50BA4" w:rsidRDefault="00A50BA4" w:rsidP="00036307">
      <w:pPr>
        <w:ind w:firstLine="709"/>
        <w:jc w:val="center"/>
        <w:rPr>
          <w:sz w:val="24"/>
          <w:szCs w:val="24"/>
        </w:rPr>
      </w:pPr>
    </w:p>
    <w:tbl>
      <w:tblPr>
        <w:tblW w:w="5000" w:type="pct"/>
        <w:tblLook w:val="0000"/>
      </w:tblPr>
      <w:tblGrid>
        <w:gridCol w:w="4644"/>
        <w:gridCol w:w="993"/>
        <w:gridCol w:w="1275"/>
        <w:gridCol w:w="1418"/>
        <w:gridCol w:w="1240"/>
      </w:tblGrid>
      <w:tr w:rsidR="00A50BA4" w:rsidRPr="00982E9E" w:rsidTr="00CC71EF">
        <w:trPr>
          <w:trHeight w:val="465"/>
        </w:trPr>
        <w:tc>
          <w:tcPr>
            <w:tcW w:w="2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982E9E" w:rsidRDefault="00A50BA4" w:rsidP="00CC71EF">
            <w:pPr>
              <w:jc w:val="center"/>
              <w:rPr>
                <w:sz w:val="24"/>
                <w:szCs w:val="24"/>
              </w:rPr>
            </w:pPr>
            <w:r w:rsidRPr="00982E9E">
              <w:rPr>
                <w:sz w:val="24"/>
                <w:szCs w:val="24"/>
              </w:rPr>
              <w:t>Показатели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BA4" w:rsidRPr="00982E9E" w:rsidRDefault="00A50BA4" w:rsidP="00CC71EF">
            <w:pPr>
              <w:jc w:val="center"/>
              <w:rPr>
                <w:sz w:val="24"/>
                <w:szCs w:val="24"/>
              </w:rPr>
            </w:pPr>
            <w:r w:rsidRPr="00982E9E">
              <w:rPr>
                <w:sz w:val="24"/>
                <w:szCs w:val="24"/>
              </w:rPr>
              <w:t>Ед. изм.</w:t>
            </w:r>
          </w:p>
        </w:tc>
        <w:tc>
          <w:tcPr>
            <w:tcW w:w="1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8E79C1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 xml:space="preserve">Прогноз </w:t>
            </w:r>
            <w:r>
              <w:rPr>
                <w:sz w:val="24"/>
                <w:szCs w:val="24"/>
              </w:rPr>
              <w:t xml:space="preserve">на </w:t>
            </w: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6E74" w:rsidRDefault="00A50BA4" w:rsidP="008E79C1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 (оценка)</w:t>
            </w:r>
          </w:p>
        </w:tc>
      </w:tr>
      <w:tr w:rsidR="00A50BA4" w:rsidRPr="00982E9E" w:rsidTr="00CC71EF">
        <w:tc>
          <w:tcPr>
            <w:tcW w:w="2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982E9E" w:rsidRDefault="00A50BA4" w:rsidP="00CC71E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982E9E" w:rsidRDefault="00A50BA4" w:rsidP="00CC7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982E9E" w:rsidRDefault="00A50BA4" w:rsidP="00CC71EF">
            <w:pPr>
              <w:jc w:val="center"/>
              <w:rPr>
                <w:sz w:val="24"/>
                <w:szCs w:val="24"/>
              </w:rPr>
            </w:pPr>
            <w:r w:rsidRPr="00982E9E">
              <w:rPr>
                <w:sz w:val="24"/>
                <w:szCs w:val="24"/>
              </w:rPr>
              <w:t>1 вариант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982E9E" w:rsidRDefault="00A50BA4" w:rsidP="00CC71EF">
            <w:pPr>
              <w:jc w:val="center"/>
              <w:rPr>
                <w:b/>
                <w:sz w:val="24"/>
                <w:szCs w:val="24"/>
              </w:rPr>
            </w:pPr>
            <w:r w:rsidRPr="00982E9E">
              <w:rPr>
                <w:sz w:val="24"/>
                <w:szCs w:val="24"/>
              </w:rPr>
              <w:t>2 вариант</w:t>
            </w: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982E9E" w:rsidRDefault="00A50BA4" w:rsidP="00CC71E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50BA4" w:rsidRPr="00982E9E" w:rsidTr="00CF1CBC">
        <w:trPr>
          <w:trHeight w:val="397"/>
        </w:trPr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982E9E" w:rsidRDefault="00A50BA4" w:rsidP="00CF1CBC">
            <w:pPr>
              <w:rPr>
                <w:sz w:val="24"/>
                <w:szCs w:val="24"/>
              </w:rPr>
            </w:pPr>
            <w:r w:rsidRPr="00982E9E">
              <w:rPr>
                <w:sz w:val="24"/>
                <w:szCs w:val="24"/>
              </w:rPr>
              <w:t>Обеспеченность населения квартирными телефонными аппаратами сети общего пользования или имеющими выход на нее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982E9E" w:rsidRDefault="00A50BA4" w:rsidP="00CF1CBC">
            <w:pPr>
              <w:jc w:val="center"/>
              <w:rPr>
                <w:sz w:val="24"/>
                <w:szCs w:val="24"/>
              </w:rPr>
            </w:pPr>
            <w:r w:rsidRPr="00982E9E">
              <w:rPr>
                <w:sz w:val="24"/>
                <w:szCs w:val="24"/>
              </w:rPr>
              <w:t>штук на 100 чел.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82E9E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982E9E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982E9E" w:rsidRDefault="00A50BA4" w:rsidP="00CF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</w:tbl>
    <w:p w:rsidR="00A50BA4" w:rsidRDefault="00A50BA4" w:rsidP="00A423B6">
      <w:pPr>
        <w:pStyle w:val="112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0BA4" w:rsidRDefault="00A50BA4" w:rsidP="00A423B6">
      <w:pPr>
        <w:pStyle w:val="112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2E9E">
        <w:rPr>
          <w:rFonts w:ascii="Times New Roman" w:hAnsi="Times New Roman" w:cs="Times New Roman"/>
          <w:sz w:val="24"/>
          <w:szCs w:val="24"/>
        </w:rPr>
        <w:t>Снижение оценочного значения обеспеченности населения квартирными телефонными аппаратами сети общего пользования или имеющими выход на нее обусловлено более глубоким падением фактических темпов роста показателя по установке</w:t>
      </w:r>
      <w:r w:rsidRPr="0076476B">
        <w:rPr>
          <w:rFonts w:ascii="Times New Roman" w:hAnsi="Times New Roman" w:cs="Times New Roman"/>
          <w:sz w:val="24"/>
          <w:szCs w:val="24"/>
        </w:rPr>
        <w:t xml:space="preserve"> квартирных телефонных аппаратов, чем ожидалось ранее.</w:t>
      </w:r>
    </w:p>
    <w:p w:rsidR="00A50BA4" w:rsidRDefault="00A50BA4" w:rsidP="00B97814">
      <w:pPr>
        <w:pStyle w:val="112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BA4" w:rsidRPr="00A526A9" w:rsidRDefault="00A50BA4" w:rsidP="00B97814">
      <w:pPr>
        <w:pStyle w:val="112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A9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A50BA4" w:rsidRPr="00A526A9" w:rsidRDefault="00A50BA4" w:rsidP="00B97814">
      <w:pPr>
        <w:pStyle w:val="112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0BA4" w:rsidRPr="00A526A9" w:rsidRDefault="00A50BA4" w:rsidP="00AD4E99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A526A9">
        <w:rPr>
          <w:sz w:val="24"/>
          <w:szCs w:val="24"/>
        </w:rPr>
        <w:t>Единое образовательное пространство городского округа Тольятти на 01.07.2016 г. представлено учреждениями различных типов и видов: 55 муниципальных и ведомственных дошкольных образовательных учреждений (в том числе АНО ДО «Планета детства «Лада», 1 ведомственный детский сад №205 «Тюльпан»), 7</w:t>
      </w:r>
      <w:r w:rsidR="004D6CD5">
        <w:rPr>
          <w:sz w:val="24"/>
          <w:szCs w:val="24"/>
        </w:rPr>
        <w:t>7</w:t>
      </w:r>
      <w:r w:rsidRPr="00A526A9">
        <w:rPr>
          <w:sz w:val="24"/>
          <w:szCs w:val="24"/>
        </w:rPr>
        <w:t xml:space="preserve"> общеобразовательн</w:t>
      </w:r>
      <w:r w:rsidR="004D6CD5">
        <w:rPr>
          <w:sz w:val="24"/>
          <w:szCs w:val="24"/>
        </w:rPr>
        <w:t>ых</w:t>
      </w:r>
      <w:r w:rsidRPr="00A526A9">
        <w:rPr>
          <w:sz w:val="24"/>
          <w:szCs w:val="24"/>
        </w:rPr>
        <w:t xml:space="preserve"> учреждени</w:t>
      </w:r>
      <w:r w:rsidR="004D6CD5">
        <w:rPr>
          <w:sz w:val="24"/>
          <w:szCs w:val="24"/>
        </w:rPr>
        <w:t>й (в том числе 6 НОУ)</w:t>
      </w:r>
      <w:r w:rsidRPr="00A526A9">
        <w:rPr>
          <w:sz w:val="24"/>
          <w:szCs w:val="24"/>
        </w:rPr>
        <w:t xml:space="preserve">, 17 учреждений дополнительного образования, 16 учреждений среднего профессионального образования и </w:t>
      </w:r>
      <w:r w:rsidRPr="004D6CD5">
        <w:rPr>
          <w:sz w:val="24"/>
          <w:szCs w:val="24"/>
        </w:rPr>
        <w:t>12 в</w:t>
      </w:r>
      <w:r w:rsidRPr="00A526A9">
        <w:rPr>
          <w:sz w:val="24"/>
          <w:szCs w:val="24"/>
        </w:rPr>
        <w:t xml:space="preserve">ысших учебных заведений. </w:t>
      </w:r>
    </w:p>
    <w:p w:rsidR="00A50BA4" w:rsidRPr="00A526A9" w:rsidRDefault="00A50BA4" w:rsidP="00AD4E99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A526A9">
        <w:rPr>
          <w:sz w:val="24"/>
          <w:szCs w:val="24"/>
        </w:rPr>
        <w:lastRenderedPageBreak/>
        <w:t xml:space="preserve">Услугами дошкольного образования в 1 полугодии 2016 года охвачено около 40,1 тыс. детей от 9 мес. до 7 лет, что на 4,6 % выше показателя 1 полугодия 2015 года. </w:t>
      </w:r>
    </w:p>
    <w:p w:rsidR="00A50BA4" w:rsidRPr="00A526A9" w:rsidRDefault="00A50BA4" w:rsidP="00AD4E99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A526A9">
        <w:rPr>
          <w:sz w:val="24"/>
          <w:szCs w:val="24"/>
        </w:rPr>
        <w:t>По итогам комплектования детских садов на 2015-2016 учебный год потребность в местах для детей старше 3-х лет удовлетворена на 100 %, но без гарантии предоставления места в конкретном детском саду.</w:t>
      </w:r>
    </w:p>
    <w:p w:rsidR="00A50BA4" w:rsidRPr="00A526A9" w:rsidRDefault="00A50BA4" w:rsidP="00AD4E99">
      <w:pPr>
        <w:pStyle w:val="aff1"/>
        <w:spacing w:line="276" w:lineRule="auto"/>
        <w:rPr>
          <w:sz w:val="24"/>
          <w:szCs w:val="24"/>
        </w:rPr>
      </w:pPr>
      <w:r w:rsidRPr="00A526A9">
        <w:rPr>
          <w:sz w:val="24"/>
          <w:szCs w:val="24"/>
        </w:rPr>
        <w:t>По причине высокой рождаемости в предыдущие годы, которая привела к увеличению численности детей от рождения до 3-х лет, в настоящее время сохраняется проблема нехватки мест в дошкольных образовательных учреждениях для детей данного возраста.</w:t>
      </w:r>
    </w:p>
    <w:p w:rsidR="00A50BA4" w:rsidRPr="00A526A9" w:rsidRDefault="00A50BA4" w:rsidP="00AD4E99">
      <w:pPr>
        <w:pStyle w:val="aff1"/>
        <w:spacing w:line="276" w:lineRule="auto"/>
        <w:rPr>
          <w:sz w:val="24"/>
          <w:szCs w:val="24"/>
        </w:rPr>
      </w:pPr>
      <w:r w:rsidRPr="00A526A9">
        <w:rPr>
          <w:sz w:val="24"/>
          <w:szCs w:val="24"/>
        </w:rPr>
        <w:t>В соответствии с планом комплектования детских садов на 2016-2017 учебный год в детские сады будет направлено более 10 тыс. детей из очереди. При условии своевременного финансирования мероприятий по созданию дополнительных мест в 2016 году, будет создано достаточное количество мест для 100 % охвата дошкольным образованием детей в возрасте старше 3-х лет.</w:t>
      </w:r>
    </w:p>
    <w:p w:rsidR="00A50BA4" w:rsidRPr="00A526A9" w:rsidRDefault="00A50BA4" w:rsidP="00AD4E99">
      <w:pPr>
        <w:pStyle w:val="aff1"/>
        <w:spacing w:line="276" w:lineRule="auto"/>
        <w:rPr>
          <w:sz w:val="24"/>
          <w:szCs w:val="24"/>
        </w:rPr>
      </w:pPr>
      <w:r w:rsidRPr="00A526A9">
        <w:rPr>
          <w:sz w:val="24"/>
          <w:szCs w:val="24"/>
        </w:rPr>
        <w:t>Для 100 % охвата дошкольным образованием детей в возрасте от 1 года до 7 лет на территории городского округа Тольятти необходимо построить не менее 6 детских садов на 250 мест каждый.</w:t>
      </w:r>
    </w:p>
    <w:p w:rsidR="00A50BA4" w:rsidRPr="00A526A9" w:rsidRDefault="00A50BA4" w:rsidP="00AD4E99">
      <w:pPr>
        <w:spacing w:line="276" w:lineRule="auto"/>
        <w:ind w:firstLine="720"/>
        <w:jc w:val="both"/>
        <w:rPr>
          <w:sz w:val="24"/>
          <w:szCs w:val="24"/>
        </w:rPr>
      </w:pPr>
      <w:r w:rsidRPr="00A526A9">
        <w:rPr>
          <w:sz w:val="24"/>
          <w:szCs w:val="24"/>
        </w:rPr>
        <w:t xml:space="preserve">Количество учащихся в муниципальных бюджетных общеобразовательных учреждениях по состоянию на 01.01.2016 г. составляет 68035 человек, на 2,3 % больше в сравнении с 2015 годом. </w:t>
      </w:r>
    </w:p>
    <w:p w:rsidR="00A50BA4" w:rsidRPr="00A526A9" w:rsidRDefault="00A50BA4" w:rsidP="00AD4E99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A526A9">
        <w:rPr>
          <w:sz w:val="24"/>
          <w:szCs w:val="24"/>
        </w:rPr>
        <w:t>В целях создания дополнительных дошкольных мест требуется реконструкция здания МБУ школа №15.</w:t>
      </w:r>
    </w:p>
    <w:p w:rsidR="00A50BA4" w:rsidRPr="00A526A9" w:rsidRDefault="00A50BA4" w:rsidP="00AD4E99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A526A9">
        <w:rPr>
          <w:sz w:val="24"/>
          <w:szCs w:val="24"/>
        </w:rPr>
        <w:t>Для приведения зданий, сетей, оборудования  муниципальных образовательных учреждений в должное техническое состояние требуется капитальный ремонт 65 школ, 75 детских садов, срок эксплуатации которых превышает 20 лет.</w:t>
      </w:r>
    </w:p>
    <w:p w:rsidR="00A50BA4" w:rsidRPr="00A526A9" w:rsidRDefault="00A50BA4" w:rsidP="00AD4E99">
      <w:pPr>
        <w:pStyle w:val="221"/>
        <w:snapToGrid w:val="0"/>
        <w:spacing w:after="0" w:line="276" w:lineRule="auto"/>
        <w:ind w:firstLine="709"/>
        <w:jc w:val="both"/>
        <w:rPr>
          <w:sz w:val="24"/>
          <w:szCs w:val="24"/>
        </w:rPr>
      </w:pPr>
      <w:r w:rsidRPr="00A526A9">
        <w:rPr>
          <w:sz w:val="24"/>
          <w:szCs w:val="24"/>
        </w:rPr>
        <w:t>С целью решения проблемы старения материально-технической базы образовательных учреждений планируются мероприятия по капитальному ремонту образовательных учреждений, спортивных залов, кровли, устройству плоскостных сооружений и др.</w:t>
      </w:r>
    </w:p>
    <w:p w:rsidR="00A50BA4" w:rsidRPr="00A526A9" w:rsidRDefault="00A50BA4" w:rsidP="00AD4E99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A526A9">
        <w:rPr>
          <w:sz w:val="24"/>
          <w:szCs w:val="24"/>
        </w:rPr>
        <w:t>Для обеспечения доступности граждан  маломобильных категорий (далее - ММГ)  в муниципальных образовательных учреждениях требуется выполнить мероприятия по установке наружных пандусов для организации входной группы, оснащению специальным оборудованием  225 зданий образовательных учреждений.</w:t>
      </w:r>
    </w:p>
    <w:p w:rsidR="00A50BA4" w:rsidRPr="00A526A9" w:rsidRDefault="00A50BA4" w:rsidP="00AD4E99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526A9">
        <w:rPr>
          <w:sz w:val="24"/>
          <w:szCs w:val="24"/>
        </w:rPr>
        <w:t>В 2016 году введены в эксплуатацию здания детского сада МАОУ детский сад №79: в июне по адресу б-р Баумана, 12, в сентябре по адресу б-р Туполева, 18, за счет средств областных субсидий.</w:t>
      </w:r>
    </w:p>
    <w:p w:rsidR="00A50BA4" w:rsidRPr="00A526A9" w:rsidRDefault="00A50BA4" w:rsidP="00AD4E99">
      <w:pPr>
        <w:pStyle w:val="aff1"/>
        <w:spacing w:line="276" w:lineRule="auto"/>
        <w:rPr>
          <w:sz w:val="24"/>
          <w:szCs w:val="24"/>
        </w:rPr>
      </w:pPr>
      <w:r w:rsidRPr="00A526A9">
        <w:rPr>
          <w:sz w:val="24"/>
          <w:szCs w:val="24"/>
        </w:rPr>
        <w:t xml:space="preserve">В целях исполнения Указа Президента Российской Федерации  от 07.05.2012 № 599 в части ликвидации очередности возрастной группы от 3-х до 6-ти лет к 2016 году на территории городского округа </w:t>
      </w:r>
      <w:bookmarkStart w:id="2" w:name="RANGE!A1:M32"/>
      <w:bookmarkEnd w:id="2"/>
      <w:r w:rsidRPr="00A526A9">
        <w:rPr>
          <w:sz w:val="24"/>
          <w:szCs w:val="24"/>
        </w:rPr>
        <w:t>в 2016 году в МАОУ детском саду № 79 открыты  22 дополнительные группы (463 места), в том числе по адресам: б-р Туполева, д. 18 – 13 групп (275 мест); б-р Баумана, д. 12 – 9 групп (188 мест).</w:t>
      </w:r>
    </w:p>
    <w:p w:rsidR="00A50BA4" w:rsidRPr="00A526A9" w:rsidRDefault="00A50BA4" w:rsidP="00AD4E99">
      <w:pPr>
        <w:pStyle w:val="aff1"/>
        <w:spacing w:line="276" w:lineRule="auto"/>
        <w:rPr>
          <w:sz w:val="24"/>
          <w:szCs w:val="24"/>
        </w:rPr>
      </w:pPr>
      <w:r w:rsidRPr="00A526A9">
        <w:rPr>
          <w:sz w:val="24"/>
          <w:szCs w:val="24"/>
        </w:rPr>
        <w:t>До конца 2016 года запланированы следующие мероприятия:</w:t>
      </w:r>
    </w:p>
    <w:p w:rsidR="00A50BA4" w:rsidRPr="00A526A9" w:rsidRDefault="00A50BA4" w:rsidP="00AD4E99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526A9">
        <w:rPr>
          <w:sz w:val="24"/>
          <w:szCs w:val="24"/>
        </w:rPr>
        <w:t>- выполнить капитальный ремонт МБУ №33 - за счет средств областных субсидий;</w:t>
      </w:r>
    </w:p>
    <w:p w:rsidR="00A50BA4" w:rsidRPr="00A526A9" w:rsidRDefault="00A50BA4" w:rsidP="00AD4E99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526A9">
        <w:rPr>
          <w:sz w:val="24"/>
          <w:szCs w:val="24"/>
        </w:rPr>
        <w:t>- выполнить мероприятия по доступности ММГ в д/с №№53,27, 147 - за счет средств областных субсидий;</w:t>
      </w:r>
    </w:p>
    <w:p w:rsidR="00A50BA4" w:rsidRPr="00A526A9" w:rsidRDefault="00A50BA4" w:rsidP="00AD4E99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526A9">
        <w:rPr>
          <w:sz w:val="24"/>
          <w:szCs w:val="24"/>
        </w:rPr>
        <w:lastRenderedPageBreak/>
        <w:t xml:space="preserve">- выполнить капитальный ремонт кровли в  </w:t>
      </w:r>
      <w:r>
        <w:rPr>
          <w:sz w:val="24"/>
          <w:szCs w:val="24"/>
        </w:rPr>
        <w:t>13 учреждениях образования -</w:t>
      </w:r>
      <w:r w:rsidRPr="00A526A9">
        <w:rPr>
          <w:sz w:val="24"/>
          <w:szCs w:val="24"/>
        </w:rPr>
        <w:t xml:space="preserve">  за счет средств муниципалитета;</w:t>
      </w:r>
    </w:p>
    <w:p w:rsidR="00A50BA4" w:rsidRPr="00A526A9" w:rsidRDefault="00A50BA4" w:rsidP="00AD4E99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526A9">
        <w:rPr>
          <w:sz w:val="24"/>
          <w:szCs w:val="24"/>
        </w:rPr>
        <w:t xml:space="preserve">- восстановить пристроенные веранды в МБУ детском саду № 116 - за счет средств муниципалитета. </w:t>
      </w:r>
    </w:p>
    <w:p w:rsidR="00A50BA4" w:rsidRPr="00A526A9" w:rsidRDefault="00A50BA4" w:rsidP="00AD4E99">
      <w:pPr>
        <w:pStyle w:val="221"/>
        <w:snapToGrid w:val="0"/>
        <w:spacing w:after="0" w:line="276" w:lineRule="auto"/>
        <w:ind w:firstLine="709"/>
        <w:jc w:val="both"/>
        <w:rPr>
          <w:sz w:val="24"/>
          <w:szCs w:val="24"/>
        </w:rPr>
      </w:pPr>
      <w:r w:rsidRPr="00A526A9">
        <w:rPr>
          <w:sz w:val="24"/>
          <w:szCs w:val="24"/>
        </w:rPr>
        <w:t xml:space="preserve">Дополнительное образование играет особую роль в обеспечении благоприятных условий разностороннего развития детей и подростков, их мировоззрения, творческих способностей, интеллектуального потенциала детей. </w:t>
      </w:r>
    </w:p>
    <w:p w:rsidR="00A50BA4" w:rsidRPr="00A526A9" w:rsidRDefault="00A50BA4" w:rsidP="00AD4E99">
      <w:pPr>
        <w:pStyle w:val="aff1"/>
        <w:snapToGrid w:val="0"/>
        <w:spacing w:line="276" w:lineRule="auto"/>
        <w:rPr>
          <w:sz w:val="24"/>
          <w:szCs w:val="24"/>
        </w:rPr>
      </w:pPr>
      <w:r w:rsidRPr="00A526A9">
        <w:rPr>
          <w:sz w:val="24"/>
          <w:szCs w:val="24"/>
        </w:rPr>
        <w:t>Количество учащихся в муниципальных образовательных учреждениях дополнительного образования, находящихся в ведомственном подчинении департамента образования</w:t>
      </w:r>
      <w:r w:rsidR="00AD4E99">
        <w:rPr>
          <w:sz w:val="24"/>
          <w:szCs w:val="24"/>
        </w:rPr>
        <w:t xml:space="preserve"> мэрии городского округа Тольятти</w:t>
      </w:r>
      <w:r w:rsidRPr="00A526A9">
        <w:rPr>
          <w:sz w:val="24"/>
          <w:szCs w:val="24"/>
        </w:rPr>
        <w:t xml:space="preserve">, по состоянию на 01.01.2016  г. составило около 48,5 тыс. чел. </w:t>
      </w:r>
    </w:p>
    <w:p w:rsidR="00A50BA4" w:rsidRPr="00A526A9" w:rsidRDefault="00A50BA4" w:rsidP="00AD4E99">
      <w:pPr>
        <w:tabs>
          <w:tab w:val="left" w:pos="720"/>
          <w:tab w:val="left" w:pos="993"/>
          <w:tab w:val="left" w:pos="5580"/>
        </w:tabs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A526A9">
        <w:rPr>
          <w:sz w:val="24"/>
          <w:szCs w:val="24"/>
        </w:rPr>
        <w:t>В настоящее время существует потребность в  капитальном ремонте помещений, находящихся в оперативном управлении МБУ «Дом молодежных организаций Шанс».</w:t>
      </w:r>
    </w:p>
    <w:p w:rsidR="00A50BA4" w:rsidRPr="00A526A9" w:rsidRDefault="00A50BA4" w:rsidP="00430F43">
      <w:pPr>
        <w:tabs>
          <w:tab w:val="left" w:pos="7485"/>
        </w:tabs>
        <w:spacing w:line="276" w:lineRule="auto"/>
        <w:ind w:firstLine="709"/>
        <w:jc w:val="center"/>
        <w:rPr>
          <w:sz w:val="24"/>
          <w:szCs w:val="24"/>
        </w:rPr>
      </w:pPr>
    </w:p>
    <w:p w:rsidR="00A90834" w:rsidRDefault="00A50BA4" w:rsidP="00AD29B1">
      <w:pPr>
        <w:tabs>
          <w:tab w:val="left" w:pos="7485"/>
        </w:tabs>
        <w:spacing w:line="276" w:lineRule="auto"/>
        <w:jc w:val="center"/>
        <w:rPr>
          <w:sz w:val="24"/>
          <w:szCs w:val="24"/>
        </w:rPr>
      </w:pPr>
      <w:r w:rsidRPr="00A526A9">
        <w:rPr>
          <w:sz w:val="24"/>
          <w:szCs w:val="24"/>
        </w:rPr>
        <w:t xml:space="preserve">Ожидаемое выполнение прогнозных показателей </w:t>
      </w:r>
    </w:p>
    <w:p w:rsidR="00A50BA4" w:rsidRDefault="00A50BA4" w:rsidP="00AD29B1">
      <w:pPr>
        <w:tabs>
          <w:tab w:val="left" w:pos="7485"/>
        </w:tabs>
        <w:spacing w:line="276" w:lineRule="auto"/>
        <w:jc w:val="center"/>
        <w:rPr>
          <w:sz w:val="24"/>
          <w:szCs w:val="24"/>
        </w:rPr>
      </w:pPr>
      <w:r w:rsidRPr="00A526A9">
        <w:rPr>
          <w:sz w:val="24"/>
          <w:szCs w:val="24"/>
        </w:rPr>
        <w:t>по разделу «Образование»</w:t>
      </w:r>
      <w:r>
        <w:rPr>
          <w:sz w:val="24"/>
          <w:szCs w:val="24"/>
        </w:rPr>
        <w:t xml:space="preserve"> на 2016 год</w:t>
      </w:r>
    </w:p>
    <w:p w:rsidR="00A50BA4" w:rsidRDefault="00A50BA4" w:rsidP="00AD29B1">
      <w:pPr>
        <w:tabs>
          <w:tab w:val="left" w:pos="7485"/>
        </w:tabs>
        <w:spacing w:line="276" w:lineRule="auto"/>
        <w:jc w:val="center"/>
        <w:rPr>
          <w:sz w:val="24"/>
          <w:szCs w:val="24"/>
        </w:rPr>
      </w:pPr>
    </w:p>
    <w:tbl>
      <w:tblPr>
        <w:tblW w:w="4945" w:type="pct"/>
        <w:tblLook w:val="0000"/>
      </w:tblPr>
      <w:tblGrid>
        <w:gridCol w:w="3369"/>
        <w:gridCol w:w="1842"/>
        <w:gridCol w:w="1560"/>
        <w:gridCol w:w="1418"/>
        <w:gridCol w:w="1276"/>
      </w:tblGrid>
      <w:tr w:rsidR="00A50BA4" w:rsidRPr="00A526A9" w:rsidTr="00A90834">
        <w:trPr>
          <w:trHeight w:val="216"/>
          <w:tblHeader/>
        </w:trPr>
        <w:tc>
          <w:tcPr>
            <w:tcW w:w="1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A526A9" w:rsidRDefault="00A50BA4" w:rsidP="00AD29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Показатели</w:t>
            </w: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BA4" w:rsidRPr="00A526A9" w:rsidRDefault="00A50BA4" w:rsidP="00AD29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8E79C1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 xml:space="preserve">Прогноз </w:t>
            </w:r>
            <w:r>
              <w:rPr>
                <w:sz w:val="24"/>
                <w:szCs w:val="24"/>
              </w:rPr>
              <w:t xml:space="preserve">на </w:t>
            </w: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6E74" w:rsidRDefault="00A50BA4" w:rsidP="008E79C1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 (оценка)</w:t>
            </w:r>
          </w:p>
        </w:tc>
      </w:tr>
      <w:tr w:rsidR="00A90834" w:rsidRPr="00A526A9" w:rsidTr="00A90834">
        <w:trPr>
          <w:tblHeader/>
        </w:trPr>
        <w:tc>
          <w:tcPr>
            <w:tcW w:w="17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A526A9" w:rsidRDefault="00A50BA4" w:rsidP="00AD29B1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A526A9" w:rsidRDefault="00A50BA4" w:rsidP="00AD29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A526A9" w:rsidRDefault="00A50BA4" w:rsidP="00AD29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1 вариант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A526A9" w:rsidRDefault="00A50BA4" w:rsidP="00AD29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2 вариант</w:t>
            </w: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A526A9" w:rsidRDefault="00A50BA4" w:rsidP="00AD29B1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90834" w:rsidRPr="00A526A9" w:rsidTr="00A90834">
        <w:trPr>
          <w:trHeight w:val="694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A526A9" w:rsidRDefault="00A50BA4" w:rsidP="00CF1CBC">
            <w:pPr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A526A9" w:rsidRDefault="00A50BA4" w:rsidP="00CF1CBC">
            <w:pPr>
              <w:jc w:val="center"/>
              <w:rPr>
                <w:sz w:val="24"/>
                <w:szCs w:val="24"/>
              </w:rPr>
            </w:pPr>
          </w:p>
          <w:p w:rsidR="00A50BA4" w:rsidRPr="00A526A9" w:rsidRDefault="00A50BA4" w:rsidP="00CF1CBC">
            <w:pPr>
              <w:jc w:val="center"/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чел.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526A9" w:rsidRDefault="00A50BA4" w:rsidP="00CF1CBC">
            <w:pPr>
              <w:jc w:val="center"/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39 774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526A9" w:rsidRDefault="00A50BA4" w:rsidP="00CF1CBC">
            <w:pPr>
              <w:jc w:val="center"/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40 587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A526A9" w:rsidRDefault="00A50BA4" w:rsidP="00CF1CBC">
            <w:pPr>
              <w:jc w:val="center"/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40 063</w:t>
            </w:r>
          </w:p>
        </w:tc>
      </w:tr>
      <w:tr w:rsidR="00A90834" w:rsidRPr="00A526A9" w:rsidTr="00A90834">
        <w:trPr>
          <w:trHeight w:val="703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A526A9" w:rsidRDefault="00A50BA4" w:rsidP="00CF1CBC">
            <w:pPr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A526A9" w:rsidRDefault="00A50BA4" w:rsidP="00CF1CBC">
            <w:pPr>
              <w:jc w:val="center"/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мест на 1000 детей в возрасте 3-6 лет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526A9" w:rsidRDefault="00A50BA4" w:rsidP="00CF1CBC">
            <w:pPr>
              <w:jc w:val="center"/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954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526A9" w:rsidRDefault="00A50BA4" w:rsidP="00CF1CBC">
            <w:pPr>
              <w:jc w:val="center"/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969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A526A9" w:rsidRDefault="00A50BA4" w:rsidP="00CF1CBC">
            <w:pPr>
              <w:jc w:val="center"/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986</w:t>
            </w:r>
          </w:p>
        </w:tc>
      </w:tr>
      <w:tr w:rsidR="00A90834" w:rsidRPr="00A526A9" w:rsidTr="00A90834">
        <w:trPr>
          <w:trHeight w:val="699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A526A9" w:rsidRDefault="00A50BA4" w:rsidP="00CF1CBC">
            <w:pPr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Охват дополнительным образованием детей в возрасте от 5 до 18 лет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A526A9" w:rsidRDefault="00A50BA4" w:rsidP="00CF1CBC">
            <w:pPr>
              <w:jc w:val="center"/>
              <w:rPr>
                <w:sz w:val="24"/>
                <w:szCs w:val="24"/>
              </w:rPr>
            </w:pPr>
          </w:p>
          <w:p w:rsidR="00A50BA4" w:rsidRPr="00A526A9" w:rsidRDefault="00A50BA4" w:rsidP="00CF1CBC">
            <w:pPr>
              <w:jc w:val="center"/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%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526A9" w:rsidRDefault="00A50BA4" w:rsidP="00CF1CBC">
            <w:pPr>
              <w:jc w:val="center"/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63,7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A526A9" w:rsidRDefault="00A50BA4" w:rsidP="00CF1CBC">
            <w:pPr>
              <w:jc w:val="center"/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63,8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A526A9" w:rsidRDefault="00A50BA4" w:rsidP="00CF1CBC">
            <w:pPr>
              <w:jc w:val="center"/>
              <w:rPr>
                <w:sz w:val="24"/>
                <w:szCs w:val="24"/>
              </w:rPr>
            </w:pPr>
            <w:r w:rsidRPr="00A526A9">
              <w:rPr>
                <w:sz w:val="24"/>
                <w:szCs w:val="24"/>
              </w:rPr>
              <w:t>60,7</w:t>
            </w:r>
          </w:p>
        </w:tc>
      </w:tr>
    </w:tbl>
    <w:p w:rsidR="00A50BA4" w:rsidRDefault="00A50BA4" w:rsidP="00A526A9">
      <w:pPr>
        <w:pStyle w:val="aff1"/>
        <w:overflowPunct w:val="0"/>
        <w:autoSpaceDE w:val="0"/>
        <w:spacing w:line="276" w:lineRule="auto"/>
        <w:textAlignment w:val="baseline"/>
        <w:rPr>
          <w:sz w:val="24"/>
          <w:szCs w:val="24"/>
        </w:rPr>
      </w:pPr>
    </w:p>
    <w:p w:rsidR="00A50BA4" w:rsidRPr="00A526A9" w:rsidRDefault="00A50BA4" w:rsidP="00A526A9">
      <w:pPr>
        <w:pStyle w:val="aff1"/>
        <w:overflowPunct w:val="0"/>
        <w:autoSpaceDE w:val="0"/>
        <w:spacing w:line="276" w:lineRule="auto"/>
        <w:textAlignment w:val="baseline"/>
        <w:rPr>
          <w:sz w:val="24"/>
          <w:szCs w:val="24"/>
        </w:rPr>
      </w:pPr>
      <w:r w:rsidRPr="00A526A9">
        <w:rPr>
          <w:sz w:val="24"/>
          <w:szCs w:val="24"/>
        </w:rPr>
        <w:t xml:space="preserve">По оценке, обеспеченность дошкольными образовательными учреждениями в 2016 году составит 986 мест на 1000 детей в возрасте 3-6 лет, что выше прогнозных значений показателя на 2016 год, рассчитанных годом ранее. </w:t>
      </w:r>
      <w:r w:rsidRPr="00A526A9">
        <w:rPr>
          <w:color w:val="000000"/>
          <w:sz w:val="24"/>
          <w:szCs w:val="24"/>
        </w:rPr>
        <w:t xml:space="preserve">Увеличение </w:t>
      </w:r>
      <w:r w:rsidRPr="00A526A9">
        <w:rPr>
          <w:sz w:val="24"/>
          <w:szCs w:val="24"/>
        </w:rPr>
        <w:t>обеспеченности дошкольными образовательными учреждениями в 2016 году обусловлено реализацией мероприятий по созданию дополнительных мест в действующих дошкольных образовательных учреждениях.</w:t>
      </w:r>
    </w:p>
    <w:p w:rsidR="00A50BA4" w:rsidRPr="00A526A9" w:rsidRDefault="00A50BA4" w:rsidP="00A526A9">
      <w:pPr>
        <w:spacing w:line="276" w:lineRule="auto"/>
        <w:ind w:firstLine="720"/>
        <w:jc w:val="both"/>
        <w:rPr>
          <w:sz w:val="24"/>
          <w:szCs w:val="24"/>
        </w:rPr>
      </w:pPr>
      <w:r w:rsidRPr="00A526A9">
        <w:rPr>
          <w:sz w:val="24"/>
          <w:szCs w:val="24"/>
        </w:rPr>
        <w:t>Оценочное значение показателя «Охват дополнительным образованием детей в возрасте от 5 до 18 лет» на 2016 год снижено до 60,7 % в связи с фактическим уменьшением количества детей, охваченных дополнительным образованием в возрасте от 5 до 18 лет.  Это связано с реорганизацией МБОУДО «Венец» путем присоединения к МБУ «Школа № 16» в качестве структурного подразделения дополнительного образования. При этом общее количество обучающихся в структурных подразделениях дополнительного образования составило 10,8 тыс. чел.</w:t>
      </w:r>
      <w:r>
        <w:rPr>
          <w:sz w:val="24"/>
          <w:szCs w:val="24"/>
        </w:rPr>
        <w:t xml:space="preserve"> </w:t>
      </w:r>
      <w:r w:rsidRPr="00A526A9">
        <w:rPr>
          <w:sz w:val="24"/>
          <w:szCs w:val="24"/>
        </w:rPr>
        <w:t xml:space="preserve">(по итогам комплектования на 2015-2016 учебный год). </w:t>
      </w:r>
    </w:p>
    <w:p w:rsidR="00AF628F" w:rsidRDefault="00AF628F" w:rsidP="00F94E15">
      <w:pPr>
        <w:tabs>
          <w:tab w:val="left" w:pos="7485"/>
        </w:tabs>
        <w:overflowPunct w:val="0"/>
        <w:autoSpaceDE w:val="0"/>
        <w:spacing w:line="276" w:lineRule="auto"/>
        <w:jc w:val="center"/>
        <w:textAlignment w:val="baseline"/>
        <w:rPr>
          <w:b/>
          <w:sz w:val="24"/>
          <w:szCs w:val="24"/>
        </w:rPr>
      </w:pPr>
    </w:p>
    <w:p w:rsidR="00A90834" w:rsidRDefault="00A90834" w:rsidP="00F94E15">
      <w:pPr>
        <w:tabs>
          <w:tab w:val="left" w:pos="7485"/>
        </w:tabs>
        <w:overflowPunct w:val="0"/>
        <w:autoSpaceDE w:val="0"/>
        <w:spacing w:line="276" w:lineRule="auto"/>
        <w:jc w:val="center"/>
        <w:textAlignment w:val="baseline"/>
        <w:rPr>
          <w:b/>
          <w:sz w:val="24"/>
          <w:szCs w:val="24"/>
        </w:rPr>
      </w:pPr>
    </w:p>
    <w:p w:rsidR="00A90834" w:rsidRDefault="00A90834" w:rsidP="00F94E15">
      <w:pPr>
        <w:tabs>
          <w:tab w:val="left" w:pos="7485"/>
        </w:tabs>
        <w:overflowPunct w:val="0"/>
        <w:autoSpaceDE w:val="0"/>
        <w:spacing w:line="276" w:lineRule="auto"/>
        <w:jc w:val="center"/>
        <w:textAlignment w:val="baseline"/>
        <w:rPr>
          <w:b/>
          <w:sz w:val="24"/>
          <w:szCs w:val="24"/>
        </w:rPr>
      </w:pPr>
    </w:p>
    <w:p w:rsidR="00A50BA4" w:rsidRDefault="00A50BA4" w:rsidP="00F94E15">
      <w:pPr>
        <w:tabs>
          <w:tab w:val="left" w:pos="7485"/>
        </w:tabs>
        <w:overflowPunct w:val="0"/>
        <w:autoSpaceDE w:val="0"/>
        <w:spacing w:line="276" w:lineRule="auto"/>
        <w:jc w:val="center"/>
        <w:textAlignment w:val="baseline"/>
        <w:rPr>
          <w:b/>
          <w:sz w:val="24"/>
          <w:szCs w:val="24"/>
        </w:rPr>
      </w:pPr>
      <w:r w:rsidRPr="00640BF8">
        <w:rPr>
          <w:b/>
          <w:sz w:val="24"/>
          <w:szCs w:val="24"/>
        </w:rPr>
        <w:lastRenderedPageBreak/>
        <w:t>Культура</w:t>
      </w:r>
    </w:p>
    <w:p w:rsidR="00A90834" w:rsidRDefault="00A90834" w:rsidP="00F94E15">
      <w:pPr>
        <w:tabs>
          <w:tab w:val="left" w:pos="7485"/>
        </w:tabs>
        <w:overflowPunct w:val="0"/>
        <w:autoSpaceDE w:val="0"/>
        <w:spacing w:line="276" w:lineRule="auto"/>
        <w:jc w:val="center"/>
        <w:textAlignment w:val="baseline"/>
        <w:rPr>
          <w:b/>
          <w:sz w:val="24"/>
          <w:szCs w:val="24"/>
        </w:rPr>
      </w:pPr>
    </w:p>
    <w:p w:rsidR="00A50BA4" w:rsidRPr="00640BF8" w:rsidRDefault="00A50BA4" w:rsidP="00AD4E99">
      <w:pPr>
        <w:spacing w:line="276" w:lineRule="auto"/>
        <w:ind w:firstLine="709"/>
        <w:jc w:val="both"/>
        <w:rPr>
          <w:sz w:val="24"/>
          <w:szCs w:val="24"/>
        </w:rPr>
      </w:pPr>
      <w:r w:rsidRPr="00640BF8">
        <w:rPr>
          <w:sz w:val="24"/>
          <w:szCs w:val="24"/>
        </w:rPr>
        <w:t xml:space="preserve">По состоянию на 01.07.2016 г. в сфере культуры на территории городского округа Тольятти функционируют следующие учреждения: </w:t>
      </w:r>
    </w:p>
    <w:p w:rsidR="00A50BA4" w:rsidRPr="00640BF8" w:rsidRDefault="00A50BA4" w:rsidP="00AD4E99">
      <w:pPr>
        <w:pStyle w:val="aff1"/>
        <w:spacing w:line="276" w:lineRule="auto"/>
        <w:rPr>
          <w:sz w:val="24"/>
          <w:szCs w:val="24"/>
        </w:rPr>
      </w:pPr>
      <w:r w:rsidRPr="00640BF8">
        <w:rPr>
          <w:sz w:val="24"/>
          <w:szCs w:val="24"/>
        </w:rPr>
        <w:t>- 3 муниципальных учреждения культурно-досугового типа</w:t>
      </w:r>
      <w:r w:rsidRPr="00777F6C">
        <w:rPr>
          <w:sz w:val="24"/>
          <w:szCs w:val="24"/>
        </w:rPr>
        <w:t>; 59 муниципальных библиотек; 3 муниципальных музея; 4 муниципальных театра; 1 муниципальная</w:t>
      </w:r>
      <w:r w:rsidRPr="00640BF8">
        <w:rPr>
          <w:sz w:val="24"/>
          <w:szCs w:val="24"/>
        </w:rPr>
        <w:t xml:space="preserve"> концертная организация (Тольяттинская Филармония); 16 муниципальных образовательных учреждений дополнительного образования детей; 1 муниципальное учреждение высшего профессионального образования – Тольяттинская консерватория, </w:t>
      </w:r>
      <w:r w:rsidR="00A53DB5">
        <w:rPr>
          <w:sz w:val="24"/>
          <w:szCs w:val="24"/>
        </w:rPr>
        <w:t>6</w:t>
      </w:r>
      <w:r w:rsidRPr="00640BF8">
        <w:rPr>
          <w:sz w:val="24"/>
          <w:szCs w:val="24"/>
        </w:rPr>
        <w:t xml:space="preserve"> парк</w:t>
      </w:r>
      <w:r w:rsidR="00A53DB5">
        <w:rPr>
          <w:sz w:val="24"/>
          <w:szCs w:val="24"/>
        </w:rPr>
        <w:t>ов культуры и отдыха</w:t>
      </w:r>
      <w:r w:rsidRPr="00640BF8">
        <w:rPr>
          <w:sz w:val="24"/>
          <w:szCs w:val="24"/>
        </w:rPr>
        <w:t xml:space="preserve"> (</w:t>
      </w:r>
      <w:r w:rsidR="00A53DB5" w:rsidRPr="00A53DB5">
        <w:rPr>
          <w:sz w:val="24"/>
          <w:szCs w:val="24"/>
        </w:rPr>
        <w:t xml:space="preserve">Парки Комсомольского, Центрального районов, Парк Победы, Прибрежный парк, Фанни Парк, </w:t>
      </w:r>
      <w:r w:rsidRPr="00640BF8">
        <w:rPr>
          <w:sz w:val="24"/>
          <w:szCs w:val="24"/>
        </w:rPr>
        <w:t>МАУК «Парковый комплекс истории техники имени К.С. Сахарова»).</w:t>
      </w:r>
    </w:p>
    <w:p w:rsidR="00A50BA4" w:rsidRPr="00640BF8" w:rsidRDefault="00A50BA4" w:rsidP="00AD4E99">
      <w:pPr>
        <w:spacing w:line="276" w:lineRule="auto"/>
        <w:ind w:firstLine="709"/>
        <w:jc w:val="both"/>
        <w:rPr>
          <w:sz w:val="24"/>
          <w:szCs w:val="24"/>
        </w:rPr>
      </w:pPr>
      <w:r w:rsidRPr="00640BF8">
        <w:rPr>
          <w:sz w:val="24"/>
          <w:szCs w:val="24"/>
        </w:rPr>
        <w:t xml:space="preserve">Согласно данным форм федерального государственного статистического наблюдения № 6-НК «Сведения об общедоступной (публичной) библиотеке» количество общедоступных библиотек по итогам 2015 года на территории городского округа Тольятти составляло 62 единицы. Обеспеченность общедоступными библиотеками - 0,87 учреждений на 10 тыс. населения. </w:t>
      </w:r>
    </w:p>
    <w:p w:rsidR="00A50BA4" w:rsidRPr="00640BF8" w:rsidRDefault="00A50BA4" w:rsidP="00AD4E9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1 полугодии</w:t>
      </w:r>
      <w:r w:rsidRPr="00640BF8">
        <w:rPr>
          <w:sz w:val="24"/>
          <w:szCs w:val="24"/>
        </w:rPr>
        <w:t xml:space="preserve"> 2016 года прекратили деятельность  библиотеки № 12, № 16, № 17  МБУК «Библиотека Автограда» по причине отказа в аренде помещений со стороны собственников и балансодержателей  имущества (ОАО «АВТОВАЗ»,  ООО «ВМЗ», ГУЗ Больница № 5 соответственно). </w:t>
      </w:r>
      <w:r>
        <w:rPr>
          <w:sz w:val="24"/>
          <w:szCs w:val="24"/>
        </w:rPr>
        <w:t xml:space="preserve">До конца года ожидается открытие 2 библиотек: МБУК «Библиотека Автограда» по адресам: ул. Свердлова, 5 – библиотека № 12; ул. Свердлова, 10 – библиотека № 16. </w:t>
      </w:r>
      <w:r w:rsidRPr="00640BF8">
        <w:rPr>
          <w:sz w:val="24"/>
          <w:szCs w:val="24"/>
        </w:rPr>
        <w:t xml:space="preserve">Таким образом, </w:t>
      </w:r>
      <w:r w:rsidR="00A53DB5">
        <w:rPr>
          <w:sz w:val="24"/>
          <w:szCs w:val="24"/>
        </w:rPr>
        <w:t xml:space="preserve">количество общедоступных библиотек на конец 2016 года составит 61 ед., и </w:t>
      </w:r>
      <w:r w:rsidRPr="00640BF8">
        <w:rPr>
          <w:sz w:val="24"/>
          <w:szCs w:val="24"/>
        </w:rPr>
        <w:t>показател</w:t>
      </w:r>
      <w:r>
        <w:rPr>
          <w:sz w:val="24"/>
          <w:szCs w:val="24"/>
        </w:rPr>
        <w:t>ь</w:t>
      </w:r>
      <w:r w:rsidRPr="00640BF8">
        <w:rPr>
          <w:sz w:val="24"/>
          <w:szCs w:val="24"/>
        </w:rPr>
        <w:t xml:space="preserve"> обеспеченности общедоступными библиотеками </w:t>
      </w:r>
      <w:r w:rsidR="00A53DB5">
        <w:rPr>
          <w:sz w:val="24"/>
          <w:szCs w:val="24"/>
        </w:rPr>
        <w:t>-</w:t>
      </w:r>
      <w:r w:rsidRPr="00640BF8">
        <w:rPr>
          <w:sz w:val="24"/>
          <w:szCs w:val="24"/>
        </w:rPr>
        <w:t xml:space="preserve"> 0,8</w:t>
      </w:r>
      <w:r>
        <w:rPr>
          <w:sz w:val="24"/>
          <w:szCs w:val="24"/>
        </w:rPr>
        <w:t>6</w:t>
      </w:r>
      <w:r w:rsidRPr="00640BF8">
        <w:rPr>
          <w:sz w:val="24"/>
          <w:szCs w:val="24"/>
        </w:rPr>
        <w:t xml:space="preserve"> учреждений на 10 тыс. населения. </w:t>
      </w:r>
    </w:p>
    <w:p w:rsidR="00A50BA4" w:rsidRPr="00640BF8" w:rsidRDefault="00A50BA4" w:rsidP="00AD4E99">
      <w:pPr>
        <w:pStyle w:val="36"/>
        <w:spacing w:after="0" w:line="276" w:lineRule="auto"/>
        <w:ind w:left="0" w:firstLine="709"/>
        <w:jc w:val="both"/>
        <w:rPr>
          <w:szCs w:val="24"/>
        </w:rPr>
      </w:pPr>
      <w:r w:rsidRPr="00640BF8">
        <w:rPr>
          <w:szCs w:val="24"/>
        </w:rPr>
        <w:t xml:space="preserve">Согласно данным форм федерального государственного статистического наблюдения № 7-НК «Сведения об учреждении культурно-досугового типа» количество учреждений культурно-досугового типа по итогам 2015 года составило – 6 единиц (в 2014 году – 7 ед.), прекратил функционирование ДК «Машиностроитель». Обеспеченность учреждениями культурно-досугового типа в 2015 году составила - 0,08 учреждений на 10 тыс. населения (в 2014 году - 0,10 учреждений на 10 тыс. населения). </w:t>
      </w:r>
    </w:p>
    <w:p w:rsidR="00A50BA4" w:rsidRPr="00640BF8" w:rsidRDefault="00A50BA4" w:rsidP="00AD4E99">
      <w:pPr>
        <w:spacing w:line="276" w:lineRule="auto"/>
        <w:ind w:firstLine="709"/>
        <w:jc w:val="both"/>
        <w:rPr>
          <w:sz w:val="24"/>
          <w:szCs w:val="24"/>
        </w:rPr>
      </w:pPr>
      <w:r w:rsidRPr="00640BF8">
        <w:rPr>
          <w:sz w:val="24"/>
          <w:szCs w:val="24"/>
        </w:rPr>
        <w:t>В связи с завершением к 2016 году процедуры ликвидации МАУ КДК «Тольятти» количество учреждений культурно-досугового типа с 2016 года изменилось и составило 5 единиц. Обеспеченность учреждениями культурно-досугового типа снизилась с 2016 года до 0,07 учреждений на 10 тыс. населения.</w:t>
      </w:r>
    </w:p>
    <w:p w:rsidR="00AD4E99" w:rsidRDefault="00AD4E99" w:rsidP="00AD29B1">
      <w:pPr>
        <w:keepNext/>
        <w:keepLines/>
        <w:spacing w:line="276" w:lineRule="auto"/>
        <w:jc w:val="center"/>
        <w:rPr>
          <w:sz w:val="24"/>
          <w:szCs w:val="24"/>
        </w:rPr>
      </w:pPr>
    </w:p>
    <w:p w:rsidR="00A50BA4" w:rsidRDefault="00A50BA4" w:rsidP="00AD29B1">
      <w:pPr>
        <w:keepNext/>
        <w:keepLines/>
        <w:spacing w:line="276" w:lineRule="auto"/>
        <w:jc w:val="center"/>
        <w:rPr>
          <w:sz w:val="24"/>
          <w:szCs w:val="24"/>
        </w:rPr>
      </w:pPr>
      <w:r w:rsidRPr="008B20F2">
        <w:rPr>
          <w:sz w:val="24"/>
          <w:szCs w:val="24"/>
        </w:rPr>
        <w:t>Ожидаемое выполнение прогнозных показателей</w:t>
      </w:r>
      <w:r>
        <w:rPr>
          <w:sz w:val="24"/>
          <w:szCs w:val="24"/>
        </w:rPr>
        <w:t xml:space="preserve"> по разделу «Культура» </w:t>
      </w:r>
    </w:p>
    <w:p w:rsidR="00A50BA4" w:rsidRDefault="00A50BA4" w:rsidP="00AD29B1">
      <w:pPr>
        <w:keepNext/>
        <w:keepLines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2016 год</w:t>
      </w: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2134"/>
        <w:gridCol w:w="1424"/>
        <w:gridCol w:w="1390"/>
        <w:gridCol w:w="1431"/>
      </w:tblGrid>
      <w:tr w:rsidR="00A50BA4" w:rsidRPr="008B20F2" w:rsidTr="008E79C1">
        <w:trPr>
          <w:cantSplit/>
          <w:trHeight w:val="19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8B20F2" w:rsidRDefault="00A50BA4" w:rsidP="00DA59F0">
            <w:pPr>
              <w:pStyle w:val="321"/>
              <w:keepNext/>
              <w:keepLines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8B20F2">
              <w:rPr>
                <w:sz w:val="24"/>
                <w:szCs w:val="24"/>
              </w:rPr>
              <w:t>Показатели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8B20F2" w:rsidRDefault="00A50BA4" w:rsidP="00DA59F0">
            <w:pPr>
              <w:pStyle w:val="321"/>
              <w:keepNext/>
              <w:keepLines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8B20F2">
              <w:rPr>
                <w:sz w:val="24"/>
                <w:szCs w:val="24"/>
              </w:rPr>
              <w:t>Ед. изм.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8E79C1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 xml:space="preserve">Прогноз </w:t>
            </w:r>
            <w:r>
              <w:rPr>
                <w:sz w:val="24"/>
                <w:szCs w:val="24"/>
              </w:rPr>
              <w:t xml:space="preserve">на </w:t>
            </w: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6E74" w:rsidRDefault="00A50BA4" w:rsidP="008E79C1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 (оценка)</w:t>
            </w:r>
          </w:p>
        </w:tc>
      </w:tr>
      <w:tr w:rsidR="00A50BA4" w:rsidRPr="008B20F2" w:rsidTr="003B59D5">
        <w:trPr>
          <w:cantSplit/>
          <w:trHeight w:val="19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8B20F2" w:rsidRDefault="00A50BA4" w:rsidP="00DA59F0">
            <w:pPr>
              <w:pStyle w:val="321"/>
              <w:keepNext/>
              <w:keepLines/>
              <w:snapToGrid w:val="0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8B20F2" w:rsidRDefault="00A50BA4" w:rsidP="00DA59F0">
            <w:pPr>
              <w:pStyle w:val="321"/>
              <w:keepNext/>
              <w:keepLines/>
              <w:snapToGrid w:val="0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8B20F2" w:rsidRDefault="00A50BA4" w:rsidP="00DA59F0">
            <w:pPr>
              <w:pStyle w:val="321"/>
              <w:keepNext/>
              <w:keepLines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8B20F2">
              <w:rPr>
                <w:sz w:val="24"/>
                <w:szCs w:val="24"/>
              </w:rPr>
              <w:t>1 вариант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8B20F2" w:rsidRDefault="00A50BA4" w:rsidP="00DA59F0">
            <w:pPr>
              <w:pStyle w:val="321"/>
              <w:keepNext/>
              <w:keepLines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8B20F2">
              <w:rPr>
                <w:sz w:val="24"/>
                <w:szCs w:val="24"/>
              </w:rPr>
              <w:t>2 вариант</w:t>
            </w: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8B20F2" w:rsidRDefault="00A50BA4" w:rsidP="00DA59F0">
            <w:pPr>
              <w:pStyle w:val="321"/>
              <w:keepNext/>
              <w:keepLines/>
              <w:snapToGrid w:val="0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A50BA4" w:rsidRPr="008B20F2" w:rsidTr="003B59D5">
        <w:trPr>
          <w:trHeight w:val="7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Default="00A50BA4" w:rsidP="00A90834">
            <w:pPr>
              <w:pStyle w:val="321"/>
              <w:keepNext/>
              <w:keepLines/>
              <w:spacing w:after="0"/>
              <w:ind w:left="0"/>
              <w:rPr>
                <w:sz w:val="24"/>
                <w:szCs w:val="24"/>
              </w:rPr>
            </w:pPr>
            <w:r w:rsidRPr="008B20F2">
              <w:rPr>
                <w:sz w:val="24"/>
                <w:szCs w:val="24"/>
              </w:rPr>
              <w:t>Обеспеченность:</w:t>
            </w:r>
          </w:p>
          <w:p w:rsidR="00A50BA4" w:rsidRPr="008B20F2" w:rsidRDefault="00A50BA4" w:rsidP="00A90834">
            <w:pPr>
              <w:pStyle w:val="321"/>
              <w:keepNext/>
              <w:keepLines/>
              <w:spacing w:after="0"/>
              <w:ind w:left="0"/>
              <w:rPr>
                <w:sz w:val="24"/>
                <w:szCs w:val="24"/>
              </w:rPr>
            </w:pPr>
            <w:r w:rsidRPr="008B20F2">
              <w:rPr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8B20F2" w:rsidRDefault="00A50BA4" w:rsidP="00A90834">
            <w:pPr>
              <w:pStyle w:val="321"/>
              <w:keepNext/>
              <w:keepLines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A50BA4" w:rsidRPr="008B20F2" w:rsidRDefault="00A50BA4" w:rsidP="00A90834">
            <w:pPr>
              <w:pStyle w:val="321"/>
              <w:keepNext/>
              <w:keepLine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B20F2">
              <w:rPr>
                <w:sz w:val="24"/>
                <w:szCs w:val="24"/>
              </w:rPr>
              <w:t>учреждений на 10 тыс.  населения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8B20F2" w:rsidRDefault="00A50BA4" w:rsidP="00BB727B">
            <w:pPr>
              <w:pStyle w:val="321"/>
              <w:keepNext/>
              <w:keepLines/>
              <w:snapToGrid w:val="0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A50BA4" w:rsidRPr="008B20F2" w:rsidRDefault="00A50BA4" w:rsidP="00BB727B">
            <w:pPr>
              <w:pStyle w:val="321"/>
              <w:keepNext/>
              <w:keepLines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8B20F2">
              <w:rPr>
                <w:sz w:val="24"/>
                <w:szCs w:val="24"/>
              </w:rPr>
              <w:t>0,87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8B20F2" w:rsidRDefault="00A50BA4" w:rsidP="00BB727B">
            <w:pPr>
              <w:pStyle w:val="321"/>
              <w:keepNext/>
              <w:keepLines/>
              <w:snapToGrid w:val="0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A50BA4" w:rsidRPr="008B20F2" w:rsidRDefault="00A50BA4" w:rsidP="00BB727B">
            <w:pPr>
              <w:pStyle w:val="321"/>
              <w:keepNext/>
              <w:keepLines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8B20F2">
              <w:rPr>
                <w:sz w:val="24"/>
                <w:szCs w:val="24"/>
              </w:rPr>
              <w:t>0,87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8B20F2" w:rsidRDefault="00A50BA4" w:rsidP="00BB727B">
            <w:pPr>
              <w:pStyle w:val="321"/>
              <w:keepNext/>
              <w:keepLines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A50BA4" w:rsidRPr="008B20F2" w:rsidRDefault="00A50BA4" w:rsidP="009F3E1C">
            <w:pPr>
              <w:pStyle w:val="321"/>
              <w:keepNext/>
              <w:keepLines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8B20F2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6</w:t>
            </w:r>
          </w:p>
        </w:tc>
      </w:tr>
      <w:tr w:rsidR="00A50BA4" w:rsidRPr="00BE0E7B" w:rsidTr="003B59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8B20F2" w:rsidRDefault="00A50BA4" w:rsidP="00CF1CBC">
            <w:pPr>
              <w:pStyle w:val="321"/>
              <w:keepNext/>
              <w:keepLines/>
              <w:spacing w:after="0"/>
              <w:ind w:left="0"/>
              <w:rPr>
                <w:sz w:val="24"/>
                <w:szCs w:val="24"/>
              </w:rPr>
            </w:pPr>
            <w:r w:rsidRPr="008B20F2">
              <w:rPr>
                <w:sz w:val="24"/>
                <w:szCs w:val="24"/>
              </w:rPr>
              <w:t>Учреждениями культурно-досугового типа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8B20F2" w:rsidRDefault="00A50BA4" w:rsidP="00CF1CBC">
            <w:pPr>
              <w:pStyle w:val="321"/>
              <w:keepNext/>
              <w:keepLine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B20F2">
              <w:rPr>
                <w:sz w:val="24"/>
                <w:szCs w:val="24"/>
              </w:rPr>
              <w:t>учреждений на 10 тыс.  населения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8B20F2" w:rsidRDefault="00A50BA4" w:rsidP="00BB727B">
            <w:pPr>
              <w:pStyle w:val="321"/>
              <w:keepNext/>
              <w:keepLine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B20F2">
              <w:rPr>
                <w:sz w:val="24"/>
                <w:szCs w:val="24"/>
              </w:rPr>
              <w:t>0,08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8B20F2" w:rsidRDefault="00A50BA4" w:rsidP="00BB727B">
            <w:pPr>
              <w:pStyle w:val="321"/>
              <w:keepNext/>
              <w:keepLines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8B20F2">
              <w:rPr>
                <w:sz w:val="24"/>
                <w:szCs w:val="24"/>
              </w:rPr>
              <w:t>0,08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8B20F2" w:rsidRDefault="00A50BA4" w:rsidP="00BB727B">
            <w:pPr>
              <w:pStyle w:val="321"/>
              <w:keepNext/>
              <w:keepLines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8B20F2">
              <w:rPr>
                <w:sz w:val="24"/>
                <w:szCs w:val="24"/>
              </w:rPr>
              <w:t>0,07</w:t>
            </w:r>
          </w:p>
        </w:tc>
      </w:tr>
    </w:tbl>
    <w:p w:rsidR="00A50BA4" w:rsidRDefault="00A50BA4" w:rsidP="00A423B6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</w:p>
    <w:p w:rsidR="00A50BA4" w:rsidRPr="00000D7A" w:rsidRDefault="00A50BA4" w:rsidP="00452709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000D7A">
        <w:rPr>
          <w:sz w:val="24"/>
          <w:szCs w:val="24"/>
        </w:rPr>
        <w:lastRenderedPageBreak/>
        <w:t xml:space="preserve">Одной из серьезных проблем в текущем году по-прежнему остается состояние материально-технической базы учреждений культуры. Для преодоления сложностей социально-экономического характера используется применение программно-целевого метода управления.  </w:t>
      </w:r>
    </w:p>
    <w:p w:rsidR="00A50BA4" w:rsidRPr="00000D7A" w:rsidRDefault="00A50BA4" w:rsidP="00452709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000D7A">
        <w:rPr>
          <w:sz w:val="24"/>
          <w:szCs w:val="24"/>
        </w:rPr>
        <w:t>В рамках муниципальной программы «Культура Тольятти (2014-2018 гг.)»,</w:t>
      </w:r>
      <w:r w:rsidR="00DA3524">
        <w:rPr>
          <w:sz w:val="24"/>
          <w:szCs w:val="24"/>
        </w:rPr>
        <w:t xml:space="preserve"> утвержденной постановлением мэрия городского округа Тольятти </w:t>
      </w:r>
      <w:r w:rsidR="00DA3524" w:rsidRPr="00000D7A">
        <w:rPr>
          <w:sz w:val="24"/>
          <w:szCs w:val="24"/>
        </w:rPr>
        <w:t>от 30.09.2013 № 2988-п/1 (перечень программных мероприятий с финансовым обеспечением в редакции постановления мэрии городского округа Тольятти от 03.06.2016 № 1778-п/1),</w:t>
      </w:r>
      <w:r w:rsidRPr="00000D7A">
        <w:rPr>
          <w:sz w:val="24"/>
          <w:szCs w:val="24"/>
        </w:rPr>
        <w:t xml:space="preserve"> на материально-техническое оснащение объектов культуры из средств бюджета городского округа Тольятти в 2016 году запланировано 6 926,0 тыс. руб. (создание экспозиций и выставок муниципальных музеев, выборочный капитальный ремонт МБУК «ТБК», МБУК ОДБ, МБУ ДО ДШИ «Лицей искусств», МБУ ДО ДШИ «Камертон», МБУ ДО ДМШ № 4 им. В.М. Свердлова, МБУ ДО ДДК), что будет способствовать созданию благоприятных условий  для оказания услуг в последующий период. </w:t>
      </w:r>
    </w:p>
    <w:p w:rsidR="00DA3524" w:rsidRDefault="00DA3524" w:rsidP="00DA3524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000D7A">
        <w:rPr>
          <w:sz w:val="24"/>
          <w:szCs w:val="24"/>
        </w:rPr>
        <w:t>В перспективе ожидается поступление средств вышестоящих бюджетов на поддержку  деятельности МАУК «Парковый комплекс истории техники имени К.Г. Сахарова» и укрепление материально-технической базы МАУ «Дворец культуры, искусства и творчества», МБУК «Тольяттинский краеведческий музей», МАУИ ТЮЗ «Дилижанс», МАУИиК «Тольяттинская филармония» и</w:t>
      </w:r>
      <w:r>
        <w:rPr>
          <w:sz w:val="24"/>
          <w:szCs w:val="24"/>
        </w:rPr>
        <w:t xml:space="preserve"> </w:t>
      </w:r>
      <w:r w:rsidRPr="00000D7A">
        <w:rPr>
          <w:sz w:val="24"/>
          <w:szCs w:val="24"/>
        </w:rPr>
        <w:t xml:space="preserve">др. </w:t>
      </w:r>
    </w:p>
    <w:p w:rsidR="00DA3524" w:rsidRPr="00000D7A" w:rsidRDefault="00DA3524" w:rsidP="00DA3524">
      <w:pPr>
        <w:pStyle w:val="2a"/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000D7A">
        <w:rPr>
          <w:sz w:val="24"/>
          <w:szCs w:val="24"/>
        </w:rPr>
        <w:t xml:space="preserve">Вопросы по включению заявок в государственные программы (в том числе:  в </w:t>
      </w:r>
      <w:r w:rsidRPr="00000D7A">
        <w:rPr>
          <w:bCs/>
          <w:sz w:val="24"/>
          <w:szCs w:val="24"/>
        </w:rPr>
        <w:t xml:space="preserve">государственную программу «Развитие культуры в Самарской области на период до 2020 года», утвержденную постановлением Правительства Самарской </w:t>
      </w:r>
      <w:r w:rsidRPr="000A35E6">
        <w:rPr>
          <w:bCs/>
          <w:sz w:val="24"/>
          <w:szCs w:val="24"/>
        </w:rPr>
        <w:t xml:space="preserve">области от 27.11.2013 № 682; государственную программу «Доступная среда в Самарской области» на 2014-2020 гг., утвержденную постановлением Правительства Самарской области от 27.11.2013 г. № 671) </w:t>
      </w:r>
      <w:r w:rsidRPr="000A35E6">
        <w:rPr>
          <w:sz w:val="24"/>
          <w:szCs w:val="24"/>
        </w:rPr>
        <w:t>решаются  во  взаимодействии с профильным министерством Самарской области.</w:t>
      </w:r>
      <w:r w:rsidRPr="000A35E6">
        <w:rPr>
          <w:bCs/>
          <w:sz w:val="24"/>
          <w:szCs w:val="24"/>
        </w:rPr>
        <w:t xml:space="preserve"> Общая сметная стоимость заявок на прогнозном периоде составляет 118 932,2 тыс. руб.</w:t>
      </w:r>
    </w:p>
    <w:p w:rsidR="00A50BA4" w:rsidRDefault="00A50BA4" w:rsidP="00A423B6">
      <w:pPr>
        <w:pStyle w:val="2a"/>
        <w:spacing w:after="0" w:line="276" w:lineRule="auto"/>
        <w:ind w:firstLine="709"/>
        <w:jc w:val="both"/>
        <w:rPr>
          <w:color w:val="1D1B11"/>
          <w:sz w:val="24"/>
          <w:szCs w:val="24"/>
        </w:rPr>
      </w:pPr>
      <w:r w:rsidRPr="00A943CB">
        <w:rPr>
          <w:bCs/>
          <w:sz w:val="24"/>
          <w:szCs w:val="24"/>
        </w:rPr>
        <w:t>В целях участия  в федеральной целевой программе «Культура России (2012-2018 годы)» и в ф</w:t>
      </w:r>
      <w:r w:rsidRPr="00A943CB">
        <w:rPr>
          <w:sz w:val="24"/>
          <w:szCs w:val="24"/>
        </w:rPr>
        <w:t>едеральной адресной инвестиционной программе оформлены заявки на культурно-массовые мероприятия и мероприятия по реконструкции объектов культуры в</w:t>
      </w:r>
      <w:r w:rsidRPr="00A943CB">
        <w:rPr>
          <w:bCs/>
          <w:sz w:val="24"/>
          <w:szCs w:val="24"/>
        </w:rPr>
        <w:t xml:space="preserve"> рамках выполнения Плана основных мероприятий по подготовке и проведению празднования 50-летия выпуска первого легкового автомобиля ВАЗ в г</w:t>
      </w:r>
      <w:r w:rsidR="00A943CB" w:rsidRPr="00A943CB">
        <w:rPr>
          <w:bCs/>
          <w:sz w:val="24"/>
          <w:szCs w:val="24"/>
        </w:rPr>
        <w:t xml:space="preserve">ородском округе </w:t>
      </w:r>
      <w:r w:rsidRPr="00A943CB">
        <w:rPr>
          <w:bCs/>
          <w:sz w:val="24"/>
          <w:szCs w:val="24"/>
        </w:rPr>
        <w:t xml:space="preserve"> Тольятти</w:t>
      </w:r>
      <w:r w:rsidR="00A943CB" w:rsidRPr="00A943CB">
        <w:rPr>
          <w:bCs/>
          <w:sz w:val="24"/>
          <w:szCs w:val="24"/>
        </w:rPr>
        <w:t>, утвержденного Председателем Правительства Р</w:t>
      </w:r>
      <w:r w:rsidR="00A943CB">
        <w:rPr>
          <w:bCs/>
          <w:sz w:val="24"/>
          <w:szCs w:val="24"/>
        </w:rPr>
        <w:t>оссийской Федерации</w:t>
      </w:r>
      <w:r w:rsidR="00A943CB" w:rsidRPr="00A943CB">
        <w:rPr>
          <w:bCs/>
          <w:sz w:val="24"/>
          <w:szCs w:val="24"/>
        </w:rPr>
        <w:t xml:space="preserve"> </w:t>
      </w:r>
      <w:r w:rsidR="00A943CB">
        <w:rPr>
          <w:bCs/>
          <w:sz w:val="24"/>
          <w:szCs w:val="24"/>
        </w:rPr>
        <w:t xml:space="preserve">Медведевым Д.А. </w:t>
      </w:r>
      <w:r w:rsidR="00A943CB" w:rsidRPr="00A943CB">
        <w:rPr>
          <w:bCs/>
          <w:sz w:val="24"/>
          <w:szCs w:val="24"/>
        </w:rPr>
        <w:t>от 16.09.2016 № 6929п-П9</w:t>
      </w:r>
      <w:r w:rsidRPr="00A943CB">
        <w:rPr>
          <w:bCs/>
          <w:sz w:val="24"/>
          <w:szCs w:val="24"/>
        </w:rPr>
        <w:t xml:space="preserve"> (общая стоимость предложений составляет </w:t>
      </w:r>
      <w:r w:rsidR="00A943CB" w:rsidRPr="00A943CB">
        <w:rPr>
          <w:bCs/>
          <w:sz w:val="24"/>
          <w:szCs w:val="24"/>
        </w:rPr>
        <w:t xml:space="preserve">   </w:t>
      </w:r>
      <w:r w:rsidRPr="0048440B">
        <w:rPr>
          <w:sz w:val="24"/>
          <w:szCs w:val="24"/>
        </w:rPr>
        <w:t>1</w:t>
      </w:r>
      <w:r w:rsidR="0048440B" w:rsidRPr="0048440B">
        <w:rPr>
          <w:sz w:val="24"/>
          <w:szCs w:val="24"/>
        </w:rPr>
        <w:t> 018 802,0</w:t>
      </w:r>
      <w:r w:rsidRPr="0048440B">
        <w:rPr>
          <w:b/>
          <w:bCs/>
          <w:sz w:val="24"/>
          <w:szCs w:val="24"/>
        </w:rPr>
        <w:t xml:space="preserve"> </w:t>
      </w:r>
      <w:r w:rsidRPr="0048440B">
        <w:rPr>
          <w:bCs/>
          <w:sz w:val="24"/>
          <w:szCs w:val="24"/>
        </w:rPr>
        <w:t>тыс. руб.).</w:t>
      </w:r>
    </w:p>
    <w:p w:rsidR="00A50BA4" w:rsidRDefault="00A50BA4" w:rsidP="00640BF8">
      <w:pPr>
        <w:pStyle w:val="2a"/>
        <w:spacing w:after="0" w:line="276" w:lineRule="auto"/>
        <w:ind w:right="-2" w:firstLine="709"/>
        <w:jc w:val="both"/>
        <w:rPr>
          <w:color w:val="1D1B11"/>
          <w:sz w:val="24"/>
          <w:szCs w:val="24"/>
        </w:rPr>
      </w:pPr>
    </w:p>
    <w:p w:rsidR="00A50BA4" w:rsidRDefault="00A50BA4" w:rsidP="00FC515F">
      <w:pPr>
        <w:pStyle w:val="2a"/>
        <w:spacing w:after="0" w:line="276" w:lineRule="auto"/>
        <w:jc w:val="center"/>
        <w:rPr>
          <w:b/>
          <w:bCs/>
          <w:sz w:val="24"/>
          <w:szCs w:val="24"/>
        </w:rPr>
      </w:pPr>
      <w:r w:rsidRPr="00C438A0">
        <w:rPr>
          <w:b/>
          <w:bCs/>
          <w:sz w:val="24"/>
          <w:szCs w:val="24"/>
        </w:rPr>
        <w:t>Физическая культура и спорт</w:t>
      </w:r>
    </w:p>
    <w:p w:rsidR="00A50BA4" w:rsidRPr="00C438A0" w:rsidRDefault="00A50BA4" w:rsidP="00FC515F">
      <w:pPr>
        <w:pStyle w:val="2a"/>
        <w:spacing w:after="0" w:line="276" w:lineRule="auto"/>
        <w:jc w:val="center"/>
        <w:rPr>
          <w:b/>
          <w:bCs/>
          <w:sz w:val="24"/>
          <w:szCs w:val="24"/>
        </w:rPr>
      </w:pPr>
    </w:p>
    <w:p w:rsidR="00A50BA4" w:rsidRPr="00C438A0" w:rsidRDefault="00A50BA4" w:rsidP="00A423B6">
      <w:pPr>
        <w:pStyle w:val="310"/>
        <w:spacing w:line="276" w:lineRule="auto"/>
        <w:ind w:left="0" w:firstLine="709"/>
        <w:rPr>
          <w:szCs w:val="24"/>
        </w:rPr>
      </w:pPr>
      <w:r w:rsidRPr="00C438A0">
        <w:rPr>
          <w:szCs w:val="24"/>
        </w:rPr>
        <w:t>Деятельность спортивных объектов и детских спортивных школ направлена на увеличение численности населения, систематически занимающегося физической культурой и спортом. Спортивные объекты, находящиеся в оперативном управлении детско-юношеских спортивных школ, обеспечивают возможность для проведения занятий на безвозмездной основе.</w:t>
      </w:r>
    </w:p>
    <w:p w:rsidR="00A50BA4" w:rsidRPr="00C438A0" w:rsidRDefault="00A50BA4" w:rsidP="00A423B6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C438A0">
        <w:rPr>
          <w:sz w:val="24"/>
          <w:szCs w:val="24"/>
          <w:lang w:eastAsia="ar-SA"/>
        </w:rPr>
        <w:t xml:space="preserve">По состоянию на 01.07.2016 </w:t>
      </w:r>
      <w:r>
        <w:rPr>
          <w:sz w:val="24"/>
          <w:szCs w:val="24"/>
          <w:lang w:eastAsia="ar-SA"/>
        </w:rPr>
        <w:t>г.</w:t>
      </w:r>
      <w:r w:rsidRPr="00C438A0">
        <w:rPr>
          <w:sz w:val="24"/>
          <w:szCs w:val="24"/>
          <w:lang w:eastAsia="ar-SA"/>
        </w:rPr>
        <w:t xml:space="preserve"> на территории городского округа Тольятти действует 759 спортивных сооружений, из них 625 - муниципальные. Увеличение количества спортивных сооружений по сравнению с аналогичным периодом 2015 года на </w:t>
      </w:r>
      <w:r w:rsidRPr="00C438A0">
        <w:rPr>
          <w:sz w:val="24"/>
          <w:szCs w:val="24"/>
          <w:lang w:eastAsia="ar-SA"/>
        </w:rPr>
        <w:lastRenderedPageBreak/>
        <w:t>1,2 % связано с вводом в эксплуатацию спортивных сооружений, их паспортизацией (9 объектов: из них 7 ед. - плоскостные спортивные сооружения  и  2 ед. бассейна).</w:t>
      </w:r>
    </w:p>
    <w:p w:rsidR="00A50BA4" w:rsidRPr="00C438A0" w:rsidRDefault="00A50BA4" w:rsidP="00A423B6">
      <w:pPr>
        <w:pStyle w:val="310"/>
        <w:widowControl w:val="0"/>
        <w:spacing w:line="276" w:lineRule="auto"/>
        <w:ind w:left="0" w:firstLine="709"/>
        <w:rPr>
          <w:szCs w:val="24"/>
        </w:rPr>
      </w:pPr>
      <w:r w:rsidRPr="00C438A0">
        <w:rPr>
          <w:szCs w:val="24"/>
          <w:lang w:eastAsia="ar-SA"/>
        </w:rPr>
        <w:t>По оценке</w:t>
      </w:r>
      <w:r>
        <w:rPr>
          <w:szCs w:val="24"/>
          <w:lang w:eastAsia="ar-SA"/>
        </w:rPr>
        <w:t>,</w:t>
      </w:r>
      <w:r w:rsidRPr="00C438A0">
        <w:rPr>
          <w:szCs w:val="24"/>
          <w:lang w:eastAsia="ar-SA"/>
        </w:rPr>
        <w:t xml:space="preserve"> количество спортивных сооружений в 2016 году </w:t>
      </w:r>
      <w:r w:rsidRPr="00C438A0">
        <w:rPr>
          <w:iCs/>
          <w:szCs w:val="24"/>
        </w:rPr>
        <w:t>составит 767 ед.</w:t>
      </w:r>
    </w:p>
    <w:p w:rsidR="00A50BA4" w:rsidRPr="00C438A0" w:rsidRDefault="00A50BA4" w:rsidP="00A423B6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C438A0">
        <w:rPr>
          <w:sz w:val="24"/>
          <w:szCs w:val="24"/>
          <w:lang w:eastAsia="ar-SA"/>
        </w:rPr>
        <w:t>На территории Тольятти спортивную работу проводят:</w:t>
      </w:r>
    </w:p>
    <w:p w:rsidR="00A50BA4" w:rsidRPr="00C438A0" w:rsidRDefault="00A50BA4" w:rsidP="00A423B6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C438A0">
        <w:rPr>
          <w:sz w:val="24"/>
          <w:szCs w:val="24"/>
          <w:lang w:eastAsia="ar-SA"/>
        </w:rPr>
        <w:t xml:space="preserve">- 14 муниципальных бюджетных учреждений дополнительного образования (комплексных) специализированных детско-юношеских спортивных школ олимпийского резерва с общим количеством обучающихся – 14 951 чел. По сравнению с 1 полугодием 2015 года по количеству школ и количеству учащихся изменений не произошло; </w:t>
      </w:r>
    </w:p>
    <w:p w:rsidR="00A50BA4" w:rsidRPr="00C438A0" w:rsidRDefault="00A50BA4" w:rsidP="00A423B6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C438A0">
        <w:rPr>
          <w:sz w:val="24"/>
          <w:szCs w:val="24"/>
          <w:lang w:eastAsia="ar-SA"/>
        </w:rPr>
        <w:t>- 123 клуба по месту жительства</w:t>
      </w:r>
      <w:r>
        <w:rPr>
          <w:sz w:val="24"/>
          <w:szCs w:val="24"/>
          <w:lang w:eastAsia="ar-SA"/>
        </w:rPr>
        <w:t xml:space="preserve"> (</w:t>
      </w:r>
      <w:r w:rsidRPr="00C438A0">
        <w:rPr>
          <w:sz w:val="24"/>
          <w:szCs w:val="24"/>
          <w:lang w:eastAsia="ar-SA"/>
        </w:rPr>
        <w:t>на уровне 1 полугодия 2015 года</w:t>
      </w:r>
      <w:r>
        <w:rPr>
          <w:sz w:val="24"/>
          <w:szCs w:val="24"/>
          <w:lang w:eastAsia="ar-SA"/>
        </w:rPr>
        <w:t>)</w:t>
      </w:r>
      <w:r w:rsidR="00C952D2">
        <w:rPr>
          <w:sz w:val="24"/>
          <w:szCs w:val="24"/>
          <w:lang w:eastAsia="ar-SA"/>
        </w:rPr>
        <w:t>,</w:t>
      </w:r>
      <w:r w:rsidRPr="00C438A0">
        <w:rPr>
          <w:sz w:val="24"/>
          <w:szCs w:val="24"/>
          <w:lang w:eastAsia="ar-SA"/>
        </w:rPr>
        <w:t xml:space="preserve"> количество членов клубов составило 32 099 чел.;</w:t>
      </w:r>
    </w:p>
    <w:p w:rsidR="00A50BA4" w:rsidRPr="00C438A0" w:rsidRDefault="00A50BA4" w:rsidP="00A423B6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C438A0">
        <w:rPr>
          <w:sz w:val="24"/>
          <w:szCs w:val="24"/>
          <w:lang w:eastAsia="ar-SA"/>
        </w:rPr>
        <w:t>- 457 коллектив</w:t>
      </w:r>
      <w:r>
        <w:rPr>
          <w:sz w:val="24"/>
          <w:szCs w:val="24"/>
          <w:lang w:eastAsia="ar-SA"/>
        </w:rPr>
        <w:t>ов</w:t>
      </w:r>
      <w:r w:rsidRPr="00C438A0">
        <w:rPr>
          <w:sz w:val="24"/>
          <w:szCs w:val="24"/>
          <w:lang w:eastAsia="ar-SA"/>
        </w:rPr>
        <w:t xml:space="preserve"> физической культуры. Число коллективов физической культуры увеличилось на 2,0 % в связи с выявлением организаций спортивного направления, не участвовавших ранее в государственной статистической отчетности.</w:t>
      </w:r>
    </w:p>
    <w:p w:rsidR="00A50BA4" w:rsidRPr="00C438A0" w:rsidRDefault="00A50BA4" w:rsidP="00A423B6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C438A0">
        <w:rPr>
          <w:sz w:val="24"/>
          <w:szCs w:val="24"/>
          <w:lang w:eastAsia="ar-SA"/>
        </w:rPr>
        <w:t>В 1 полугодии 2016 года в городском округе Тольятти было проведено 163 официальных физкультурно-спортивных мероприятий, в которых приняли участие 54 502 человек (на 4,9 % выше уровня 1 полугодия 2015 года), в т.ч.:</w:t>
      </w:r>
    </w:p>
    <w:p w:rsidR="00A50BA4" w:rsidRPr="00C438A0" w:rsidRDefault="00A50BA4" w:rsidP="00A423B6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C438A0">
        <w:rPr>
          <w:sz w:val="24"/>
          <w:szCs w:val="24"/>
          <w:lang w:eastAsia="ar-SA"/>
        </w:rPr>
        <w:t>- по видам спорта – 119 мероприятия (22 710 участников);</w:t>
      </w:r>
    </w:p>
    <w:p w:rsidR="00A50BA4" w:rsidRPr="00C438A0" w:rsidRDefault="00A50BA4" w:rsidP="00A423B6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C438A0">
        <w:rPr>
          <w:sz w:val="24"/>
          <w:szCs w:val="24"/>
          <w:lang w:eastAsia="ar-SA"/>
        </w:rPr>
        <w:t>- общегородских   – 44 мероприятия (31 792 участников).</w:t>
      </w:r>
    </w:p>
    <w:p w:rsidR="00A50BA4" w:rsidRDefault="00A50BA4" w:rsidP="00C438A0">
      <w:pPr>
        <w:spacing w:line="276" w:lineRule="auto"/>
        <w:ind w:firstLine="709"/>
        <w:jc w:val="center"/>
        <w:rPr>
          <w:sz w:val="24"/>
          <w:szCs w:val="24"/>
        </w:rPr>
      </w:pPr>
    </w:p>
    <w:p w:rsidR="00A50BA4" w:rsidRPr="00C438A0" w:rsidRDefault="00A50BA4" w:rsidP="00C5633B">
      <w:pPr>
        <w:spacing w:line="276" w:lineRule="auto"/>
        <w:jc w:val="center"/>
        <w:rPr>
          <w:sz w:val="24"/>
          <w:szCs w:val="24"/>
        </w:rPr>
      </w:pPr>
      <w:r w:rsidRPr="00C438A0">
        <w:rPr>
          <w:sz w:val="24"/>
          <w:szCs w:val="24"/>
        </w:rPr>
        <w:t>Ожидаемое выполнение прогнозных показателей по разделу</w:t>
      </w:r>
    </w:p>
    <w:p w:rsidR="00A50BA4" w:rsidRDefault="00A50BA4" w:rsidP="00C5633B">
      <w:pPr>
        <w:spacing w:line="276" w:lineRule="auto"/>
        <w:jc w:val="center"/>
        <w:rPr>
          <w:sz w:val="24"/>
          <w:szCs w:val="24"/>
        </w:rPr>
      </w:pPr>
      <w:r w:rsidRPr="00C438A0">
        <w:rPr>
          <w:sz w:val="24"/>
          <w:szCs w:val="24"/>
        </w:rPr>
        <w:t>«Физическая культура и спорт»</w:t>
      </w:r>
      <w:r>
        <w:rPr>
          <w:sz w:val="24"/>
          <w:szCs w:val="24"/>
        </w:rPr>
        <w:t xml:space="preserve"> на 2016 год</w:t>
      </w:r>
    </w:p>
    <w:p w:rsidR="00A50BA4" w:rsidRPr="00C438A0" w:rsidRDefault="00A50BA4" w:rsidP="00C438A0">
      <w:pPr>
        <w:spacing w:line="276" w:lineRule="auto"/>
        <w:ind w:firstLine="709"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1276"/>
        <w:gridCol w:w="1559"/>
        <w:gridCol w:w="1276"/>
        <w:gridCol w:w="1276"/>
      </w:tblGrid>
      <w:tr w:rsidR="00A50BA4" w:rsidRPr="00C438A0" w:rsidTr="00A73686">
        <w:trPr>
          <w:trHeight w:hRule="exact" w:val="332"/>
          <w:tblHeader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438A0" w:rsidRDefault="00A50BA4" w:rsidP="005E5D9D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438A0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438A0" w:rsidRDefault="00A50BA4" w:rsidP="00FB4E2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438A0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  <w:r w:rsidRPr="00C438A0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A73686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 xml:space="preserve">Прогноз </w:t>
            </w:r>
            <w:r>
              <w:rPr>
                <w:sz w:val="24"/>
                <w:szCs w:val="24"/>
              </w:rPr>
              <w:t xml:space="preserve">на </w:t>
            </w: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6E74" w:rsidRDefault="00A50BA4" w:rsidP="00A73686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 (оценка)</w:t>
            </w:r>
          </w:p>
        </w:tc>
      </w:tr>
      <w:tr w:rsidR="00A50BA4" w:rsidRPr="00C438A0" w:rsidTr="00FB4E2F">
        <w:trPr>
          <w:trHeight w:hRule="exact" w:val="332"/>
          <w:tblHeader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438A0" w:rsidRDefault="00A50BA4" w:rsidP="005E5D9D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438A0" w:rsidRDefault="00A50BA4" w:rsidP="005E5D9D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0BA4" w:rsidRPr="00C438A0" w:rsidRDefault="00A50BA4" w:rsidP="00AD5CB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438A0">
              <w:rPr>
                <w:sz w:val="24"/>
                <w:szCs w:val="24"/>
              </w:rPr>
              <w:t>1 вариант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0BA4" w:rsidRPr="00C438A0" w:rsidRDefault="00A50BA4" w:rsidP="00AD5CB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438A0">
              <w:rPr>
                <w:sz w:val="24"/>
                <w:szCs w:val="24"/>
              </w:rPr>
              <w:t>2 вариант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C438A0" w:rsidRDefault="00A50BA4" w:rsidP="005E5D9D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50BA4" w:rsidRPr="00C438A0" w:rsidTr="00FB4E2F">
        <w:trPr>
          <w:trHeight w:val="926"/>
        </w:trPr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0BA4" w:rsidRPr="00C438A0" w:rsidRDefault="00A50BA4" w:rsidP="00CF1CBC">
            <w:pPr>
              <w:snapToGrid w:val="0"/>
              <w:rPr>
                <w:iCs/>
                <w:sz w:val="24"/>
                <w:szCs w:val="24"/>
              </w:rPr>
            </w:pPr>
            <w:r w:rsidRPr="00C438A0">
              <w:rPr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0BA4" w:rsidRPr="00C438A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C438A0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0BA4" w:rsidRPr="00C438A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C438A0">
              <w:rPr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0BA4" w:rsidRPr="00C438A0" w:rsidRDefault="00A50BA4" w:rsidP="00CF1CBC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438A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BA4" w:rsidRPr="00C438A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C438A0">
              <w:rPr>
                <w:iCs/>
                <w:sz w:val="24"/>
                <w:szCs w:val="24"/>
              </w:rPr>
              <w:t>30</w:t>
            </w:r>
            <w:r>
              <w:rPr>
                <w:iCs/>
                <w:sz w:val="24"/>
                <w:szCs w:val="24"/>
              </w:rPr>
              <w:t>,0</w:t>
            </w:r>
          </w:p>
        </w:tc>
      </w:tr>
      <w:tr w:rsidR="00A50BA4" w:rsidRPr="00C438A0" w:rsidTr="00FB4E2F">
        <w:trPr>
          <w:trHeight w:val="708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438A0" w:rsidRDefault="00A50BA4" w:rsidP="00CF1CBC">
            <w:pPr>
              <w:snapToGrid w:val="0"/>
              <w:rPr>
                <w:iCs/>
                <w:sz w:val="24"/>
                <w:szCs w:val="24"/>
              </w:rPr>
            </w:pPr>
            <w:r w:rsidRPr="00C438A0">
              <w:rPr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438A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C438A0">
              <w:rPr>
                <w:iCs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438A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C438A0">
              <w:rPr>
                <w:sz w:val="24"/>
                <w:szCs w:val="24"/>
              </w:rPr>
              <w:t>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C438A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C438A0">
              <w:rPr>
                <w:sz w:val="24"/>
                <w:szCs w:val="24"/>
              </w:rPr>
              <w:t>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C438A0" w:rsidRDefault="00A50BA4" w:rsidP="00CF1CBC">
            <w:pPr>
              <w:snapToGrid w:val="0"/>
              <w:jc w:val="center"/>
              <w:rPr>
                <w:sz w:val="24"/>
                <w:szCs w:val="24"/>
              </w:rPr>
            </w:pPr>
            <w:r w:rsidRPr="00C438A0">
              <w:rPr>
                <w:sz w:val="24"/>
                <w:szCs w:val="24"/>
              </w:rPr>
              <w:t>767</w:t>
            </w:r>
          </w:p>
        </w:tc>
      </w:tr>
    </w:tbl>
    <w:p w:rsidR="00A50BA4" w:rsidRDefault="00A50BA4" w:rsidP="00AD29B1">
      <w:pPr>
        <w:pStyle w:val="Textbodyindent"/>
        <w:spacing w:after="0"/>
        <w:ind w:left="0"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p w:rsidR="00A50BA4" w:rsidRPr="001500E7" w:rsidRDefault="00A50BA4" w:rsidP="00AD29B1">
      <w:pPr>
        <w:pStyle w:val="Textbodyindent"/>
        <w:spacing w:after="0"/>
        <w:ind w:left="0"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 w:rsidRPr="009C548D">
        <w:rPr>
          <w:rFonts w:ascii="Times New Roman" w:hAnsi="Times New Roman" w:cs="Times New Roman"/>
          <w:kern w:val="0"/>
          <w:sz w:val="24"/>
          <w:szCs w:val="24"/>
          <w:lang w:eastAsia="ar-SA"/>
        </w:rPr>
        <w:t>Значение показателей рассчитано в соответствии с Методикой  определения нормативной  потребности субъектов Российской Федерации в объектах социальной  инфраструктуры, одобренной распоряжением Правительства Российской Федерации от 19.10.1999г. № 1683-р, и данным, представленным по форме № 1-ФК «Сведения о физической культуре и спорте», утвержденной приказом Федеральной службы государственной статистики от 23.10.2014г. № 626</w:t>
      </w: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,</w:t>
      </w:r>
      <w:r w:rsidRPr="009C548D">
        <w:rPr>
          <w:rFonts w:ascii="Times New Roman" w:hAnsi="Times New Roman" w:cs="Times New Roman"/>
          <w:kern w:val="0"/>
          <w:sz w:val="24"/>
          <w:szCs w:val="24"/>
          <w:lang w:eastAsia="ar-SA"/>
        </w:rPr>
        <w:t xml:space="preserve"> за 2015 год.</w:t>
      </w:r>
      <w:r w:rsidRPr="001500E7">
        <w:rPr>
          <w:rFonts w:ascii="Times New Roman" w:hAnsi="Times New Roman" w:cs="Times New Roman"/>
          <w:kern w:val="0"/>
          <w:sz w:val="24"/>
          <w:szCs w:val="24"/>
          <w:lang w:eastAsia="ar-SA"/>
        </w:rPr>
        <w:t xml:space="preserve"> Удельный вес населения, систематически занимающегося физической культурой и спортом в 2016 году, по оценке, увеличится до 30,0 %, что связано с выявлением организаций спортивного направления, не участвовавших ранее в государственной статистической отчётности.</w:t>
      </w:r>
      <w:r w:rsidRPr="009C548D">
        <w:rPr>
          <w:rFonts w:ascii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A50BA4" w:rsidRPr="00C438A0" w:rsidRDefault="00A50BA4" w:rsidP="00374742">
      <w:pPr>
        <w:pStyle w:val="Textbodyindent"/>
        <w:spacing w:after="0"/>
        <w:ind w:left="0"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 w:rsidRPr="00C438A0">
        <w:rPr>
          <w:rFonts w:ascii="Times New Roman" w:hAnsi="Times New Roman" w:cs="Times New Roman"/>
          <w:kern w:val="0"/>
          <w:sz w:val="24"/>
          <w:szCs w:val="24"/>
          <w:lang w:eastAsia="ar-SA"/>
        </w:rPr>
        <w:t>В связи с наличием проблемы недостаточности материальной базы для занятий физической культурой и спортом в городском округе Тольятти реализуется муниципальная программа «Развитие физической культуры и спорта на территории городского округа Тольятти на 2014-2016 годы»</w:t>
      </w:r>
      <w:r w:rsidR="006C5388">
        <w:rPr>
          <w:rFonts w:ascii="Times New Roman" w:hAnsi="Times New Roman" w:cs="Times New Roman"/>
          <w:kern w:val="0"/>
          <w:sz w:val="24"/>
          <w:szCs w:val="24"/>
          <w:lang w:eastAsia="ar-SA"/>
        </w:rPr>
        <w:t>, утвержденная постановлением мэрии городского округа Тольятти от 30.09.2013 № 2987-п/1</w:t>
      </w:r>
      <w:r w:rsidRPr="00C438A0">
        <w:rPr>
          <w:rFonts w:ascii="Times New Roman" w:hAnsi="Times New Roman" w:cs="Times New Roman"/>
          <w:kern w:val="0"/>
          <w:sz w:val="24"/>
          <w:szCs w:val="24"/>
          <w:lang w:eastAsia="ar-SA"/>
        </w:rPr>
        <w:t xml:space="preserve">. В </w:t>
      </w: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 xml:space="preserve">мае </w:t>
      </w:r>
      <w:r w:rsidRPr="00C438A0">
        <w:rPr>
          <w:rFonts w:ascii="Times New Roman" w:hAnsi="Times New Roman" w:cs="Times New Roman"/>
          <w:kern w:val="0"/>
          <w:sz w:val="24"/>
          <w:szCs w:val="24"/>
          <w:lang w:eastAsia="ar-SA"/>
        </w:rPr>
        <w:t>2016 год</w:t>
      </w: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 xml:space="preserve">а </w:t>
      </w:r>
      <w:r w:rsidRPr="00DB2005">
        <w:rPr>
          <w:rFonts w:ascii="Times New Roman" w:hAnsi="Times New Roman" w:cs="Times New Roman"/>
          <w:kern w:val="0"/>
          <w:sz w:val="24"/>
          <w:szCs w:val="24"/>
          <w:lang w:eastAsia="ar-SA"/>
        </w:rPr>
        <w:t>введено в</w:t>
      </w: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DB2005">
        <w:rPr>
          <w:rFonts w:ascii="Times New Roman" w:hAnsi="Times New Roman" w:cs="Times New Roman"/>
          <w:kern w:val="0"/>
          <w:sz w:val="24"/>
          <w:szCs w:val="24"/>
          <w:lang w:eastAsia="ar-SA"/>
        </w:rPr>
        <w:lastRenderedPageBreak/>
        <w:t>эксплуатацию здание</w:t>
      </w: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C438A0">
        <w:rPr>
          <w:rFonts w:ascii="Times New Roman" w:hAnsi="Times New Roman" w:cs="Times New Roman"/>
          <w:kern w:val="0"/>
          <w:sz w:val="24"/>
          <w:szCs w:val="24"/>
          <w:lang w:eastAsia="ar-SA"/>
        </w:rPr>
        <w:t>многофункционального физкультурно-спортивных комплекса на территории стадиона «Труд».</w:t>
      </w:r>
    </w:p>
    <w:p w:rsidR="00A50BA4" w:rsidRPr="00ED2819" w:rsidRDefault="00A50BA4" w:rsidP="00374742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  <w:lang w:eastAsia="ar-SA"/>
        </w:rPr>
      </w:pPr>
      <w:r w:rsidRPr="00C438A0">
        <w:rPr>
          <w:sz w:val="24"/>
          <w:szCs w:val="24"/>
          <w:lang w:eastAsia="ar-SA"/>
        </w:rPr>
        <w:t>В целях создания доступной среды для инвалидов и маломобильных групп населения на приоритетных муниципальных объектах в 2016 году в рамках реализации муниципальной программы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</w:t>
      </w:r>
      <w:r w:rsidR="006C5388">
        <w:rPr>
          <w:sz w:val="24"/>
          <w:szCs w:val="24"/>
          <w:lang w:eastAsia="ar-SA"/>
        </w:rPr>
        <w:t xml:space="preserve"> Тольятти </w:t>
      </w:r>
      <w:r w:rsidRPr="00C438A0">
        <w:rPr>
          <w:sz w:val="24"/>
          <w:szCs w:val="24"/>
          <w:lang w:eastAsia="ar-SA"/>
        </w:rPr>
        <w:t>на</w:t>
      </w:r>
      <w:r w:rsidR="006C5388">
        <w:rPr>
          <w:sz w:val="24"/>
          <w:szCs w:val="24"/>
          <w:lang w:eastAsia="ar-SA"/>
        </w:rPr>
        <w:t xml:space="preserve"> </w:t>
      </w:r>
      <w:r w:rsidRPr="00C438A0">
        <w:rPr>
          <w:sz w:val="24"/>
          <w:szCs w:val="24"/>
          <w:lang w:eastAsia="ar-SA"/>
        </w:rPr>
        <w:t>2014-2020 годы»</w:t>
      </w:r>
      <w:r w:rsidR="006C5388">
        <w:rPr>
          <w:sz w:val="24"/>
          <w:szCs w:val="24"/>
          <w:lang w:eastAsia="ar-SA"/>
        </w:rPr>
        <w:t>,</w:t>
      </w:r>
      <w:r w:rsidR="006C5388" w:rsidRPr="006C5388">
        <w:rPr>
          <w:sz w:val="24"/>
          <w:szCs w:val="24"/>
          <w:lang w:eastAsia="ar-SA"/>
        </w:rPr>
        <w:t xml:space="preserve"> </w:t>
      </w:r>
      <w:r w:rsidR="006C5388">
        <w:rPr>
          <w:sz w:val="24"/>
          <w:szCs w:val="24"/>
          <w:lang w:eastAsia="ar-SA"/>
        </w:rPr>
        <w:t>утвержденной постановлением мэрии городского округа Тольятти от 14.10.2013 № 3178-п/1,</w:t>
      </w:r>
      <w:r w:rsidR="006C5388" w:rsidRPr="00C438A0">
        <w:rPr>
          <w:sz w:val="24"/>
          <w:szCs w:val="24"/>
          <w:lang w:eastAsia="ar-SA"/>
        </w:rPr>
        <w:t xml:space="preserve"> </w:t>
      </w:r>
      <w:r w:rsidRPr="00C438A0">
        <w:rPr>
          <w:sz w:val="24"/>
          <w:szCs w:val="24"/>
          <w:lang w:eastAsia="ar-SA"/>
        </w:rPr>
        <w:t xml:space="preserve"> и государственной программы Самарской области «Доступная среда в Самарской области» на 2014-2015 годы</w:t>
      </w:r>
      <w:r w:rsidR="006C5388">
        <w:rPr>
          <w:sz w:val="24"/>
          <w:szCs w:val="24"/>
          <w:lang w:eastAsia="ar-SA"/>
        </w:rPr>
        <w:t>,</w:t>
      </w:r>
      <w:r w:rsidRPr="00C438A0">
        <w:rPr>
          <w:sz w:val="24"/>
          <w:szCs w:val="24"/>
          <w:lang w:eastAsia="ar-SA"/>
        </w:rPr>
        <w:t xml:space="preserve"> </w:t>
      </w:r>
      <w:r w:rsidR="006C5388">
        <w:rPr>
          <w:sz w:val="24"/>
          <w:szCs w:val="24"/>
          <w:lang w:eastAsia="ru-RU"/>
        </w:rPr>
        <w:t>утвержденной постановлением Правительства Самарской области от 27.11.2013 N 671,</w:t>
      </w:r>
      <w:r w:rsidR="006C5388" w:rsidRPr="00C438A0">
        <w:rPr>
          <w:sz w:val="24"/>
          <w:szCs w:val="24"/>
          <w:lang w:eastAsia="ar-SA"/>
        </w:rPr>
        <w:t xml:space="preserve"> </w:t>
      </w:r>
      <w:r w:rsidRPr="00C438A0">
        <w:rPr>
          <w:sz w:val="24"/>
          <w:szCs w:val="24"/>
          <w:lang w:eastAsia="ar-SA"/>
        </w:rPr>
        <w:t>реализованы мероприятия по обустройству и приспособлению муниципальных объектов спорта с целью обеспечения их доступности для маломобильных групп населения  и инвалидов: помещения МБУДО СДЮСШОР №4 «Шахматы», УСК «Олимп»  МБУДО КСДЮСШОР №10 «Олимп», спортивный комплекс «Кристалл»  МБУДО КСДЮСШОР №13 «Волгарь».</w:t>
      </w:r>
    </w:p>
    <w:p w:rsidR="00A50BA4" w:rsidRDefault="00A50BA4" w:rsidP="00374742">
      <w:pPr>
        <w:pStyle w:val="Textbodyindent"/>
        <w:spacing w:after="0"/>
        <w:ind w:left="0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ar-SA"/>
        </w:rPr>
      </w:pPr>
    </w:p>
    <w:p w:rsidR="00A50BA4" w:rsidRPr="003F5041" w:rsidRDefault="00A50BA4" w:rsidP="00C438A0">
      <w:pPr>
        <w:pStyle w:val="Textbodyindent"/>
        <w:spacing w:after="0"/>
        <w:ind w:left="0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ar-SA"/>
        </w:rPr>
      </w:pPr>
      <w:r w:rsidRPr="003F5041">
        <w:rPr>
          <w:rFonts w:ascii="Times New Roman" w:hAnsi="Times New Roman" w:cs="Times New Roman"/>
          <w:b/>
          <w:kern w:val="0"/>
          <w:sz w:val="24"/>
          <w:szCs w:val="24"/>
          <w:lang w:eastAsia="ar-SA"/>
        </w:rPr>
        <w:t>Потребительский рынок товаров и услуг</w:t>
      </w:r>
    </w:p>
    <w:p w:rsidR="00A50BA4" w:rsidRPr="00A44276" w:rsidRDefault="00A50BA4" w:rsidP="00C9408C">
      <w:pPr>
        <w:pStyle w:val="Textbodyindent"/>
        <w:spacing w:after="0"/>
        <w:ind w:left="0" w:firstLine="709"/>
        <w:jc w:val="center"/>
        <w:rPr>
          <w:rFonts w:ascii="Times New Roman" w:hAnsi="Times New Roman" w:cs="Times New Roman"/>
          <w:b/>
          <w:kern w:val="0"/>
          <w:sz w:val="24"/>
          <w:szCs w:val="24"/>
          <w:highlight w:val="yellow"/>
          <w:lang w:eastAsia="ar-SA"/>
        </w:rPr>
      </w:pPr>
    </w:p>
    <w:p w:rsidR="00A50BA4" w:rsidRPr="00BB2021" w:rsidRDefault="00A50BA4" w:rsidP="00AD29B1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BB2021">
        <w:rPr>
          <w:sz w:val="24"/>
          <w:szCs w:val="24"/>
          <w:shd w:val="clear" w:color="auto" w:fill="FFFFFF"/>
        </w:rPr>
        <w:t>В настоящее время инфраструктура розничной торговли в городском округе Тольятти представлена достаточно развитой сетью торговых организаций.</w:t>
      </w:r>
    </w:p>
    <w:p w:rsidR="00A50BA4" w:rsidRPr="00BB2021" w:rsidRDefault="00A50BA4" w:rsidP="00AD29B1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BB2021">
        <w:rPr>
          <w:sz w:val="24"/>
          <w:szCs w:val="24"/>
          <w:shd w:val="clear" w:color="auto" w:fill="FFFFFF"/>
        </w:rPr>
        <w:t>По состоянию на 01.07.2016 г. в городском округе Тольятти действуют около 10 тыс. предприятий торговли, более 0,7 тыс. предприятий общественного питания, около 2,0 тыс. предприятий бытового обслуживания населения, более 120 торговых комплексов, 6 рынков с разрешениями на право организации розничных рынков.</w:t>
      </w:r>
    </w:p>
    <w:p w:rsidR="00A50BA4" w:rsidRPr="00BB2021" w:rsidRDefault="00A50BA4" w:rsidP="00AD29B1">
      <w:pPr>
        <w:widowControl w:val="0"/>
        <w:tabs>
          <w:tab w:val="num" w:pos="0"/>
        </w:tabs>
        <w:spacing w:line="276" w:lineRule="auto"/>
        <w:ind w:right="-1" w:firstLine="709"/>
        <w:jc w:val="both"/>
        <w:rPr>
          <w:sz w:val="24"/>
          <w:szCs w:val="24"/>
          <w:shd w:val="clear" w:color="auto" w:fill="FFFFFF"/>
        </w:rPr>
      </w:pPr>
      <w:r w:rsidRPr="00BB2021">
        <w:rPr>
          <w:sz w:val="24"/>
          <w:szCs w:val="24"/>
          <w:shd w:val="clear" w:color="auto" w:fill="FFFFFF"/>
        </w:rPr>
        <w:t>По состоянию на 01.07.2016 г. обеспеченность жителей городского округа Тольятти (на 1 тыс. чел.) составила:</w:t>
      </w:r>
    </w:p>
    <w:p w:rsidR="00A50BA4" w:rsidRPr="00BB2021" w:rsidRDefault="00A50BA4" w:rsidP="00AD29B1">
      <w:pPr>
        <w:widowControl w:val="0"/>
        <w:tabs>
          <w:tab w:val="num" w:pos="0"/>
        </w:tabs>
        <w:spacing w:line="276" w:lineRule="auto"/>
        <w:ind w:right="-1" w:firstLine="709"/>
        <w:jc w:val="both"/>
        <w:rPr>
          <w:sz w:val="24"/>
          <w:szCs w:val="24"/>
          <w:shd w:val="clear" w:color="auto" w:fill="FFFFFF"/>
        </w:rPr>
      </w:pPr>
      <w:r w:rsidRPr="00BB2021">
        <w:rPr>
          <w:sz w:val="24"/>
          <w:szCs w:val="24"/>
          <w:shd w:val="clear" w:color="auto" w:fill="FFFFFF"/>
        </w:rPr>
        <w:t>- торговыми площадями по продаже продовольственных товаров — 174 %;</w:t>
      </w:r>
    </w:p>
    <w:p w:rsidR="00A50BA4" w:rsidRPr="00BB2021" w:rsidRDefault="00A50BA4" w:rsidP="00AD29B1">
      <w:pPr>
        <w:widowControl w:val="0"/>
        <w:tabs>
          <w:tab w:val="num" w:pos="0"/>
        </w:tabs>
        <w:spacing w:line="276" w:lineRule="auto"/>
        <w:ind w:right="-1" w:firstLine="709"/>
        <w:jc w:val="both"/>
        <w:rPr>
          <w:sz w:val="24"/>
          <w:szCs w:val="24"/>
          <w:shd w:val="clear" w:color="auto" w:fill="FFFFFF"/>
        </w:rPr>
      </w:pPr>
      <w:r w:rsidRPr="00BB2021">
        <w:rPr>
          <w:sz w:val="24"/>
          <w:szCs w:val="24"/>
          <w:shd w:val="clear" w:color="auto" w:fill="FFFFFF"/>
        </w:rPr>
        <w:t>-  торговыми площадями по продаже непродовольственных товаров — 170,3 %;</w:t>
      </w:r>
    </w:p>
    <w:p w:rsidR="00A50BA4" w:rsidRPr="00BB2021" w:rsidRDefault="00A50BA4" w:rsidP="00AD29B1">
      <w:pPr>
        <w:widowControl w:val="0"/>
        <w:tabs>
          <w:tab w:val="num" w:pos="0"/>
        </w:tabs>
        <w:spacing w:line="276" w:lineRule="auto"/>
        <w:ind w:right="-1" w:firstLine="709"/>
        <w:jc w:val="both"/>
        <w:rPr>
          <w:sz w:val="24"/>
          <w:szCs w:val="24"/>
          <w:shd w:val="clear" w:color="auto" w:fill="FFFFFF"/>
        </w:rPr>
      </w:pPr>
      <w:r w:rsidRPr="00BB2021">
        <w:rPr>
          <w:sz w:val="24"/>
          <w:szCs w:val="24"/>
          <w:shd w:val="clear" w:color="auto" w:fill="FFFFFF"/>
        </w:rPr>
        <w:t>- посадочными местами общедоступной сети общественного питания – 134,7 %;</w:t>
      </w:r>
    </w:p>
    <w:p w:rsidR="00A50BA4" w:rsidRPr="00BB2021" w:rsidRDefault="00A50BA4" w:rsidP="00AD29B1">
      <w:pPr>
        <w:widowControl w:val="0"/>
        <w:tabs>
          <w:tab w:val="num" w:pos="0"/>
        </w:tabs>
        <w:spacing w:line="276" w:lineRule="auto"/>
        <w:ind w:right="-1" w:firstLine="709"/>
        <w:jc w:val="both"/>
        <w:rPr>
          <w:sz w:val="24"/>
          <w:szCs w:val="24"/>
          <w:shd w:val="clear" w:color="auto" w:fill="FFFFFF"/>
        </w:rPr>
      </w:pPr>
      <w:r w:rsidRPr="00BB2021">
        <w:rPr>
          <w:sz w:val="24"/>
          <w:szCs w:val="24"/>
          <w:shd w:val="clear" w:color="auto" w:fill="FFFFFF"/>
        </w:rPr>
        <w:t>- рабочими местами предприятий бытового обслуживания населения – 95,5 %.</w:t>
      </w:r>
    </w:p>
    <w:p w:rsidR="00A50BA4" w:rsidRPr="00BB2021" w:rsidRDefault="00A50BA4" w:rsidP="00AD29B1">
      <w:pPr>
        <w:spacing w:line="276" w:lineRule="auto"/>
        <w:ind w:right="-1" w:firstLine="709"/>
        <w:jc w:val="both"/>
        <w:rPr>
          <w:sz w:val="24"/>
          <w:szCs w:val="24"/>
          <w:shd w:val="clear" w:color="auto" w:fill="FFFFFF"/>
        </w:rPr>
      </w:pPr>
      <w:r w:rsidRPr="00BB2021">
        <w:rPr>
          <w:sz w:val="24"/>
          <w:szCs w:val="24"/>
          <w:shd w:val="clear" w:color="auto" w:fill="FFFFFF"/>
        </w:rPr>
        <w:t>Продолжается развитие крупных торговых центров, включающих в себя множество магазинов, предприятий питания, сферы услуг, досуга и развлечений. В настоящее время их количество в городском округе Тольятти составляет более 120 единиц: ТРК «Русь на Волге», TРК «Парк Хаус», ТЦ «Мадагаскар», ТЦ «Апельсин», ООО «Мегастрой» и др.</w:t>
      </w:r>
    </w:p>
    <w:p w:rsidR="00A50BA4" w:rsidRPr="00BB2021" w:rsidRDefault="00A50BA4" w:rsidP="00AD29B1">
      <w:pPr>
        <w:pStyle w:val="1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021">
        <w:rPr>
          <w:rFonts w:ascii="Times New Roman" w:hAnsi="Times New Roman" w:cs="Times New Roman"/>
          <w:sz w:val="24"/>
          <w:szCs w:val="24"/>
          <w:shd w:val="clear" w:color="auto" w:fill="FFFFFF"/>
        </w:rPr>
        <w:t>В 1 полугодии 2016 года в городском округе хозяйственную деятельность начали осуществлять 172 вновь созданных предприятия торговли (236 постоянных и временных рабочих мест).</w:t>
      </w:r>
    </w:p>
    <w:p w:rsidR="00A50BA4" w:rsidRPr="00BB2021" w:rsidRDefault="00A50BA4" w:rsidP="00AD29B1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BB2021">
        <w:rPr>
          <w:sz w:val="24"/>
          <w:szCs w:val="24"/>
          <w:shd w:val="clear" w:color="auto" w:fill="FFFFFF"/>
        </w:rPr>
        <w:t>На территории городского округа Тольятти действуют 6 рынков: 1 - сельскохозяйственный; 4 - универсальных; 1 - специализированный по продаже автозапчастей (организованных согласно требованиям ст. 24. Федерального закона от 30.12.2006 г. 271-ФЗ «О розничных рынках и о внесении изменений в Трудовой кодекс Российской Федерации»).</w:t>
      </w:r>
    </w:p>
    <w:p w:rsidR="00A50BA4" w:rsidRPr="00BB2021" w:rsidRDefault="00A50BA4" w:rsidP="00AD29B1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BB2021">
        <w:rPr>
          <w:sz w:val="24"/>
          <w:szCs w:val="24"/>
          <w:shd w:val="clear" w:color="auto" w:fill="FFFFFF"/>
        </w:rPr>
        <w:t>В январе – июне 2016 года осуществляли работу 23 ярмарки, включенные в реестр Самарской области.</w:t>
      </w:r>
    </w:p>
    <w:p w:rsidR="00A50BA4" w:rsidRPr="00BB2021" w:rsidRDefault="00A50BA4" w:rsidP="00AD29B1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BB2021">
        <w:rPr>
          <w:sz w:val="24"/>
          <w:szCs w:val="24"/>
          <w:shd w:val="clear" w:color="auto" w:fill="FFFFFF"/>
        </w:rPr>
        <w:t xml:space="preserve">Кроме того, на универсальных рынках по продаже сельскохозяйственной </w:t>
      </w:r>
      <w:r w:rsidRPr="00BB2021">
        <w:rPr>
          <w:sz w:val="24"/>
          <w:szCs w:val="24"/>
          <w:shd w:val="clear" w:color="auto" w:fill="FFFFFF"/>
        </w:rPr>
        <w:lastRenderedPageBreak/>
        <w:t>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животноводством, определено 15 % от общего количества торговых мест, предназначенных для продажи продовольственных товаров в летнее время и 10 % в зимнее время.</w:t>
      </w:r>
    </w:p>
    <w:p w:rsidR="00A50BA4" w:rsidRPr="00BB2021" w:rsidRDefault="00A50BA4" w:rsidP="00AD29B1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BB2021">
        <w:rPr>
          <w:sz w:val="24"/>
          <w:szCs w:val="24"/>
          <w:shd w:val="clear" w:color="auto" w:fill="FFFFFF"/>
        </w:rPr>
        <w:t>В целях развития потребительского рынка, поддержки местных товаропроизводителей, конкурентной среды, а также для снижения и стабилизации цен на товары и услуги в отчетном периоде реализовывались мероприятия:</w:t>
      </w:r>
    </w:p>
    <w:p w:rsidR="00A50BA4" w:rsidRPr="00BB2021" w:rsidRDefault="00A50BA4" w:rsidP="00AD29B1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BB2021">
        <w:rPr>
          <w:sz w:val="24"/>
          <w:szCs w:val="24"/>
          <w:shd w:val="clear" w:color="auto" w:fill="FFFFFF"/>
        </w:rPr>
        <w:t>- мониторинг розничных цен на социально значимые продовольственные товары на предприятиях розничной торговли;</w:t>
      </w:r>
    </w:p>
    <w:p w:rsidR="00A50BA4" w:rsidRPr="00C438A0" w:rsidRDefault="00A50BA4" w:rsidP="00AD29B1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BB2021">
        <w:rPr>
          <w:sz w:val="24"/>
          <w:szCs w:val="24"/>
          <w:shd w:val="clear" w:color="auto" w:fill="FFFFFF"/>
        </w:rPr>
        <w:t>- мониторинг розничных цен на продовольственные товары и сельскохозяйственную продукцию на рынках и ярмарках</w:t>
      </w:r>
      <w:r>
        <w:rPr>
          <w:sz w:val="24"/>
          <w:szCs w:val="24"/>
          <w:shd w:val="clear" w:color="auto" w:fill="FFFFFF"/>
        </w:rPr>
        <w:t xml:space="preserve">. </w:t>
      </w:r>
      <w:r w:rsidRPr="00C438A0">
        <w:rPr>
          <w:sz w:val="24"/>
          <w:szCs w:val="24"/>
          <w:shd w:val="clear" w:color="auto" w:fill="FFFFFF"/>
        </w:rPr>
        <w:t xml:space="preserve">Мониторинг  показал, что цены на продукты  питания на ярмарках  дешевле  в среднем на 25% в сравнении с другими объектами розничной торговли;   </w:t>
      </w:r>
    </w:p>
    <w:p w:rsidR="00A50BA4" w:rsidRDefault="00A50BA4" w:rsidP="00AD29B1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BB2021">
        <w:rPr>
          <w:sz w:val="24"/>
          <w:szCs w:val="24"/>
          <w:shd w:val="clear" w:color="auto" w:fill="FFFFFF"/>
        </w:rPr>
        <w:t>- мониторинг розничных цен по бензину и дизельному топливу на АЗС городского округа Тольятти</w:t>
      </w:r>
      <w:r>
        <w:rPr>
          <w:sz w:val="24"/>
          <w:szCs w:val="24"/>
          <w:shd w:val="clear" w:color="auto" w:fill="FFFFFF"/>
        </w:rPr>
        <w:t>.</w:t>
      </w:r>
      <w:r w:rsidRPr="00BB2021">
        <w:rPr>
          <w:sz w:val="24"/>
          <w:szCs w:val="24"/>
          <w:shd w:val="clear" w:color="auto" w:fill="FFFFFF"/>
        </w:rPr>
        <w:t xml:space="preserve"> </w:t>
      </w:r>
    </w:p>
    <w:p w:rsidR="00A50BA4" w:rsidRPr="00B411B0" w:rsidRDefault="00A50BA4" w:rsidP="00AD29B1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B411B0">
        <w:rPr>
          <w:bCs/>
          <w:sz w:val="24"/>
          <w:szCs w:val="24"/>
        </w:rPr>
        <w:t>Начиная с мая текущего года на наблюдаемых АЗС  города отмечено планомерное повышение цен на автомобильное топливо всех марок.  Аналитики рынка связывали рост биржевой стоимости  бензина с двукратным  повышением акцизов на топливо, проведенным в 2016 году.</w:t>
      </w:r>
    </w:p>
    <w:p w:rsidR="00A50BA4" w:rsidRDefault="00A50BA4" w:rsidP="00AD29B1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BB4671">
        <w:rPr>
          <w:bCs/>
          <w:sz w:val="24"/>
          <w:szCs w:val="24"/>
        </w:rPr>
        <w:t xml:space="preserve">Данные  </w:t>
      </w:r>
      <w:r>
        <w:rPr>
          <w:bCs/>
          <w:sz w:val="24"/>
          <w:szCs w:val="24"/>
        </w:rPr>
        <w:t xml:space="preserve">мониторингов </w:t>
      </w:r>
      <w:r w:rsidRPr="00BB4671">
        <w:rPr>
          <w:bCs/>
          <w:sz w:val="24"/>
          <w:szCs w:val="24"/>
        </w:rPr>
        <w:t xml:space="preserve">заносятся в систему  мониторинга (шаблон) и еженедельно передаются  в департамент ценового и тарифного регулирования министерства экономического развития, инвестиций и торговли Самарской области посредством Регионального сегмента ЕИАС ФСТ России «ЕИАС мониторинг» (Единой Информационной Аналитической Системой Федеральной службы по тарифам России) и размещаются на официальном портале мэрии  </w:t>
      </w:r>
      <w:r>
        <w:rPr>
          <w:bCs/>
          <w:sz w:val="24"/>
          <w:szCs w:val="24"/>
        </w:rPr>
        <w:t xml:space="preserve">городского округа </w:t>
      </w:r>
      <w:r w:rsidRPr="00BB4671">
        <w:rPr>
          <w:bCs/>
          <w:sz w:val="24"/>
          <w:szCs w:val="24"/>
        </w:rPr>
        <w:t xml:space="preserve">Тольятти в сети интернет, в городских СМИ, а также </w:t>
      </w:r>
      <w:r>
        <w:rPr>
          <w:bCs/>
          <w:sz w:val="24"/>
          <w:szCs w:val="24"/>
        </w:rPr>
        <w:t>н</w:t>
      </w:r>
      <w:r w:rsidRPr="00BB4671">
        <w:rPr>
          <w:bCs/>
          <w:sz w:val="24"/>
          <w:szCs w:val="24"/>
        </w:rPr>
        <w:t>аправляются в прокуратуру г. Тольятти.</w:t>
      </w:r>
    </w:p>
    <w:p w:rsidR="00A50BA4" w:rsidRPr="000B37F9" w:rsidRDefault="00A50BA4" w:rsidP="00AD29B1">
      <w:pPr>
        <w:widowControl w:val="0"/>
        <w:spacing w:line="276" w:lineRule="auto"/>
        <w:ind w:firstLine="720"/>
        <w:jc w:val="both"/>
        <w:rPr>
          <w:color w:val="FF0000"/>
          <w:sz w:val="24"/>
          <w:szCs w:val="24"/>
          <w:shd w:val="clear" w:color="auto" w:fill="FFFFFF"/>
        </w:rPr>
      </w:pPr>
      <w:r w:rsidRPr="000B37F9">
        <w:rPr>
          <w:sz w:val="24"/>
          <w:szCs w:val="24"/>
          <w:shd w:val="clear" w:color="auto" w:fill="FFFFFF"/>
        </w:rPr>
        <w:t>В течение 2016 года наблюдается адаптация потребительского поведения населения к экономической ситуации.</w:t>
      </w:r>
      <w:r w:rsidRPr="000B37F9">
        <w:rPr>
          <w:sz w:val="28"/>
          <w:szCs w:val="28"/>
        </w:rPr>
        <w:t xml:space="preserve"> </w:t>
      </w:r>
      <w:r w:rsidRPr="000B37F9">
        <w:rPr>
          <w:sz w:val="24"/>
          <w:szCs w:val="24"/>
          <w:shd w:val="clear" w:color="auto" w:fill="FFFFFF"/>
        </w:rPr>
        <w:t>Замедлился рост инфляции: индекс инфляции за январь-июнь 2016 года составил 103</w:t>
      </w:r>
      <w:r>
        <w:rPr>
          <w:sz w:val="24"/>
          <w:szCs w:val="24"/>
          <w:shd w:val="clear" w:color="auto" w:fill="FFFFFF"/>
        </w:rPr>
        <w:t>,0</w:t>
      </w:r>
      <w:r w:rsidRPr="000B37F9">
        <w:rPr>
          <w:sz w:val="24"/>
          <w:szCs w:val="24"/>
          <w:shd w:val="clear" w:color="auto" w:fill="FFFFFF"/>
        </w:rPr>
        <w:t xml:space="preserve"> %, тогда как в январе-июне 2015 года он составлял </w:t>
      </w:r>
      <w:r w:rsidRPr="007322B4">
        <w:rPr>
          <w:sz w:val="24"/>
          <w:szCs w:val="24"/>
          <w:shd w:val="clear" w:color="auto" w:fill="FFFFFF"/>
        </w:rPr>
        <w:t>108,3</w:t>
      </w:r>
      <w:r w:rsidRPr="000B37F9">
        <w:rPr>
          <w:sz w:val="24"/>
          <w:szCs w:val="24"/>
          <w:shd w:val="clear" w:color="auto" w:fill="FFFFFF"/>
        </w:rPr>
        <w:t xml:space="preserve"> %.</w:t>
      </w:r>
      <w:r>
        <w:rPr>
          <w:sz w:val="24"/>
          <w:szCs w:val="24"/>
          <w:shd w:val="clear" w:color="auto" w:fill="FFFFFF"/>
        </w:rPr>
        <w:t xml:space="preserve"> </w:t>
      </w:r>
    </w:p>
    <w:p w:rsidR="00A50BA4" w:rsidRDefault="00A50BA4" w:rsidP="00AD29B1">
      <w:pPr>
        <w:spacing w:line="276" w:lineRule="auto"/>
        <w:ind w:firstLine="720"/>
        <w:jc w:val="both"/>
        <w:rPr>
          <w:sz w:val="24"/>
          <w:szCs w:val="24"/>
          <w:shd w:val="clear" w:color="auto" w:fill="FFFFFF"/>
        </w:rPr>
      </w:pPr>
      <w:r w:rsidRPr="000B37F9">
        <w:rPr>
          <w:sz w:val="24"/>
          <w:szCs w:val="24"/>
          <w:shd w:val="clear" w:color="auto" w:fill="FFFFFF"/>
        </w:rPr>
        <w:t xml:space="preserve">Тем не менее, в 1 полугодии 2016 года </w:t>
      </w:r>
      <w:r>
        <w:rPr>
          <w:sz w:val="24"/>
          <w:szCs w:val="24"/>
          <w:shd w:val="clear" w:color="auto" w:fill="FFFFFF"/>
        </w:rPr>
        <w:t>оборот розничной торговли</w:t>
      </w:r>
      <w:r w:rsidRPr="000B37F9">
        <w:rPr>
          <w:sz w:val="24"/>
          <w:szCs w:val="24"/>
          <w:shd w:val="clear" w:color="auto" w:fill="FFFFFF"/>
        </w:rPr>
        <w:t xml:space="preserve"> снизился на 3,6 % в сопоставимых ценах по сравнению с соответствующим периодом прошлого года и составил 80,9 млрд. руб. (в 1 полугодии 2015 года – 77,8 млрд.</w:t>
      </w:r>
      <w:r>
        <w:rPr>
          <w:sz w:val="24"/>
          <w:szCs w:val="24"/>
          <w:shd w:val="clear" w:color="auto" w:fill="FFFFFF"/>
        </w:rPr>
        <w:t xml:space="preserve"> </w:t>
      </w:r>
      <w:r w:rsidRPr="000B37F9">
        <w:rPr>
          <w:sz w:val="24"/>
          <w:szCs w:val="24"/>
          <w:shd w:val="clear" w:color="auto" w:fill="FFFFFF"/>
        </w:rPr>
        <w:t xml:space="preserve">руб., снижение - 25,3 % к соответствующему периоду 2014 года). </w:t>
      </w:r>
    </w:p>
    <w:p w:rsidR="00A50BA4" w:rsidRPr="00BB2021" w:rsidRDefault="00A50BA4" w:rsidP="00AD29B1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BB2021">
        <w:rPr>
          <w:sz w:val="24"/>
          <w:szCs w:val="24"/>
          <w:shd w:val="clear" w:color="auto" w:fill="FFFFFF"/>
        </w:rPr>
        <w:t>Оборот розничной торговли на душу населения в январе-июне 2016 года составил 113,6 тыс. руб. (в целом по Самарской области – 88,7 тыс. руб.). Основную часть оборота розничной торговли (более 60 %) формируют предприятия малого бизнеса и лица, занимающиеся индивидуальной трудовой деятельностью.</w:t>
      </w:r>
    </w:p>
    <w:p w:rsidR="00A50BA4" w:rsidRPr="000B37F9" w:rsidRDefault="00A50BA4" w:rsidP="00AD29B1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0B37F9">
        <w:rPr>
          <w:sz w:val="24"/>
          <w:szCs w:val="24"/>
          <w:shd w:val="clear" w:color="auto" w:fill="FFFFFF"/>
        </w:rPr>
        <w:t>В 1 полугодии 2016 года действовали факторы, отрицательно влияющие на динамику данного показателя:</w:t>
      </w:r>
    </w:p>
    <w:p w:rsidR="00A50BA4" w:rsidRPr="000B37F9" w:rsidRDefault="00A50BA4" w:rsidP="00AD29B1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0B37F9">
        <w:rPr>
          <w:sz w:val="24"/>
          <w:szCs w:val="24"/>
          <w:shd w:val="clear" w:color="auto" w:fill="FFFFFF"/>
        </w:rPr>
        <w:t>- снижение реальной заработной платы на 4,1 % к уровню соответствующего периода 2015 года;</w:t>
      </w:r>
    </w:p>
    <w:p w:rsidR="00A50BA4" w:rsidRPr="000B37F9" w:rsidRDefault="00A50BA4" w:rsidP="00AD29B1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0B37F9">
        <w:rPr>
          <w:sz w:val="24"/>
          <w:szCs w:val="24"/>
          <w:shd w:val="clear" w:color="auto" w:fill="FFFFFF"/>
        </w:rPr>
        <w:lastRenderedPageBreak/>
        <w:t xml:space="preserve">- высвобождение работников с предприятий города, рост зарегистрированной и скрытой безработицы: на 01.07.2016 г. количество безработных граждан </w:t>
      </w:r>
      <w:r w:rsidRPr="007322B4">
        <w:rPr>
          <w:sz w:val="24"/>
          <w:szCs w:val="24"/>
          <w:shd w:val="clear" w:color="auto" w:fill="FFFFFF"/>
        </w:rPr>
        <w:t>составило 9,2</w:t>
      </w:r>
      <w:r w:rsidRPr="000B37F9">
        <w:rPr>
          <w:sz w:val="24"/>
          <w:szCs w:val="24"/>
          <w:shd w:val="clear" w:color="auto" w:fill="FFFFFF"/>
        </w:rPr>
        <w:t xml:space="preserve"> тыс. чел., что в </w:t>
      </w:r>
      <w:r w:rsidRPr="007322B4">
        <w:rPr>
          <w:sz w:val="24"/>
          <w:szCs w:val="24"/>
          <w:shd w:val="clear" w:color="auto" w:fill="FFFFFF"/>
        </w:rPr>
        <w:t>1,6 раза</w:t>
      </w:r>
      <w:r w:rsidRPr="000B37F9">
        <w:rPr>
          <w:sz w:val="24"/>
          <w:szCs w:val="24"/>
          <w:shd w:val="clear" w:color="auto" w:fill="FFFFFF"/>
        </w:rPr>
        <w:t xml:space="preserve"> больше, чем на соответствующую дату прошлого года;</w:t>
      </w:r>
    </w:p>
    <w:p w:rsidR="00A50BA4" w:rsidRPr="000B37F9" w:rsidRDefault="00A50BA4" w:rsidP="00AD29B1">
      <w:pPr>
        <w:spacing w:line="276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0B37F9">
        <w:rPr>
          <w:sz w:val="24"/>
          <w:szCs w:val="24"/>
          <w:shd w:val="clear" w:color="auto" w:fill="FFFFFF"/>
        </w:rPr>
        <w:t xml:space="preserve">- миграционная убыль населения Тольятти составила </w:t>
      </w:r>
      <w:r w:rsidRPr="007322B4">
        <w:rPr>
          <w:sz w:val="24"/>
          <w:szCs w:val="24"/>
          <w:shd w:val="clear" w:color="auto" w:fill="FFFFFF"/>
        </w:rPr>
        <w:t>0,9</w:t>
      </w:r>
      <w:r w:rsidRPr="000B37F9">
        <w:rPr>
          <w:sz w:val="24"/>
          <w:szCs w:val="24"/>
          <w:shd w:val="clear" w:color="auto" w:fill="FFFFFF"/>
        </w:rPr>
        <w:t xml:space="preserve"> тыс. чел.</w:t>
      </w:r>
      <w:r>
        <w:rPr>
          <w:sz w:val="24"/>
          <w:szCs w:val="24"/>
          <w:shd w:val="clear" w:color="auto" w:fill="FFFFFF"/>
        </w:rPr>
        <w:t xml:space="preserve"> </w:t>
      </w:r>
    </w:p>
    <w:p w:rsidR="00A50BA4" w:rsidRDefault="00A50BA4" w:rsidP="00AD29B1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</w:rPr>
      </w:pPr>
    </w:p>
    <w:p w:rsidR="00A50BA4" w:rsidRDefault="00A50BA4" w:rsidP="00AD29B1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</w:rPr>
      </w:pPr>
      <w:r w:rsidRPr="00FE3161">
        <w:rPr>
          <w:bCs/>
          <w:sz w:val="24"/>
          <w:szCs w:val="24"/>
        </w:rPr>
        <w:t>Ожидаемое выполнение прогнозных показателей по разделу</w:t>
      </w:r>
      <w:r>
        <w:rPr>
          <w:bCs/>
          <w:sz w:val="24"/>
          <w:szCs w:val="24"/>
        </w:rPr>
        <w:t xml:space="preserve"> </w:t>
      </w:r>
      <w:r w:rsidRPr="00FE3161">
        <w:rPr>
          <w:bCs/>
          <w:sz w:val="24"/>
          <w:szCs w:val="24"/>
        </w:rPr>
        <w:t>«Потребительский рынок»</w:t>
      </w:r>
    </w:p>
    <w:p w:rsidR="00A50BA4" w:rsidRDefault="00A50BA4" w:rsidP="00AD29B1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2016 год</w:t>
      </w:r>
    </w:p>
    <w:p w:rsidR="00A50BA4" w:rsidRPr="00FE3161" w:rsidRDefault="00A50BA4" w:rsidP="00AD29B1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A0"/>
      </w:tblPr>
      <w:tblGrid>
        <w:gridCol w:w="3475"/>
        <w:gridCol w:w="1440"/>
        <w:gridCol w:w="1440"/>
        <w:gridCol w:w="1583"/>
        <w:gridCol w:w="1418"/>
      </w:tblGrid>
      <w:tr w:rsidR="00A50BA4" w:rsidRPr="00FE3161" w:rsidTr="00DA3524">
        <w:trPr>
          <w:cantSplit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BA4" w:rsidRPr="00FE3161" w:rsidRDefault="00A50BA4" w:rsidP="00A423B6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E3161">
              <w:rPr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BA4" w:rsidRPr="00FE3161" w:rsidRDefault="00A50BA4" w:rsidP="00A423B6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E3161">
              <w:rPr>
                <w:sz w:val="24"/>
                <w:szCs w:val="24"/>
              </w:rPr>
              <w:t>Ед. изм.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BA4" w:rsidRPr="00066E74" w:rsidRDefault="00A50BA4" w:rsidP="00A73686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 xml:space="preserve">Прогноз </w:t>
            </w:r>
            <w:r>
              <w:rPr>
                <w:sz w:val="24"/>
                <w:szCs w:val="24"/>
              </w:rPr>
              <w:t xml:space="preserve">на </w:t>
            </w: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6E74" w:rsidRDefault="00A50BA4" w:rsidP="00A73686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 (оценка)</w:t>
            </w:r>
          </w:p>
        </w:tc>
      </w:tr>
      <w:tr w:rsidR="00A50BA4" w:rsidRPr="00FE3161" w:rsidTr="00DA3524">
        <w:trPr>
          <w:cantSplit/>
        </w:trPr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BA4" w:rsidRPr="00FE3161" w:rsidRDefault="00A50BA4" w:rsidP="00A423B6">
            <w:pPr>
              <w:suppressAutoHyphens w:val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BA4" w:rsidRPr="00FE3161" w:rsidRDefault="00A50BA4" w:rsidP="00A423B6">
            <w:pPr>
              <w:suppressAutoHyphens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BA4" w:rsidRPr="0006581E" w:rsidRDefault="00A50BA4" w:rsidP="00A423B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1 вариант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BA4" w:rsidRPr="0006581E" w:rsidRDefault="00A50BA4" w:rsidP="00A423B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6581E">
              <w:rPr>
                <w:sz w:val="24"/>
                <w:szCs w:val="24"/>
              </w:rPr>
              <w:t>2 вариант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FE3161" w:rsidRDefault="00A50BA4" w:rsidP="00A423B6">
            <w:pPr>
              <w:suppressAutoHyphens w:val="0"/>
              <w:jc w:val="center"/>
            </w:pPr>
          </w:p>
        </w:tc>
      </w:tr>
      <w:tr w:rsidR="00A50BA4" w:rsidRPr="00FE3161" w:rsidTr="00DA3524">
        <w:trPr>
          <w:trHeight w:val="467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BA4" w:rsidRPr="00FE3161" w:rsidRDefault="00A50BA4" w:rsidP="0006581E">
            <w:pPr>
              <w:pStyle w:val="230"/>
              <w:keepNext/>
              <w:keepLines/>
              <w:spacing w:after="0" w:line="240" w:lineRule="auto"/>
              <w:ind w:left="0"/>
              <w:rPr>
                <w:sz w:val="24"/>
                <w:szCs w:val="24"/>
              </w:rPr>
            </w:pPr>
            <w:r w:rsidRPr="00FE3161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BA4" w:rsidRPr="00FE3161" w:rsidRDefault="00A50BA4" w:rsidP="00CF1CBC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E3161">
              <w:rPr>
                <w:sz w:val="24"/>
                <w:szCs w:val="24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BA4" w:rsidRPr="00FE3161" w:rsidRDefault="00A50BA4" w:rsidP="0006581E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E3161">
              <w:rPr>
                <w:sz w:val="24"/>
                <w:szCs w:val="24"/>
              </w:rPr>
              <w:t>164 207,8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BA4" w:rsidRPr="00FE3161" w:rsidRDefault="00A50BA4" w:rsidP="0006581E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E3161">
              <w:rPr>
                <w:sz w:val="24"/>
                <w:szCs w:val="24"/>
              </w:rPr>
              <w:t>170 455,4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FE3161" w:rsidRDefault="00A50BA4" w:rsidP="0006581E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E3161">
              <w:rPr>
                <w:sz w:val="24"/>
                <w:szCs w:val="24"/>
              </w:rPr>
              <w:t>164 207,8</w:t>
            </w:r>
          </w:p>
        </w:tc>
      </w:tr>
    </w:tbl>
    <w:p w:rsidR="00A50BA4" w:rsidRDefault="00A50BA4" w:rsidP="00AD29B1">
      <w:pPr>
        <w:pStyle w:val="aff1"/>
        <w:spacing w:line="276" w:lineRule="auto"/>
        <w:rPr>
          <w:sz w:val="24"/>
          <w:szCs w:val="24"/>
        </w:rPr>
      </w:pPr>
    </w:p>
    <w:p w:rsidR="00A50BA4" w:rsidRDefault="00A50BA4" w:rsidP="00AD29B1">
      <w:pPr>
        <w:pStyle w:val="aff1"/>
        <w:spacing w:line="276" w:lineRule="auto"/>
        <w:rPr>
          <w:sz w:val="24"/>
          <w:szCs w:val="24"/>
        </w:rPr>
      </w:pPr>
      <w:r w:rsidRPr="00FE3161">
        <w:rPr>
          <w:sz w:val="24"/>
          <w:szCs w:val="24"/>
        </w:rPr>
        <w:t xml:space="preserve">С учетом сложившегося значения показателя за 1 </w:t>
      </w:r>
      <w:r>
        <w:rPr>
          <w:sz w:val="24"/>
          <w:szCs w:val="24"/>
        </w:rPr>
        <w:t>полугодие</w:t>
      </w:r>
      <w:r w:rsidRPr="00FE3161">
        <w:rPr>
          <w:sz w:val="24"/>
          <w:szCs w:val="24"/>
        </w:rPr>
        <w:t xml:space="preserve"> 2016, исходя из оценки текущей ситуации на рынке товаров, предполагаемой динамики объемов потребительского спроса населения, </w:t>
      </w:r>
      <w:r>
        <w:rPr>
          <w:sz w:val="24"/>
          <w:szCs w:val="24"/>
        </w:rPr>
        <w:t>оценочное</w:t>
      </w:r>
      <w:r w:rsidRPr="00FE3161">
        <w:rPr>
          <w:sz w:val="24"/>
          <w:szCs w:val="24"/>
        </w:rPr>
        <w:t xml:space="preserve"> значение </w:t>
      </w:r>
      <w:r>
        <w:rPr>
          <w:sz w:val="24"/>
          <w:szCs w:val="24"/>
        </w:rPr>
        <w:t xml:space="preserve">показателя </w:t>
      </w:r>
      <w:r w:rsidRPr="00FE3161">
        <w:rPr>
          <w:sz w:val="24"/>
          <w:szCs w:val="24"/>
        </w:rPr>
        <w:t xml:space="preserve">оборота розничной торговли по городскому округу Тольятти на 2016 год </w:t>
      </w:r>
      <w:r>
        <w:rPr>
          <w:sz w:val="24"/>
          <w:szCs w:val="24"/>
        </w:rPr>
        <w:t>составит</w:t>
      </w:r>
      <w:r w:rsidRPr="00FE3161">
        <w:rPr>
          <w:sz w:val="24"/>
          <w:szCs w:val="24"/>
        </w:rPr>
        <w:t xml:space="preserve"> 164 207,8 млн. руб.</w:t>
      </w:r>
      <w:r>
        <w:rPr>
          <w:sz w:val="24"/>
          <w:szCs w:val="24"/>
        </w:rPr>
        <w:t xml:space="preserve">, </w:t>
      </w:r>
      <w:r w:rsidRPr="00A423B6">
        <w:rPr>
          <w:sz w:val="24"/>
          <w:szCs w:val="24"/>
        </w:rPr>
        <w:t>что соответствует первому варианту прогноза</w:t>
      </w:r>
      <w:r w:rsidR="00C952D2">
        <w:rPr>
          <w:sz w:val="24"/>
          <w:szCs w:val="24"/>
        </w:rPr>
        <w:t>, рассчитанного в 2015 году</w:t>
      </w:r>
      <w:r w:rsidRPr="00A423B6">
        <w:rPr>
          <w:sz w:val="24"/>
          <w:szCs w:val="24"/>
        </w:rPr>
        <w:t>.</w:t>
      </w:r>
    </w:p>
    <w:p w:rsidR="00A50BA4" w:rsidRDefault="00A50BA4" w:rsidP="00FC515F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</w:p>
    <w:p w:rsidR="00A50BA4" w:rsidRDefault="00A50BA4" w:rsidP="00FC515F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18541F">
        <w:rPr>
          <w:b/>
          <w:sz w:val="24"/>
          <w:szCs w:val="24"/>
          <w:shd w:val="clear" w:color="auto" w:fill="FFFFFF"/>
        </w:rPr>
        <w:t>Охрана окружающей среды</w:t>
      </w:r>
    </w:p>
    <w:p w:rsidR="00A50BA4" w:rsidRPr="0018541F" w:rsidRDefault="00A50BA4" w:rsidP="00FC515F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</w:p>
    <w:p w:rsidR="00A50BA4" w:rsidRPr="00716903" w:rsidRDefault="00A50BA4" w:rsidP="00A423B6">
      <w:pPr>
        <w:shd w:val="clear" w:color="auto" w:fill="FFFFFF"/>
        <w:tabs>
          <w:tab w:val="left" w:pos="540"/>
        </w:tabs>
        <w:spacing w:line="276" w:lineRule="auto"/>
        <w:ind w:firstLine="741"/>
        <w:jc w:val="both"/>
        <w:rPr>
          <w:sz w:val="24"/>
          <w:szCs w:val="24"/>
          <w:shd w:val="clear" w:color="auto" w:fill="FFFFFF"/>
        </w:rPr>
      </w:pPr>
      <w:r w:rsidRPr="00716903">
        <w:rPr>
          <w:sz w:val="24"/>
          <w:szCs w:val="24"/>
          <w:shd w:val="clear" w:color="auto" w:fill="FFFFFF"/>
        </w:rPr>
        <w:t>Окружающая среда городского округа Тольятти продолжает испытывать значительную антропогенную и техногенную нагрузку, связанную с высокой концентрацией крупных промышленных предприятий (теплоэнергетика, машиностроительная и химическая промышленность) и функционированием развитой транспортной системы. Но в целом экологическая ситуация в городском округе остается стабильной.</w:t>
      </w:r>
    </w:p>
    <w:p w:rsidR="00A50BA4" w:rsidRPr="00716903" w:rsidRDefault="00A50BA4" w:rsidP="00A423B6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sz w:val="24"/>
          <w:szCs w:val="24"/>
          <w:shd w:val="clear" w:color="auto" w:fill="FFFFFF"/>
        </w:rPr>
      </w:pPr>
      <w:r w:rsidRPr="00716903">
        <w:rPr>
          <w:sz w:val="24"/>
          <w:szCs w:val="24"/>
          <w:shd w:val="clear" w:color="auto" w:fill="FFFFFF"/>
        </w:rPr>
        <w:t xml:space="preserve">В 2016 году объем вредных веществ, выбрасываемых в атмосферный воздух стационарными источниками загрязнения, по оценке, составит 26,3 тыс. тонн, что на 0,4 % ниже уровня 2015 года. </w:t>
      </w:r>
    </w:p>
    <w:p w:rsidR="00A50BA4" w:rsidRPr="00716903" w:rsidRDefault="00A50BA4" w:rsidP="00A423B6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sz w:val="24"/>
          <w:szCs w:val="24"/>
          <w:shd w:val="clear" w:color="auto" w:fill="FFFFFF"/>
        </w:rPr>
      </w:pPr>
      <w:r w:rsidRPr="00716903">
        <w:rPr>
          <w:sz w:val="24"/>
          <w:szCs w:val="24"/>
          <w:shd w:val="clear" w:color="auto" w:fill="FFFFFF"/>
        </w:rPr>
        <w:t>В связи с тенденцией увеличения объема оборотного и повторно-последовательного использования воды объем сброса загрязненных сточных вод в поверхностные водные объекты</w:t>
      </w:r>
      <w:r>
        <w:rPr>
          <w:sz w:val="24"/>
          <w:szCs w:val="24"/>
          <w:shd w:val="clear" w:color="auto" w:fill="FFFFFF"/>
        </w:rPr>
        <w:t>, по оценке,</w:t>
      </w:r>
      <w:r w:rsidRPr="00716903">
        <w:rPr>
          <w:sz w:val="24"/>
          <w:szCs w:val="24"/>
          <w:shd w:val="clear" w:color="auto" w:fill="FFFFFF"/>
        </w:rPr>
        <w:t xml:space="preserve"> снизится на 0,2 % относительно предыдущего года и составит около 50,6 млн.м</w:t>
      </w:r>
      <w:r w:rsidRPr="00716903">
        <w:rPr>
          <w:sz w:val="24"/>
          <w:szCs w:val="24"/>
          <w:shd w:val="clear" w:color="auto" w:fill="FFFFFF"/>
          <w:vertAlign w:val="superscript"/>
        </w:rPr>
        <w:t>3</w:t>
      </w:r>
      <w:r w:rsidRPr="00716903">
        <w:rPr>
          <w:sz w:val="24"/>
          <w:szCs w:val="24"/>
          <w:shd w:val="clear" w:color="auto" w:fill="FFFFFF"/>
        </w:rPr>
        <w:t xml:space="preserve">. </w:t>
      </w:r>
    </w:p>
    <w:p w:rsidR="00A50BA4" w:rsidRDefault="00A50BA4" w:rsidP="00AD29B1">
      <w:pPr>
        <w:shd w:val="clear" w:color="auto" w:fill="FFFFFF"/>
        <w:spacing w:line="276" w:lineRule="auto"/>
        <w:jc w:val="center"/>
        <w:rPr>
          <w:sz w:val="24"/>
          <w:szCs w:val="24"/>
          <w:shd w:val="clear" w:color="auto" w:fill="FFFFFF"/>
        </w:rPr>
      </w:pPr>
    </w:p>
    <w:p w:rsidR="00DA3524" w:rsidRDefault="00A50BA4" w:rsidP="00AD29B1">
      <w:pPr>
        <w:shd w:val="clear" w:color="auto" w:fill="FFFFFF"/>
        <w:spacing w:line="276" w:lineRule="auto"/>
        <w:jc w:val="center"/>
        <w:rPr>
          <w:sz w:val="24"/>
          <w:szCs w:val="24"/>
          <w:shd w:val="clear" w:color="auto" w:fill="FFFFFF"/>
        </w:rPr>
      </w:pPr>
      <w:r w:rsidRPr="00716903">
        <w:rPr>
          <w:sz w:val="24"/>
          <w:szCs w:val="24"/>
          <w:shd w:val="clear" w:color="auto" w:fill="FFFFFF"/>
        </w:rPr>
        <w:t xml:space="preserve">Ожидаемое выполнение прогнозных показателей по охране окружающей среды </w:t>
      </w:r>
    </w:p>
    <w:p w:rsidR="00A50BA4" w:rsidRDefault="00A50BA4" w:rsidP="00AD29B1">
      <w:pPr>
        <w:shd w:val="clear" w:color="auto" w:fill="FFFFFF"/>
        <w:spacing w:line="276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</w:t>
      </w:r>
      <w:r w:rsidRPr="00716903">
        <w:rPr>
          <w:sz w:val="24"/>
          <w:szCs w:val="24"/>
          <w:shd w:val="clear" w:color="auto" w:fill="FFFFFF"/>
        </w:rPr>
        <w:t xml:space="preserve"> 2016 </w:t>
      </w:r>
      <w:r>
        <w:rPr>
          <w:sz w:val="24"/>
          <w:szCs w:val="24"/>
          <w:shd w:val="clear" w:color="auto" w:fill="FFFFFF"/>
        </w:rPr>
        <w:t>год</w:t>
      </w:r>
    </w:p>
    <w:p w:rsidR="00A50BA4" w:rsidRDefault="00A50BA4" w:rsidP="00AD29B1">
      <w:pPr>
        <w:shd w:val="clear" w:color="auto" w:fill="FFFFFF"/>
        <w:spacing w:line="276" w:lineRule="auto"/>
        <w:jc w:val="center"/>
        <w:rPr>
          <w:sz w:val="24"/>
          <w:szCs w:val="24"/>
          <w:shd w:val="clear" w:color="auto" w:fill="FFFFFF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111"/>
        <w:gridCol w:w="1418"/>
        <w:gridCol w:w="1417"/>
        <w:gridCol w:w="1276"/>
        <w:gridCol w:w="1134"/>
      </w:tblGrid>
      <w:tr w:rsidR="00A50BA4" w:rsidRPr="00716903" w:rsidTr="00DA3524">
        <w:trPr>
          <w:trHeight w:val="347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716903" w:rsidRDefault="00A50BA4" w:rsidP="004631AF">
            <w:pPr>
              <w:shd w:val="clear" w:color="auto" w:fill="FFFFFF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16903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716903" w:rsidRDefault="00A50BA4" w:rsidP="00FB4E2F">
            <w:pPr>
              <w:shd w:val="clear" w:color="auto" w:fill="FFFFFF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16903">
              <w:rPr>
                <w:sz w:val="24"/>
                <w:szCs w:val="24"/>
                <w:shd w:val="clear" w:color="auto" w:fill="FFFFFF"/>
              </w:rPr>
              <w:t>Ед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716903">
              <w:rPr>
                <w:sz w:val="24"/>
                <w:szCs w:val="24"/>
                <w:shd w:val="clear" w:color="auto" w:fill="FFFFFF"/>
              </w:rPr>
              <w:t>изм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066E74" w:rsidRDefault="00A50BA4" w:rsidP="00A73686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 xml:space="preserve">Прогноз </w:t>
            </w:r>
            <w:r>
              <w:rPr>
                <w:sz w:val="24"/>
                <w:szCs w:val="24"/>
              </w:rPr>
              <w:t xml:space="preserve">на </w:t>
            </w: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066E74" w:rsidRDefault="00A50BA4" w:rsidP="00A73686">
            <w:pPr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 (оценка)</w:t>
            </w:r>
          </w:p>
        </w:tc>
      </w:tr>
      <w:tr w:rsidR="00A50BA4" w:rsidRPr="00716903" w:rsidTr="00DA3524">
        <w:trPr>
          <w:trHeight w:val="425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716903" w:rsidRDefault="00A50BA4" w:rsidP="004631AF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716903" w:rsidRDefault="00A50BA4" w:rsidP="004631AF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716903" w:rsidRDefault="00A50BA4" w:rsidP="004631AF">
            <w:pPr>
              <w:shd w:val="clear" w:color="auto" w:fill="FFFFFF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16903">
              <w:rPr>
                <w:sz w:val="24"/>
                <w:szCs w:val="24"/>
                <w:shd w:val="clear" w:color="auto" w:fill="FFFFFF"/>
              </w:rPr>
              <w:t>1 вариант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716903" w:rsidRDefault="00A50BA4" w:rsidP="004631AF">
            <w:pPr>
              <w:shd w:val="clear" w:color="auto" w:fill="FFFFFF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16903">
              <w:rPr>
                <w:sz w:val="24"/>
                <w:szCs w:val="24"/>
                <w:shd w:val="clear" w:color="auto" w:fill="FFFFFF"/>
              </w:rPr>
              <w:t>2 вариант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716903" w:rsidRDefault="00A50BA4" w:rsidP="004631AF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50BA4" w:rsidRPr="00716903" w:rsidTr="00DA352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716903" w:rsidRDefault="00A50BA4" w:rsidP="00DA352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716903">
              <w:rPr>
                <w:sz w:val="24"/>
                <w:szCs w:val="24"/>
                <w:shd w:val="clear" w:color="auto" w:fill="FFFFFF"/>
              </w:rPr>
              <w:t>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716903" w:rsidRDefault="00A50BA4" w:rsidP="00CF1CB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16903">
              <w:rPr>
                <w:sz w:val="24"/>
                <w:szCs w:val="24"/>
                <w:shd w:val="clear" w:color="auto" w:fill="FFFFFF"/>
              </w:rPr>
              <w:t>тыс. тонн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716903" w:rsidRDefault="00A50BA4" w:rsidP="00CF1CB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716903">
              <w:rPr>
                <w:sz w:val="24"/>
                <w:szCs w:val="24"/>
                <w:shd w:val="clear" w:color="auto" w:fill="FFFFFF"/>
              </w:rPr>
              <w:t>27,</w:t>
            </w:r>
            <w:r w:rsidRPr="00716903">
              <w:rPr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716903" w:rsidRDefault="00A50BA4" w:rsidP="00CF1CB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716903">
              <w:rPr>
                <w:sz w:val="24"/>
                <w:szCs w:val="24"/>
                <w:shd w:val="clear" w:color="auto" w:fill="FFFFFF"/>
              </w:rPr>
              <w:t>2</w:t>
            </w:r>
            <w:r w:rsidRPr="00716903">
              <w:rPr>
                <w:sz w:val="24"/>
                <w:szCs w:val="24"/>
                <w:shd w:val="clear" w:color="auto" w:fill="FFFFFF"/>
                <w:lang w:val="en-US"/>
              </w:rPr>
              <w:t>7</w:t>
            </w:r>
            <w:r w:rsidRPr="00716903">
              <w:rPr>
                <w:sz w:val="24"/>
                <w:szCs w:val="24"/>
                <w:shd w:val="clear" w:color="auto" w:fill="FFFFFF"/>
              </w:rPr>
              <w:t>,</w:t>
            </w:r>
            <w:r w:rsidRPr="00716903">
              <w:rPr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716903" w:rsidRDefault="00A50BA4" w:rsidP="00CF1CB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716903">
              <w:rPr>
                <w:sz w:val="24"/>
                <w:szCs w:val="24"/>
                <w:shd w:val="clear" w:color="auto" w:fill="FFFFFF"/>
              </w:rPr>
              <w:t>2</w:t>
            </w:r>
            <w:r w:rsidRPr="00716903">
              <w:rPr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716903">
              <w:rPr>
                <w:sz w:val="24"/>
                <w:szCs w:val="24"/>
                <w:shd w:val="clear" w:color="auto" w:fill="FFFFFF"/>
              </w:rPr>
              <w:t>,</w:t>
            </w:r>
            <w:r w:rsidRPr="00716903">
              <w:rPr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</w:tr>
      <w:tr w:rsidR="00A50BA4" w:rsidRPr="00A44276" w:rsidTr="00DA352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716903" w:rsidRDefault="00A50BA4" w:rsidP="00DA352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716903">
              <w:rPr>
                <w:sz w:val="24"/>
                <w:szCs w:val="24"/>
                <w:shd w:val="clear" w:color="auto" w:fill="FFFFFF"/>
              </w:rPr>
              <w:t>Объем сброса загрязнений сточных вод в поверхностные водные объекты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716903" w:rsidRDefault="00A50BA4" w:rsidP="00CF1CB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16903">
              <w:rPr>
                <w:sz w:val="24"/>
                <w:szCs w:val="24"/>
                <w:shd w:val="clear" w:color="auto" w:fill="FFFFFF"/>
              </w:rPr>
              <w:t>млн.куб.м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716903" w:rsidRDefault="00A50BA4" w:rsidP="00CF1CB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716903">
              <w:rPr>
                <w:sz w:val="24"/>
                <w:szCs w:val="24"/>
                <w:shd w:val="clear" w:color="auto" w:fill="FFFFFF"/>
                <w:lang w:val="en-US"/>
              </w:rPr>
              <w:t>51</w:t>
            </w:r>
            <w:r w:rsidRPr="00716903">
              <w:rPr>
                <w:sz w:val="24"/>
                <w:szCs w:val="24"/>
                <w:shd w:val="clear" w:color="auto" w:fill="FFFFFF"/>
              </w:rPr>
              <w:t>,</w:t>
            </w:r>
            <w:r w:rsidRPr="00716903">
              <w:rPr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716903" w:rsidRDefault="00A50BA4" w:rsidP="00CF1CB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16903">
              <w:rPr>
                <w:sz w:val="24"/>
                <w:szCs w:val="24"/>
                <w:shd w:val="clear" w:color="auto" w:fill="FFFFFF"/>
                <w:lang w:val="en-US"/>
              </w:rPr>
              <w:t>50</w:t>
            </w:r>
            <w:r w:rsidRPr="00716903">
              <w:rPr>
                <w:sz w:val="24"/>
                <w:szCs w:val="24"/>
                <w:shd w:val="clear" w:color="auto" w:fill="FFFFFF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716903" w:rsidRDefault="00A50BA4" w:rsidP="00CF1CB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16903">
              <w:rPr>
                <w:sz w:val="24"/>
                <w:szCs w:val="24"/>
                <w:shd w:val="clear" w:color="auto" w:fill="FFFFFF"/>
              </w:rPr>
              <w:t>5</w:t>
            </w:r>
            <w:r w:rsidRPr="00716903">
              <w:rPr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716903">
              <w:rPr>
                <w:sz w:val="24"/>
                <w:szCs w:val="24"/>
                <w:shd w:val="clear" w:color="auto" w:fill="FFFFFF"/>
              </w:rPr>
              <w:t>,6</w:t>
            </w:r>
          </w:p>
        </w:tc>
      </w:tr>
    </w:tbl>
    <w:p w:rsidR="00A50BA4" w:rsidRPr="00716903" w:rsidRDefault="00A50BA4" w:rsidP="00F25DA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16903">
        <w:rPr>
          <w:sz w:val="24"/>
          <w:szCs w:val="24"/>
          <w:shd w:val="clear" w:color="auto" w:fill="FFFFFF"/>
        </w:rPr>
        <w:lastRenderedPageBreak/>
        <w:t>В связи с уточнением данных за 2015 год в 2016 году изменена оценка показателей:</w:t>
      </w:r>
    </w:p>
    <w:p w:rsidR="00A50BA4" w:rsidRPr="00716903" w:rsidRDefault="00A50BA4" w:rsidP="00F25DA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16903">
        <w:rPr>
          <w:sz w:val="24"/>
          <w:szCs w:val="24"/>
          <w:shd w:val="clear" w:color="auto" w:fill="FFFFFF"/>
        </w:rPr>
        <w:t>- объем вредных веществ, выбрасываемых в атмосферный воздух стационарными источниками загрязнения, снижен до 26,3 тыс. тонн  (фактическое значение показателя в 2015 году составило 26,4 тыс. тонн вместо планируемых ранее 27,8 тыс. тонн);</w:t>
      </w:r>
    </w:p>
    <w:p w:rsidR="00A50BA4" w:rsidRPr="00716903" w:rsidRDefault="00A50BA4" w:rsidP="00F25DAE">
      <w:pPr>
        <w:pStyle w:val="atlp"/>
        <w:shd w:val="clear" w:color="auto" w:fill="FFFFFF"/>
        <w:spacing w:before="0" w:after="0" w:line="276" w:lineRule="auto"/>
        <w:ind w:firstLine="709"/>
        <w:jc w:val="both"/>
        <w:rPr>
          <w:shd w:val="clear" w:color="auto" w:fill="FFFFFF"/>
        </w:rPr>
      </w:pPr>
      <w:r w:rsidRPr="00716903">
        <w:rPr>
          <w:shd w:val="clear" w:color="auto" w:fill="FFFFFF"/>
        </w:rPr>
        <w:t xml:space="preserve">-  объем сброса загрязненных сточных вод в поверхностные водные объекты снижен до 50,6 млн. куб. м. Оценка </w:t>
      </w:r>
      <w:r>
        <w:rPr>
          <w:shd w:val="clear" w:color="auto" w:fill="FFFFFF"/>
        </w:rPr>
        <w:t>скорректирована</w:t>
      </w:r>
      <w:r w:rsidRPr="00716903">
        <w:rPr>
          <w:shd w:val="clear" w:color="auto" w:fill="FFFFFF"/>
        </w:rPr>
        <w:t xml:space="preserve"> вследствие уменьшения объема сброса загрязнений сточных вод в поверхностные водные объекты в 2015 году до 50,7 млн. куб. м (вместо ожидаемых 51,6 млн. куб.м), на что повлияли природоохранные мероприятия, реализуемые на крупных промышленных предприятиях. </w:t>
      </w:r>
    </w:p>
    <w:p w:rsidR="00A50BA4" w:rsidRDefault="00A50BA4" w:rsidP="00C624DB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547D18">
        <w:rPr>
          <w:sz w:val="24"/>
          <w:szCs w:val="24"/>
          <w:shd w:val="clear" w:color="auto" w:fill="FFFFFF"/>
        </w:rPr>
        <w:t>Наиболее   крупные   экологические мероприятия 2016 года запланированы основными промышленными предприятиями за   счет   собственных средств  (</w:t>
      </w:r>
      <w:r w:rsidRPr="00EF679A">
        <w:rPr>
          <w:sz w:val="24"/>
          <w:szCs w:val="24"/>
          <w:shd w:val="clear" w:color="auto" w:fill="FFFFFF"/>
        </w:rPr>
        <w:t xml:space="preserve">около 700 </w:t>
      </w:r>
      <w:r w:rsidRPr="00547D18">
        <w:rPr>
          <w:sz w:val="24"/>
          <w:szCs w:val="24"/>
          <w:shd w:val="clear" w:color="auto" w:fill="FFFFFF"/>
        </w:rPr>
        <w:t xml:space="preserve"> млн. руб., что на 31,4 % больше, чем в 2015 году).</w:t>
      </w:r>
    </w:p>
    <w:p w:rsidR="00A50BA4" w:rsidRPr="00547D18" w:rsidRDefault="00A50BA4" w:rsidP="00C624DB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547D18">
        <w:rPr>
          <w:sz w:val="24"/>
          <w:szCs w:val="24"/>
          <w:shd w:val="clear" w:color="auto" w:fill="FFFFFF"/>
        </w:rPr>
        <w:t xml:space="preserve">С целью сокращения негативного влияния на окружающую среду </w:t>
      </w:r>
      <w:r>
        <w:rPr>
          <w:sz w:val="24"/>
          <w:szCs w:val="24"/>
          <w:shd w:val="clear" w:color="auto" w:fill="FFFFFF"/>
        </w:rPr>
        <w:t>предприятия реализую</w:t>
      </w:r>
      <w:r w:rsidRPr="00547D18">
        <w:rPr>
          <w:sz w:val="24"/>
          <w:szCs w:val="24"/>
          <w:shd w:val="clear" w:color="auto" w:fill="FFFFFF"/>
        </w:rPr>
        <w:t>т проекты по техническ</w:t>
      </w:r>
      <w:r>
        <w:rPr>
          <w:sz w:val="24"/>
          <w:szCs w:val="24"/>
          <w:shd w:val="clear" w:color="auto" w:fill="FFFFFF"/>
        </w:rPr>
        <w:t xml:space="preserve">ому перевооружению производства, реконструкции  и строительству </w:t>
      </w:r>
      <w:r w:rsidRPr="00912D2E">
        <w:rPr>
          <w:sz w:val="24"/>
          <w:szCs w:val="24"/>
          <w:shd w:val="clear" w:color="auto" w:fill="FFFFFF"/>
        </w:rPr>
        <w:t>очистных сооружений.</w:t>
      </w:r>
    </w:p>
    <w:p w:rsidR="00A50BA4" w:rsidRPr="00547D18" w:rsidRDefault="00A50BA4" w:rsidP="00C624DB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547D18">
        <w:rPr>
          <w:sz w:val="24"/>
          <w:szCs w:val="24"/>
          <w:shd w:val="clear" w:color="auto" w:fill="FFFFFF"/>
        </w:rPr>
        <w:t>Так, ОАО «АВТОВАЗ</w:t>
      </w:r>
      <w:r>
        <w:rPr>
          <w:sz w:val="24"/>
          <w:szCs w:val="24"/>
          <w:shd w:val="clear" w:color="auto" w:fill="FFFFFF"/>
        </w:rPr>
        <w:t>» в 2016 году планирует провести реконструкцию промканализации с целью минимизации попадания отложений в сточные воды; сократить сброс переливных вод в ливневую канализацию; частично перейти на краску на водной основе. Запланированный объем ф</w:t>
      </w:r>
      <w:r w:rsidRPr="00547D18">
        <w:rPr>
          <w:sz w:val="24"/>
          <w:szCs w:val="24"/>
          <w:shd w:val="clear" w:color="auto" w:fill="FFFFFF"/>
        </w:rPr>
        <w:t>инансировани</w:t>
      </w:r>
      <w:r>
        <w:rPr>
          <w:sz w:val="24"/>
          <w:szCs w:val="24"/>
          <w:shd w:val="clear" w:color="auto" w:fill="FFFFFF"/>
        </w:rPr>
        <w:t>я</w:t>
      </w:r>
      <w:r w:rsidRPr="00547D1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данных мероприятий</w:t>
      </w:r>
      <w:r w:rsidRPr="00547D18">
        <w:rPr>
          <w:sz w:val="24"/>
          <w:szCs w:val="24"/>
          <w:shd w:val="clear" w:color="auto" w:fill="FFFFFF"/>
        </w:rPr>
        <w:t xml:space="preserve"> в 7</w:t>
      </w:r>
      <w:r>
        <w:rPr>
          <w:sz w:val="24"/>
          <w:szCs w:val="24"/>
          <w:shd w:val="clear" w:color="auto" w:fill="FFFFFF"/>
        </w:rPr>
        <w:t>,4</w:t>
      </w:r>
      <w:r w:rsidRPr="00547D18">
        <w:rPr>
          <w:sz w:val="24"/>
          <w:szCs w:val="24"/>
          <w:shd w:val="clear" w:color="auto" w:fill="FFFFFF"/>
        </w:rPr>
        <w:t xml:space="preserve"> раз</w:t>
      </w:r>
      <w:r>
        <w:rPr>
          <w:sz w:val="24"/>
          <w:szCs w:val="24"/>
          <w:shd w:val="clear" w:color="auto" w:fill="FFFFFF"/>
        </w:rPr>
        <w:t>а</w:t>
      </w:r>
      <w:r w:rsidRPr="00547D1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больше</w:t>
      </w:r>
      <w:r w:rsidRPr="00547D1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затрат предприятия на природоохранные мероприятия</w:t>
      </w:r>
      <w:r w:rsidRPr="00547D1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в прошлом</w:t>
      </w:r>
      <w:r w:rsidRPr="00547D18">
        <w:rPr>
          <w:sz w:val="24"/>
          <w:szCs w:val="24"/>
          <w:shd w:val="clear" w:color="auto" w:fill="FFFFFF"/>
        </w:rPr>
        <w:t xml:space="preserve"> год</w:t>
      </w:r>
      <w:r>
        <w:rPr>
          <w:sz w:val="24"/>
          <w:szCs w:val="24"/>
          <w:shd w:val="clear" w:color="auto" w:fill="FFFFFF"/>
        </w:rPr>
        <w:t>у</w:t>
      </w:r>
      <w:r w:rsidRPr="00547D18">
        <w:rPr>
          <w:sz w:val="24"/>
          <w:szCs w:val="24"/>
          <w:shd w:val="clear" w:color="auto" w:fill="FFFFFF"/>
        </w:rPr>
        <w:t xml:space="preserve">. </w:t>
      </w:r>
    </w:p>
    <w:p w:rsidR="00A50BA4" w:rsidRDefault="00A50BA4" w:rsidP="00DC1420">
      <w:pPr>
        <w:pStyle w:val="atlp"/>
        <w:shd w:val="clear" w:color="auto" w:fill="FFFFFF"/>
        <w:spacing w:before="0" w:after="0" w:line="276" w:lineRule="auto"/>
        <w:ind w:firstLine="709"/>
        <w:jc w:val="both"/>
        <w:rPr>
          <w:shd w:val="clear" w:color="auto" w:fill="FFFFFF"/>
        </w:rPr>
      </w:pPr>
      <w:r w:rsidRPr="00DC1420">
        <w:rPr>
          <w:shd w:val="clear" w:color="auto" w:fill="FFFFFF"/>
        </w:rPr>
        <w:t>ОАО «Куйбышев</w:t>
      </w:r>
      <w:r>
        <w:rPr>
          <w:shd w:val="clear" w:color="auto" w:fill="FFFFFF"/>
        </w:rPr>
        <w:t>А</w:t>
      </w:r>
      <w:r w:rsidRPr="00DC1420">
        <w:rPr>
          <w:shd w:val="clear" w:color="auto" w:fill="FFFFFF"/>
        </w:rPr>
        <w:t>зот» также планирует увеличить затраты на реализацию природоохранных мероприятий (в 7 раз к уровню прошлого года). Средства предприятия будут направлены на разработку проектной документации и строительство канализационных очистных сооружений.</w:t>
      </w:r>
    </w:p>
    <w:p w:rsidR="00A50BA4" w:rsidRPr="00DC1420" w:rsidRDefault="00A50BA4" w:rsidP="00DC1420">
      <w:pPr>
        <w:pStyle w:val="atlp"/>
        <w:shd w:val="clear" w:color="auto" w:fill="FFFFFF"/>
        <w:spacing w:before="0" w:after="0"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Средства ОАО «Тольяттиазот» в 2016 году планируется направить на проведение ремонтных работ на очистных сооружениях. Запланированный объем ф</w:t>
      </w:r>
      <w:r w:rsidRPr="00547D18">
        <w:rPr>
          <w:shd w:val="clear" w:color="auto" w:fill="FFFFFF"/>
        </w:rPr>
        <w:t>инансировани</w:t>
      </w:r>
      <w:r>
        <w:rPr>
          <w:shd w:val="clear" w:color="auto" w:fill="FFFFFF"/>
        </w:rPr>
        <w:t>я</w:t>
      </w:r>
      <w:r w:rsidRPr="00547D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данных мероприятий</w:t>
      </w:r>
      <w:r w:rsidRPr="00547D18">
        <w:rPr>
          <w:shd w:val="clear" w:color="auto" w:fill="FFFFFF"/>
        </w:rPr>
        <w:t xml:space="preserve"> в </w:t>
      </w:r>
      <w:r>
        <w:rPr>
          <w:shd w:val="clear" w:color="auto" w:fill="FFFFFF"/>
        </w:rPr>
        <w:t>2,8</w:t>
      </w:r>
      <w:r w:rsidRPr="00547D18">
        <w:rPr>
          <w:shd w:val="clear" w:color="auto" w:fill="FFFFFF"/>
        </w:rPr>
        <w:t xml:space="preserve"> раз </w:t>
      </w:r>
      <w:r>
        <w:rPr>
          <w:shd w:val="clear" w:color="auto" w:fill="FFFFFF"/>
        </w:rPr>
        <w:t>больше</w:t>
      </w:r>
      <w:r w:rsidRPr="00547D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затрат на природоохранные мероприятия</w:t>
      </w:r>
      <w:r w:rsidRPr="00547D18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2015</w:t>
      </w:r>
      <w:r w:rsidRPr="00547D18">
        <w:rPr>
          <w:shd w:val="clear" w:color="auto" w:fill="FFFFFF"/>
        </w:rPr>
        <w:t xml:space="preserve"> год</w:t>
      </w:r>
      <w:r>
        <w:rPr>
          <w:shd w:val="clear" w:color="auto" w:fill="FFFFFF"/>
        </w:rPr>
        <w:t>а</w:t>
      </w:r>
      <w:r w:rsidRPr="00547D18">
        <w:rPr>
          <w:shd w:val="clear" w:color="auto" w:fill="FFFFFF"/>
        </w:rPr>
        <w:t>.</w:t>
      </w:r>
    </w:p>
    <w:p w:rsidR="00A50BA4" w:rsidRPr="00547D18" w:rsidRDefault="00A50BA4" w:rsidP="00F94E15">
      <w:pPr>
        <w:pStyle w:val="atlp"/>
        <w:shd w:val="clear" w:color="auto" w:fill="FFFFFF"/>
        <w:spacing w:before="0" w:after="0" w:line="276" w:lineRule="auto"/>
        <w:ind w:firstLine="709"/>
        <w:jc w:val="both"/>
        <w:rPr>
          <w:shd w:val="clear" w:color="auto" w:fill="FFFFFF"/>
        </w:rPr>
      </w:pPr>
      <w:r w:rsidRPr="00540EF2">
        <w:rPr>
          <w:shd w:val="clear" w:color="auto" w:fill="FFFFFF"/>
        </w:rPr>
        <w:t>Следует отметить, что проводимая крупными промышленными предприятиями городского округа Тольятти политика ресурсосбережения, в соответствии с нормами Федерального закона «Об энергосбережении и энергоэффективности» позволяет многим предприятиям сокращать затраты на электроэнергию и теплоэнергию, что в свою очередь снижает негативное воздействие производства на окружающую среду.</w:t>
      </w:r>
    </w:p>
    <w:p w:rsidR="00A50BA4" w:rsidRPr="00540EF2" w:rsidRDefault="00A50BA4" w:rsidP="00F94E15">
      <w:pPr>
        <w:pStyle w:val="aff1"/>
        <w:numPr>
          <w:ilvl w:val="0"/>
          <w:numId w:val="5"/>
        </w:numPr>
        <w:shd w:val="clear" w:color="auto" w:fill="FFFFFF"/>
        <w:spacing w:line="276" w:lineRule="auto"/>
        <w:ind w:left="0" w:right="-2" w:firstLine="690"/>
        <w:rPr>
          <w:sz w:val="24"/>
          <w:szCs w:val="24"/>
          <w:shd w:val="clear" w:color="auto" w:fill="FFFFFF"/>
        </w:rPr>
      </w:pPr>
      <w:r w:rsidRPr="00540EF2">
        <w:rPr>
          <w:sz w:val="24"/>
          <w:szCs w:val="24"/>
          <w:shd w:val="clear" w:color="auto" w:fill="FFFFFF"/>
        </w:rPr>
        <w:t>Для обеспечения благоприятной окружающей среды в городском округе реализуются:</w:t>
      </w:r>
    </w:p>
    <w:p w:rsidR="00A50BA4" w:rsidRPr="00540EF2" w:rsidRDefault="00A50BA4" w:rsidP="00F94E15">
      <w:pPr>
        <w:pStyle w:val="aff1"/>
        <w:numPr>
          <w:ilvl w:val="0"/>
          <w:numId w:val="5"/>
        </w:numPr>
        <w:shd w:val="clear" w:color="auto" w:fill="FFFFFF"/>
        <w:spacing w:line="276" w:lineRule="auto"/>
        <w:ind w:left="0" w:right="-2" w:firstLine="690"/>
        <w:rPr>
          <w:sz w:val="24"/>
          <w:szCs w:val="24"/>
          <w:shd w:val="clear" w:color="auto" w:fill="FFFFFF"/>
        </w:rPr>
      </w:pPr>
      <w:r w:rsidRPr="00540EF2">
        <w:rPr>
          <w:sz w:val="24"/>
          <w:szCs w:val="24"/>
          <w:shd w:val="clear" w:color="auto" w:fill="FFFFFF"/>
        </w:rPr>
        <w:t>- муниципальная экологическая программа городского округа Тольятти на 2015-2017 гг.</w:t>
      </w:r>
      <w:r w:rsidR="00DA3524">
        <w:rPr>
          <w:sz w:val="24"/>
          <w:szCs w:val="24"/>
          <w:shd w:val="clear" w:color="auto" w:fill="FFFFFF"/>
        </w:rPr>
        <w:t xml:space="preserve">, утвержденная постановлением мэрии городского округа Тольятти от </w:t>
      </w:r>
      <w:r w:rsidR="004D720F">
        <w:rPr>
          <w:sz w:val="24"/>
          <w:szCs w:val="24"/>
          <w:shd w:val="clear" w:color="auto" w:fill="FFFFFF"/>
        </w:rPr>
        <w:t xml:space="preserve">13.10.2014 </w:t>
      </w:r>
      <w:r w:rsidR="00DA3524">
        <w:rPr>
          <w:sz w:val="24"/>
          <w:szCs w:val="24"/>
          <w:shd w:val="clear" w:color="auto" w:fill="FFFFFF"/>
        </w:rPr>
        <w:t>№</w:t>
      </w:r>
      <w:r w:rsidR="004D720F">
        <w:rPr>
          <w:sz w:val="24"/>
          <w:szCs w:val="24"/>
          <w:shd w:val="clear" w:color="auto" w:fill="FFFFFF"/>
        </w:rPr>
        <w:t xml:space="preserve"> 3844-п/1</w:t>
      </w:r>
      <w:r w:rsidR="00DA3524">
        <w:rPr>
          <w:sz w:val="24"/>
          <w:szCs w:val="24"/>
          <w:shd w:val="clear" w:color="auto" w:fill="FFFFFF"/>
        </w:rPr>
        <w:t>,</w:t>
      </w:r>
      <w:r w:rsidRPr="00540EF2">
        <w:rPr>
          <w:sz w:val="24"/>
          <w:szCs w:val="24"/>
          <w:shd w:val="clear" w:color="auto" w:fill="FFFFFF"/>
        </w:rPr>
        <w:t xml:space="preserve">  с объемом финансирования  на 2016 год  в размере 6,3 млн. руб.;</w:t>
      </w:r>
    </w:p>
    <w:p w:rsidR="00A50BA4" w:rsidRPr="00540EF2" w:rsidRDefault="00A50BA4" w:rsidP="00540EF2">
      <w:pPr>
        <w:pStyle w:val="aff1"/>
        <w:numPr>
          <w:ilvl w:val="0"/>
          <w:numId w:val="5"/>
        </w:numPr>
        <w:shd w:val="clear" w:color="auto" w:fill="FFFFFF"/>
        <w:spacing w:line="276" w:lineRule="auto"/>
        <w:ind w:left="0" w:right="-2" w:firstLine="690"/>
        <w:rPr>
          <w:sz w:val="24"/>
          <w:szCs w:val="24"/>
          <w:shd w:val="clear" w:color="auto" w:fill="FFFFFF"/>
        </w:rPr>
      </w:pPr>
      <w:r w:rsidRPr="00540EF2">
        <w:rPr>
          <w:sz w:val="24"/>
          <w:szCs w:val="24"/>
          <w:shd w:val="clear" w:color="auto" w:fill="FFFFFF"/>
        </w:rPr>
        <w:t>- муниципальная программа по обращению с отходами на территории городского круга Тольятти на 2014-2016 годы</w:t>
      </w:r>
      <w:r w:rsidR="00DA3524">
        <w:rPr>
          <w:sz w:val="24"/>
          <w:szCs w:val="24"/>
          <w:shd w:val="clear" w:color="auto" w:fill="FFFFFF"/>
        </w:rPr>
        <w:t xml:space="preserve">, утвержденная постановлением мэрии городского округа Тольятти от </w:t>
      </w:r>
      <w:r w:rsidR="004D720F">
        <w:rPr>
          <w:sz w:val="24"/>
          <w:szCs w:val="24"/>
          <w:shd w:val="clear" w:color="auto" w:fill="FFFFFF"/>
        </w:rPr>
        <w:t xml:space="preserve">11.10.2013 </w:t>
      </w:r>
      <w:r w:rsidR="00DA3524">
        <w:rPr>
          <w:sz w:val="24"/>
          <w:szCs w:val="24"/>
          <w:shd w:val="clear" w:color="auto" w:fill="FFFFFF"/>
        </w:rPr>
        <w:t>№</w:t>
      </w:r>
      <w:r w:rsidR="004D720F">
        <w:rPr>
          <w:sz w:val="24"/>
          <w:szCs w:val="24"/>
          <w:shd w:val="clear" w:color="auto" w:fill="FFFFFF"/>
        </w:rPr>
        <w:t xml:space="preserve"> 3142-п/1</w:t>
      </w:r>
      <w:r w:rsidR="00DA3524">
        <w:rPr>
          <w:sz w:val="24"/>
          <w:szCs w:val="24"/>
          <w:shd w:val="clear" w:color="auto" w:fill="FFFFFF"/>
        </w:rPr>
        <w:t>,</w:t>
      </w:r>
      <w:r w:rsidRPr="00540EF2">
        <w:rPr>
          <w:sz w:val="24"/>
          <w:szCs w:val="24"/>
          <w:shd w:val="clear" w:color="auto" w:fill="FFFFFF"/>
        </w:rPr>
        <w:t xml:space="preserve"> с объемом финансирования  на 2016 год  в размере </w:t>
      </w:r>
      <w:r>
        <w:rPr>
          <w:sz w:val="24"/>
          <w:szCs w:val="24"/>
          <w:shd w:val="clear" w:color="auto" w:fill="FFFFFF"/>
        </w:rPr>
        <w:t>1</w:t>
      </w:r>
      <w:r w:rsidRPr="00540EF2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>7 млн. руб.</w:t>
      </w:r>
    </w:p>
    <w:p w:rsidR="00A50BA4" w:rsidRDefault="00A50BA4" w:rsidP="000B763D">
      <w:pPr>
        <w:pStyle w:val="afc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709"/>
        <w:jc w:val="both"/>
        <w:rPr>
          <w:shd w:val="clear" w:color="auto" w:fill="FFFFFF"/>
        </w:rPr>
      </w:pPr>
    </w:p>
    <w:p w:rsidR="00A50BA4" w:rsidRPr="000B763D" w:rsidRDefault="00A50BA4" w:rsidP="000B763D">
      <w:pPr>
        <w:pStyle w:val="afc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Таким образом, городской округ </w:t>
      </w:r>
      <w:r w:rsidRPr="000B763D">
        <w:rPr>
          <w:shd w:val="clear" w:color="auto" w:fill="FFFFFF"/>
        </w:rPr>
        <w:t xml:space="preserve">Тольятти, являясь монопрофильным муниципальным образованием, в большей степени, по сравнению с другими </w:t>
      </w:r>
      <w:r w:rsidRPr="000B763D">
        <w:rPr>
          <w:shd w:val="clear" w:color="auto" w:fill="FFFFFF"/>
        </w:rPr>
        <w:lastRenderedPageBreak/>
        <w:t>муниципальными образованиями региона, подвержен влиянию общеэ</w:t>
      </w:r>
      <w:r>
        <w:rPr>
          <w:shd w:val="clear" w:color="auto" w:fill="FFFFFF"/>
        </w:rPr>
        <w:t xml:space="preserve">кономических кризисных ситуаций, </w:t>
      </w:r>
      <w:r w:rsidRPr="00C4217B">
        <w:rPr>
          <w:shd w:val="clear" w:color="auto" w:fill="FFFFFF"/>
        </w:rPr>
        <w:t>наблюдаемых на сегодняшний момент в стране.</w:t>
      </w:r>
    </w:p>
    <w:p w:rsidR="00A50BA4" w:rsidRPr="000B763D" w:rsidRDefault="00A50BA4" w:rsidP="00A423B6">
      <w:pPr>
        <w:pStyle w:val="afc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709"/>
        <w:jc w:val="both"/>
        <w:rPr>
          <w:shd w:val="clear" w:color="auto" w:fill="FFFFFF"/>
        </w:rPr>
      </w:pPr>
      <w:r w:rsidRPr="000B763D">
        <w:rPr>
          <w:shd w:val="clear" w:color="auto" w:fill="FFFFFF"/>
        </w:rPr>
        <w:t>Основными проблемами, сдерживающими социально-экономическое развития города в настоящее время, являются:</w:t>
      </w:r>
    </w:p>
    <w:p w:rsidR="00A50BA4" w:rsidRPr="00E828C3" w:rsidRDefault="00A50BA4" w:rsidP="00A423B6">
      <w:pPr>
        <w:pStyle w:val="afc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709"/>
        <w:jc w:val="both"/>
        <w:rPr>
          <w:shd w:val="clear" w:color="auto" w:fill="FFFFFF"/>
        </w:rPr>
      </w:pPr>
      <w:r w:rsidRPr="00E828C3">
        <w:rPr>
          <w:shd w:val="clear" w:color="auto" w:fill="FFFFFF"/>
        </w:rPr>
        <w:t>- высокая зависимость экономического и социального благополучия города от деятельности градообразующего предприятия ОАО «АВТОВАЗ»;</w:t>
      </w:r>
    </w:p>
    <w:p w:rsidR="00A50BA4" w:rsidRPr="00E828C3" w:rsidRDefault="00A50BA4" w:rsidP="00A423B6">
      <w:pPr>
        <w:pStyle w:val="afc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709"/>
        <w:jc w:val="both"/>
        <w:rPr>
          <w:shd w:val="clear" w:color="auto" w:fill="FFFFFF"/>
        </w:rPr>
      </w:pPr>
      <w:r w:rsidRPr="00E828C3">
        <w:rPr>
          <w:shd w:val="clear" w:color="auto" w:fill="FFFFFF"/>
        </w:rPr>
        <w:t>- недостаток финансовых ресурсов предприятий, трудности с материально-техническими факторами роста производительности труда, зависимость от конъюнктуры рынков сбыта, высокая конкуренция;</w:t>
      </w:r>
    </w:p>
    <w:p w:rsidR="00A50BA4" w:rsidRDefault="00A50BA4" w:rsidP="00A423B6">
      <w:pPr>
        <w:pStyle w:val="afc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709"/>
        <w:jc w:val="both"/>
        <w:rPr>
          <w:shd w:val="clear" w:color="auto" w:fill="FFFFFF"/>
        </w:rPr>
      </w:pPr>
      <w:r w:rsidRPr="00E828C3">
        <w:rPr>
          <w:shd w:val="clear" w:color="auto" w:fill="FFFFFF"/>
        </w:rPr>
        <w:t>- обострение проблем занятости вследствие высвобождения работников с предприятий города, а также длительно не работающих граждан, усилением количественного и качественного дисбаланса между спросом и предложением на труд;</w:t>
      </w:r>
    </w:p>
    <w:p w:rsidR="00A50BA4" w:rsidRPr="00E828C3" w:rsidRDefault="00A50BA4" w:rsidP="00A423B6">
      <w:pPr>
        <w:pStyle w:val="afc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709"/>
        <w:jc w:val="both"/>
        <w:rPr>
          <w:shd w:val="clear" w:color="auto" w:fill="FFFFFF"/>
        </w:rPr>
      </w:pPr>
      <w:r w:rsidRPr="00E828C3">
        <w:rPr>
          <w:shd w:val="clear" w:color="auto" w:fill="FFFFFF"/>
        </w:rPr>
        <w:t xml:space="preserve">- сокращение численности трудоспособного населения, миграционный отток; </w:t>
      </w:r>
    </w:p>
    <w:p w:rsidR="00A50BA4" w:rsidRPr="00E828C3" w:rsidRDefault="00A50BA4" w:rsidP="00A423B6">
      <w:pPr>
        <w:pStyle w:val="afc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709"/>
        <w:jc w:val="both"/>
        <w:rPr>
          <w:shd w:val="clear" w:color="auto" w:fill="FFFFFF"/>
        </w:rPr>
      </w:pPr>
      <w:r w:rsidRPr="00E828C3">
        <w:rPr>
          <w:shd w:val="clear" w:color="auto" w:fill="FFFFFF"/>
        </w:rPr>
        <w:t xml:space="preserve">- </w:t>
      </w:r>
      <w:r w:rsidR="007A575A">
        <w:rPr>
          <w:shd w:val="clear" w:color="auto" w:fill="FFFFFF"/>
        </w:rPr>
        <w:t xml:space="preserve">недостаточные для муниципальных образований размеры нормативов отчислений от регулирующих налогов в местные бюджеты, способствующие росту </w:t>
      </w:r>
      <w:r w:rsidRPr="00E828C3">
        <w:rPr>
          <w:shd w:val="clear" w:color="auto" w:fill="FFFFFF"/>
        </w:rPr>
        <w:t>дефицита бюджета</w:t>
      </w:r>
      <w:r w:rsidR="007A575A">
        <w:rPr>
          <w:shd w:val="clear" w:color="auto" w:fill="FFFFFF"/>
        </w:rPr>
        <w:t xml:space="preserve"> и</w:t>
      </w:r>
      <w:r w:rsidR="00006079">
        <w:rPr>
          <w:shd w:val="clear" w:color="auto" w:fill="FFFFFF"/>
        </w:rPr>
        <w:t xml:space="preserve"> </w:t>
      </w:r>
      <w:r w:rsidRPr="00E828C3">
        <w:rPr>
          <w:shd w:val="clear" w:color="auto" w:fill="FFFFFF"/>
        </w:rPr>
        <w:t>муниципального долга</w:t>
      </w:r>
      <w:bookmarkStart w:id="3" w:name="_GoBack"/>
      <w:bookmarkEnd w:id="3"/>
      <w:r w:rsidRPr="00E828C3">
        <w:rPr>
          <w:shd w:val="clear" w:color="auto" w:fill="FFFFFF"/>
        </w:rPr>
        <w:t>.</w:t>
      </w:r>
    </w:p>
    <w:p w:rsidR="00A50BA4" w:rsidRDefault="00A50BA4" w:rsidP="00A423B6">
      <w:pPr>
        <w:pStyle w:val="afc"/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этом</w:t>
      </w:r>
      <w:r w:rsidR="00505AF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м</w:t>
      </w:r>
      <w:r w:rsidRPr="00C060DF">
        <w:rPr>
          <w:color w:val="000000"/>
          <w:szCs w:val="28"/>
        </w:rPr>
        <w:t>эрия городского округа Тольятти предпринимает все необходимые меры</w:t>
      </w:r>
      <w:r>
        <w:rPr>
          <w:color w:val="000000"/>
          <w:szCs w:val="28"/>
        </w:rPr>
        <w:t xml:space="preserve"> </w:t>
      </w:r>
      <w:r w:rsidRPr="00C060DF">
        <w:rPr>
          <w:color w:val="000000"/>
          <w:szCs w:val="28"/>
        </w:rPr>
        <w:t>в рамках своих полномочий, направленные на стабилизацию социально-экономической ситуации и дальнейшее развитие города.</w:t>
      </w:r>
      <w:r>
        <w:rPr>
          <w:color w:val="000000"/>
          <w:szCs w:val="28"/>
        </w:rPr>
        <w:t xml:space="preserve"> </w:t>
      </w:r>
    </w:p>
    <w:p w:rsidR="00A50BA4" w:rsidRDefault="00A50BA4" w:rsidP="00C16FFD">
      <w:pPr>
        <w:rPr>
          <w:sz w:val="24"/>
          <w:szCs w:val="24"/>
        </w:rPr>
      </w:pPr>
    </w:p>
    <w:p w:rsidR="00A50BA4" w:rsidRDefault="00A50BA4" w:rsidP="00C16FFD">
      <w:pPr>
        <w:rPr>
          <w:sz w:val="24"/>
          <w:szCs w:val="24"/>
        </w:rPr>
      </w:pPr>
    </w:p>
    <w:p w:rsidR="00C952D2" w:rsidRDefault="00C952D2" w:rsidP="00C16FFD">
      <w:pPr>
        <w:rPr>
          <w:sz w:val="24"/>
          <w:szCs w:val="24"/>
        </w:rPr>
      </w:pPr>
    </w:p>
    <w:p w:rsidR="00C952D2" w:rsidRDefault="00C952D2" w:rsidP="00C16FFD">
      <w:pPr>
        <w:rPr>
          <w:sz w:val="24"/>
          <w:szCs w:val="24"/>
        </w:rPr>
      </w:pPr>
    </w:p>
    <w:p w:rsidR="00C952D2" w:rsidRDefault="00C952D2" w:rsidP="00C16FFD">
      <w:pPr>
        <w:rPr>
          <w:sz w:val="24"/>
          <w:szCs w:val="24"/>
        </w:rPr>
      </w:pPr>
    </w:p>
    <w:p w:rsidR="00A50BA4" w:rsidRPr="0076476B" w:rsidRDefault="00A50BA4" w:rsidP="00C16FFD">
      <w:pPr>
        <w:rPr>
          <w:sz w:val="24"/>
          <w:szCs w:val="24"/>
        </w:rPr>
      </w:pPr>
    </w:p>
    <w:p w:rsidR="00C952D2" w:rsidRDefault="00C952D2" w:rsidP="00842426">
      <w:pPr>
        <w:jc w:val="both"/>
        <w:outlineLvl w:val="0"/>
        <w:rPr>
          <w:sz w:val="24"/>
          <w:szCs w:val="24"/>
        </w:rPr>
      </w:pPr>
    </w:p>
    <w:p w:rsidR="00C952D2" w:rsidRDefault="00C952D2" w:rsidP="00842426">
      <w:pPr>
        <w:jc w:val="both"/>
        <w:outlineLvl w:val="0"/>
        <w:rPr>
          <w:sz w:val="24"/>
          <w:szCs w:val="24"/>
        </w:rPr>
      </w:pPr>
    </w:p>
    <w:p w:rsidR="00C952D2" w:rsidRDefault="00C952D2" w:rsidP="00842426">
      <w:pPr>
        <w:jc w:val="both"/>
        <w:outlineLvl w:val="0"/>
        <w:rPr>
          <w:sz w:val="24"/>
          <w:szCs w:val="24"/>
        </w:rPr>
      </w:pPr>
    </w:p>
    <w:p w:rsidR="00C952D2" w:rsidRDefault="00C952D2" w:rsidP="00842426">
      <w:pPr>
        <w:jc w:val="both"/>
        <w:outlineLvl w:val="0"/>
        <w:rPr>
          <w:sz w:val="24"/>
          <w:szCs w:val="24"/>
        </w:rPr>
      </w:pPr>
    </w:p>
    <w:p w:rsidR="00C952D2" w:rsidRDefault="00C952D2" w:rsidP="00842426">
      <w:pPr>
        <w:jc w:val="both"/>
        <w:outlineLvl w:val="0"/>
        <w:rPr>
          <w:sz w:val="24"/>
          <w:szCs w:val="24"/>
        </w:rPr>
      </w:pPr>
    </w:p>
    <w:p w:rsidR="00C952D2" w:rsidRDefault="00C952D2" w:rsidP="00842426">
      <w:pPr>
        <w:jc w:val="both"/>
        <w:outlineLvl w:val="0"/>
        <w:rPr>
          <w:sz w:val="24"/>
          <w:szCs w:val="24"/>
        </w:rPr>
      </w:pPr>
    </w:p>
    <w:p w:rsidR="00C952D2" w:rsidRDefault="00C952D2" w:rsidP="00842426">
      <w:pPr>
        <w:jc w:val="both"/>
        <w:outlineLvl w:val="0"/>
        <w:rPr>
          <w:sz w:val="24"/>
          <w:szCs w:val="24"/>
        </w:rPr>
      </w:pPr>
    </w:p>
    <w:p w:rsidR="00C952D2" w:rsidRDefault="00C952D2" w:rsidP="00842426">
      <w:pPr>
        <w:jc w:val="both"/>
        <w:outlineLvl w:val="0"/>
        <w:rPr>
          <w:sz w:val="24"/>
          <w:szCs w:val="24"/>
        </w:rPr>
      </w:pPr>
    </w:p>
    <w:p w:rsidR="00A50BA4" w:rsidRPr="0076476B" w:rsidRDefault="00A50BA4" w:rsidP="0084242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</w:t>
      </w:r>
      <w:r w:rsidRPr="0076476B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Pr="0076476B">
        <w:rPr>
          <w:sz w:val="24"/>
          <w:szCs w:val="24"/>
        </w:rPr>
        <w:t xml:space="preserve"> департамента  </w:t>
      </w:r>
    </w:p>
    <w:p w:rsidR="00A50BA4" w:rsidRPr="0076476B" w:rsidRDefault="00A50BA4" w:rsidP="00842426">
      <w:pPr>
        <w:jc w:val="both"/>
        <w:outlineLvl w:val="0"/>
        <w:rPr>
          <w:sz w:val="24"/>
          <w:szCs w:val="24"/>
        </w:rPr>
      </w:pPr>
      <w:r w:rsidRPr="0076476B">
        <w:rPr>
          <w:sz w:val="24"/>
          <w:szCs w:val="24"/>
        </w:rPr>
        <w:t>экономического развития</w:t>
      </w:r>
      <w:r w:rsidRPr="0076476B">
        <w:rPr>
          <w:sz w:val="24"/>
          <w:szCs w:val="24"/>
        </w:rPr>
        <w:tab/>
      </w:r>
      <w:r w:rsidRPr="0076476B">
        <w:rPr>
          <w:sz w:val="24"/>
          <w:szCs w:val="24"/>
        </w:rPr>
        <w:tab/>
      </w:r>
      <w:r w:rsidRPr="0076476B">
        <w:rPr>
          <w:sz w:val="24"/>
          <w:szCs w:val="24"/>
        </w:rPr>
        <w:tab/>
      </w:r>
      <w:r w:rsidRPr="0076476B">
        <w:rPr>
          <w:sz w:val="24"/>
          <w:szCs w:val="24"/>
        </w:rPr>
        <w:tab/>
        <w:t xml:space="preserve">                </w:t>
      </w:r>
      <w:r w:rsidR="00C952D2">
        <w:rPr>
          <w:sz w:val="24"/>
          <w:szCs w:val="24"/>
        </w:rPr>
        <w:t xml:space="preserve">   </w:t>
      </w:r>
      <w:r w:rsidRPr="0076476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7647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76476B">
        <w:rPr>
          <w:sz w:val="24"/>
          <w:szCs w:val="24"/>
        </w:rPr>
        <w:t xml:space="preserve"> </w:t>
      </w:r>
      <w:r>
        <w:rPr>
          <w:sz w:val="24"/>
          <w:szCs w:val="24"/>
        </w:rPr>
        <w:t>Д.Ю. Богданов</w:t>
      </w:r>
      <w:r w:rsidRPr="0076476B">
        <w:rPr>
          <w:sz w:val="24"/>
          <w:szCs w:val="24"/>
        </w:rPr>
        <w:t xml:space="preserve"> </w:t>
      </w:r>
    </w:p>
    <w:p w:rsidR="00A50BA4" w:rsidRDefault="00A50BA4" w:rsidP="00842426">
      <w:pPr>
        <w:jc w:val="both"/>
        <w:outlineLvl w:val="0"/>
        <w:rPr>
          <w:sz w:val="24"/>
          <w:szCs w:val="24"/>
        </w:rPr>
      </w:pPr>
    </w:p>
    <w:p w:rsidR="00A50BA4" w:rsidRDefault="00A50BA4" w:rsidP="00842426">
      <w:pPr>
        <w:jc w:val="both"/>
        <w:outlineLvl w:val="0"/>
        <w:rPr>
          <w:sz w:val="24"/>
          <w:szCs w:val="24"/>
        </w:rPr>
      </w:pPr>
    </w:p>
    <w:p w:rsidR="00A50BA4" w:rsidRDefault="00A50BA4" w:rsidP="00842426">
      <w:pPr>
        <w:jc w:val="both"/>
        <w:outlineLvl w:val="0"/>
        <w:rPr>
          <w:sz w:val="24"/>
          <w:szCs w:val="24"/>
        </w:rPr>
      </w:pPr>
    </w:p>
    <w:p w:rsidR="00C952D2" w:rsidRDefault="00C952D2" w:rsidP="00842426">
      <w:pPr>
        <w:jc w:val="both"/>
        <w:outlineLvl w:val="0"/>
        <w:rPr>
          <w:sz w:val="24"/>
          <w:szCs w:val="24"/>
        </w:rPr>
      </w:pPr>
    </w:p>
    <w:p w:rsidR="00C952D2" w:rsidRDefault="00C952D2" w:rsidP="00842426">
      <w:pPr>
        <w:jc w:val="both"/>
        <w:outlineLvl w:val="0"/>
        <w:rPr>
          <w:sz w:val="24"/>
          <w:szCs w:val="24"/>
        </w:rPr>
      </w:pPr>
    </w:p>
    <w:p w:rsidR="00C952D2" w:rsidRDefault="00C952D2" w:rsidP="00842426">
      <w:pPr>
        <w:jc w:val="both"/>
        <w:outlineLvl w:val="0"/>
        <w:rPr>
          <w:sz w:val="24"/>
          <w:szCs w:val="24"/>
        </w:rPr>
      </w:pPr>
    </w:p>
    <w:p w:rsidR="00C952D2" w:rsidRDefault="00C952D2" w:rsidP="00842426">
      <w:pPr>
        <w:jc w:val="both"/>
        <w:outlineLvl w:val="0"/>
        <w:rPr>
          <w:sz w:val="24"/>
          <w:szCs w:val="24"/>
        </w:rPr>
      </w:pPr>
    </w:p>
    <w:p w:rsidR="00C952D2" w:rsidRDefault="00C952D2" w:rsidP="00842426">
      <w:pPr>
        <w:jc w:val="both"/>
        <w:outlineLvl w:val="0"/>
        <w:rPr>
          <w:sz w:val="24"/>
          <w:szCs w:val="24"/>
        </w:rPr>
      </w:pPr>
    </w:p>
    <w:p w:rsidR="00C952D2" w:rsidRDefault="00DA3524" w:rsidP="0084242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Кончева </w:t>
      </w:r>
    </w:p>
    <w:p w:rsidR="00DA3524" w:rsidRDefault="00DA3524" w:rsidP="0084242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54-32-76</w:t>
      </w:r>
    </w:p>
    <w:sectPr w:rsidR="00DA3524" w:rsidSect="009A3B1B">
      <w:headerReference w:type="default" r:id="rId10"/>
      <w:pgSz w:w="11906" w:h="16838"/>
      <w:pgMar w:top="1134" w:right="851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0B" w:rsidRDefault="0001660B">
      <w:r>
        <w:separator/>
      </w:r>
    </w:p>
  </w:endnote>
  <w:endnote w:type="continuationSeparator" w:id="0">
    <w:p w:rsidR="0001660B" w:rsidRDefault="00016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0B" w:rsidRDefault="0001660B">
      <w:r>
        <w:separator/>
      </w:r>
    </w:p>
  </w:footnote>
  <w:footnote w:type="continuationSeparator" w:id="0">
    <w:p w:rsidR="0001660B" w:rsidRDefault="0001660B">
      <w:r>
        <w:continuationSeparator/>
      </w:r>
    </w:p>
  </w:footnote>
  <w:footnote w:id="1">
    <w:p w:rsidR="0001660B" w:rsidRDefault="0001660B" w:rsidP="00CC71EF">
      <w:pPr>
        <w:pStyle w:val="aff0"/>
      </w:pPr>
      <w:r>
        <w:rPr>
          <w:rStyle w:val="affc"/>
        </w:rPr>
        <w:footnoteRef/>
      </w:r>
      <w:r>
        <w:t xml:space="preserve"> прибыль до налогообложения по РСБУ (по всему разделу «Финансы (сводный финансовый баланс)»</w:t>
      </w:r>
    </w:p>
  </w:footnote>
  <w:footnote w:id="2">
    <w:p w:rsidR="0001660B" w:rsidRDefault="0001660B" w:rsidP="00CC71EF">
      <w:pPr>
        <w:pStyle w:val="aff0"/>
      </w:pPr>
      <w:r>
        <w:rPr>
          <w:rStyle w:val="affc"/>
        </w:rPr>
        <w:footnoteRef/>
      </w:r>
      <w:r>
        <w:t xml:space="preserve"> убыток до налогообложения по РСБУ (по всему разделу «Финансы (сводный финансовый баланс)»</w:t>
      </w:r>
    </w:p>
    <w:p w:rsidR="0001660B" w:rsidRDefault="0001660B" w:rsidP="00CC71EF">
      <w:pPr>
        <w:pStyle w:val="af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0B" w:rsidRDefault="004A455B">
    <w:pPr>
      <w:pStyle w:val="af8"/>
      <w:jc w:val="center"/>
    </w:pPr>
    <w:r>
      <w:fldChar w:fldCharType="begin"/>
    </w:r>
    <w:r w:rsidR="00006079">
      <w:instrText xml:space="preserve"> PAGE </w:instrText>
    </w:r>
    <w:r>
      <w:fldChar w:fldCharType="separate"/>
    </w:r>
    <w:r w:rsidR="007A575A">
      <w:rPr>
        <w:noProof/>
      </w:rPr>
      <w:t>39</w:t>
    </w:r>
    <w:r>
      <w:rPr>
        <w:noProof/>
      </w:rPr>
      <w:fldChar w:fldCharType="end"/>
    </w:r>
  </w:p>
  <w:p w:rsidR="0001660B" w:rsidRDefault="0001660B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69A6F1D"/>
    <w:multiLevelType w:val="hybridMultilevel"/>
    <w:tmpl w:val="7454473C"/>
    <w:lvl w:ilvl="0" w:tplc="77628C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ED23F6F"/>
    <w:multiLevelType w:val="hybridMultilevel"/>
    <w:tmpl w:val="996E7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9605F1"/>
    <w:multiLevelType w:val="hybridMultilevel"/>
    <w:tmpl w:val="A47E0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3F2D36"/>
    <w:multiLevelType w:val="hybridMultilevel"/>
    <w:tmpl w:val="22AA41DC"/>
    <w:lvl w:ilvl="0" w:tplc="94CE443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FF944B4"/>
    <w:multiLevelType w:val="hybridMultilevel"/>
    <w:tmpl w:val="A428FBBE"/>
    <w:lvl w:ilvl="0" w:tplc="55B225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4672D46"/>
    <w:multiLevelType w:val="hybridMultilevel"/>
    <w:tmpl w:val="85EE8240"/>
    <w:lvl w:ilvl="0" w:tplc="C65C3A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0D3588F"/>
    <w:multiLevelType w:val="hybridMultilevel"/>
    <w:tmpl w:val="F558D436"/>
    <w:lvl w:ilvl="0" w:tplc="D1125C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CFB0CBC"/>
    <w:multiLevelType w:val="hybridMultilevel"/>
    <w:tmpl w:val="66AC2B6A"/>
    <w:lvl w:ilvl="0" w:tplc="3104E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0A8"/>
    <w:rsid w:val="00000D7A"/>
    <w:rsid w:val="00000DB9"/>
    <w:rsid w:val="00001381"/>
    <w:rsid w:val="00004325"/>
    <w:rsid w:val="00006079"/>
    <w:rsid w:val="00010D06"/>
    <w:rsid w:val="00012FC0"/>
    <w:rsid w:val="000145B6"/>
    <w:rsid w:val="0001660B"/>
    <w:rsid w:val="0001678C"/>
    <w:rsid w:val="0001717F"/>
    <w:rsid w:val="00017E75"/>
    <w:rsid w:val="000203F9"/>
    <w:rsid w:val="000209B8"/>
    <w:rsid w:val="00021EC8"/>
    <w:rsid w:val="0002266D"/>
    <w:rsid w:val="00022EEA"/>
    <w:rsid w:val="00026601"/>
    <w:rsid w:val="000266F9"/>
    <w:rsid w:val="00027DB6"/>
    <w:rsid w:val="0003059F"/>
    <w:rsid w:val="00030683"/>
    <w:rsid w:val="00030C71"/>
    <w:rsid w:val="000316E5"/>
    <w:rsid w:val="0003336A"/>
    <w:rsid w:val="00033382"/>
    <w:rsid w:val="00034540"/>
    <w:rsid w:val="00034B55"/>
    <w:rsid w:val="00034D05"/>
    <w:rsid w:val="00035FAE"/>
    <w:rsid w:val="000361BF"/>
    <w:rsid w:val="000361CC"/>
    <w:rsid w:val="00036307"/>
    <w:rsid w:val="00036D9B"/>
    <w:rsid w:val="00041093"/>
    <w:rsid w:val="000420C4"/>
    <w:rsid w:val="00042595"/>
    <w:rsid w:val="00044238"/>
    <w:rsid w:val="000447D9"/>
    <w:rsid w:val="00044D69"/>
    <w:rsid w:val="000461F5"/>
    <w:rsid w:val="000471E0"/>
    <w:rsid w:val="0005141D"/>
    <w:rsid w:val="00056B5C"/>
    <w:rsid w:val="0006149C"/>
    <w:rsid w:val="0006286B"/>
    <w:rsid w:val="00062D16"/>
    <w:rsid w:val="000630E5"/>
    <w:rsid w:val="0006581E"/>
    <w:rsid w:val="00066E74"/>
    <w:rsid w:val="000672B5"/>
    <w:rsid w:val="0007494B"/>
    <w:rsid w:val="00076DD1"/>
    <w:rsid w:val="00077747"/>
    <w:rsid w:val="000821C9"/>
    <w:rsid w:val="00084E27"/>
    <w:rsid w:val="0009090B"/>
    <w:rsid w:val="000930C4"/>
    <w:rsid w:val="000932D5"/>
    <w:rsid w:val="00093EC9"/>
    <w:rsid w:val="00094DE7"/>
    <w:rsid w:val="00095C66"/>
    <w:rsid w:val="000A214A"/>
    <w:rsid w:val="000A35E6"/>
    <w:rsid w:val="000A372A"/>
    <w:rsid w:val="000A469F"/>
    <w:rsid w:val="000A5FFF"/>
    <w:rsid w:val="000A6441"/>
    <w:rsid w:val="000A702F"/>
    <w:rsid w:val="000B04AD"/>
    <w:rsid w:val="000B2048"/>
    <w:rsid w:val="000B2CF6"/>
    <w:rsid w:val="000B37F9"/>
    <w:rsid w:val="000B55CF"/>
    <w:rsid w:val="000B7481"/>
    <w:rsid w:val="000B763D"/>
    <w:rsid w:val="000C0964"/>
    <w:rsid w:val="000C1CFC"/>
    <w:rsid w:val="000C60F8"/>
    <w:rsid w:val="000C72C2"/>
    <w:rsid w:val="000C7967"/>
    <w:rsid w:val="000D15D8"/>
    <w:rsid w:val="000D373A"/>
    <w:rsid w:val="000D5F59"/>
    <w:rsid w:val="000D6067"/>
    <w:rsid w:val="000D625A"/>
    <w:rsid w:val="000D65F2"/>
    <w:rsid w:val="000E0070"/>
    <w:rsid w:val="000E0B35"/>
    <w:rsid w:val="000E21EE"/>
    <w:rsid w:val="000E3B4F"/>
    <w:rsid w:val="000E5264"/>
    <w:rsid w:val="000E5F1C"/>
    <w:rsid w:val="000E7694"/>
    <w:rsid w:val="000F2C3F"/>
    <w:rsid w:val="000F38A2"/>
    <w:rsid w:val="000F5D50"/>
    <w:rsid w:val="000F6FCF"/>
    <w:rsid w:val="000F750F"/>
    <w:rsid w:val="000F778D"/>
    <w:rsid w:val="00102828"/>
    <w:rsid w:val="00107F63"/>
    <w:rsid w:val="00112977"/>
    <w:rsid w:val="001137DB"/>
    <w:rsid w:val="001144E4"/>
    <w:rsid w:val="00114F92"/>
    <w:rsid w:val="001176BE"/>
    <w:rsid w:val="00117ADB"/>
    <w:rsid w:val="00121538"/>
    <w:rsid w:val="00121AEE"/>
    <w:rsid w:val="001222AA"/>
    <w:rsid w:val="00122A0C"/>
    <w:rsid w:val="001230CF"/>
    <w:rsid w:val="001252A0"/>
    <w:rsid w:val="00130B51"/>
    <w:rsid w:val="00130DA4"/>
    <w:rsid w:val="00130FF5"/>
    <w:rsid w:val="00131A7B"/>
    <w:rsid w:val="00133CE0"/>
    <w:rsid w:val="00134880"/>
    <w:rsid w:val="00134EB1"/>
    <w:rsid w:val="001401FE"/>
    <w:rsid w:val="00140D9A"/>
    <w:rsid w:val="001412E1"/>
    <w:rsid w:val="0014133C"/>
    <w:rsid w:val="0014212F"/>
    <w:rsid w:val="00143109"/>
    <w:rsid w:val="0014323C"/>
    <w:rsid w:val="00144617"/>
    <w:rsid w:val="00144B3F"/>
    <w:rsid w:val="00144F51"/>
    <w:rsid w:val="0014678A"/>
    <w:rsid w:val="001500E7"/>
    <w:rsid w:val="00151614"/>
    <w:rsid w:val="00152387"/>
    <w:rsid w:val="001536D2"/>
    <w:rsid w:val="00153A3A"/>
    <w:rsid w:val="00155DCC"/>
    <w:rsid w:val="00162AA2"/>
    <w:rsid w:val="00163383"/>
    <w:rsid w:val="0016546B"/>
    <w:rsid w:val="001659E8"/>
    <w:rsid w:val="00166C79"/>
    <w:rsid w:val="0017075F"/>
    <w:rsid w:val="001722D1"/>
    <w:rsid w:val="0017361F"/>
    <w:rsid w:val="00174517"/>
    <w:rsid w:val="00174B55"/>
    <w:rsid w:val="00176C70"/>
    <w:rsid w:val="00177095"/>
    <w:rsid w:val="00181CDE"/>
    <w:rsid w:val="00182F98"/>
    <w:rsid w:val="0018329D"/>
    <w:rsid w:val="00184265"/>
    <w:rsid w:val="00185030"/>
    <w:rsid w:val="0018541F"/>
    <w:rsid w:val="001877B9"/>
    <w:rsid w:val="0018782E"/>
    <w:rsid w:val="00187C8C"/>
    <w:rsid w:val="00187E07"/>
    <w:rsid w:val="00191994"/>
    <w:rsid w:val="00192D4A"/>
    <w:rsid w:val="00193191"/>
    <w:rsid w:val="001945F2"/>
    <w:rsid w:val="00195594"/>
    <w:rsid w:val="00195E24"/>
    <w:rsid w:val="00197010"/>
    <w:rsid w:val="001A1C96"/>
    <w:rsid w:val="001A1E5D"/>
    <w:rsid w:val="001A4E08"/>
    <w:rsid w:val="001A5499"/>
    <w:rsid w:val="001A587D"/>
    <w:rsid w:val="001A650B"/>
    <w:rsid w:val="001A75B1"/>
    <w:rsid w:val="001B1A42"/>
    <w:rsid w:val="001B2844"/>
    <w:rsid w:val="001B38A7"/>
    <w:rsid w:val="001B4DAC"/>
    <w:rsid w:val="001B56A5"/>
    <w:rsid w:val="001B585E"/>
    <w:rsid w:val="001B67B7"/>
    <w:rsid w:val="001B6970"/>
    <w:rsid w:val="001C0044"/>
    <w:rsid w:val="001C1106"/>
    <w:rsid w:val="001C13A2"/>
    <w:rsid w:val="001C2AC2"/>
    <w:rsid w:val="001C3FED"/>
    <w:rsid w:val="001C48D7"/>
    <w:rsid w:val="001C4C7B"/>
    <w:rsid w:val="001C6CCE"/>
    <w:rsid w:val="001C72D8"/>
    <w:rsid w:val="001C7BA0"/>
    <w:rsid w:val="001D0AB2"/>
    <w:rsid w:val="001D468A"/>
    <w:rsid w:val="001E1E26"/>
    <w:rsid w:val="001E4143"/>
    <w:rsid w:val="001E4304"/>
    <w:rsid w:val="001E53FA"/>
    <w:rsid w:val="001F1839"/>
    <w:rsid w:val="001F4ABD"/>
    <w:rsid w:val="00200853"/>
    <w:rsid w:val="0020368E"/>
    <w:rsid w:val="00204BD7"/>
    <w:rsid w:val="00207323"/>
    <w:rsid w:val="0021124E"/>
    <w:rsid w:val="002162B5"/>
    <w:rsid w:val="00221CF4"/>
    <w:rsid w:val="00224B44"/>
    <w:rsid w:val="00224B4F"/>
    <w:rsid w:val="00224F08"/>
    <w:rsid w:val="00226B4C"/>
    <w:rsid w:val="002333FC"/>
    <w:rsid w:val="0023482F"/>
    <w:rsid w:val="00237449"/>
    <w:rsid w:val="00240A4D"/>
    <w:rsid w:val="00241C27"/>
    <w:rsid w:val="002421EC"/>
    <w:rsid w:val="00242FA8"/>
    <w:rsid w:val="00243A7E"/>
    <w:rsid w:val="00247E8A"/>
    <w:rsid w:val="002504AC"/>
    <w:rsid w:val="00251DD3"/>
    <w:rsid w:val="0025242F"/>
    <w:rsid w:val="002525E8"/>
    <w:rsid w:val="00252C91"/>
    <w:rsid w:val="00253082"/>
    <w:rsid w:val="002546FC"/>
    <w:rsid w:val="00255B85"/>
    <w:rsid w:val="00255CF8"/>
    <w:rsid w:val="00256C36"/>
    <w:rsid w:val="002574EC"/>
    <w:rsid w:val="00257C94"/>
    <w:rsid w:val="002600B1"/>
    <w:rsid w:val="00266321"/>
    <w:rsid w:val="002663E9"/>
    <w:rsid w:val="00266419"/>
    <w:rsid w:val="00271409"/>
    <w:rsid w:val="0027426F"/>
    <w:rsid w:val="002742CE"/>
    <w:rsid w:val="002756DD"/>
    <w:rsid w:val="00276468"/>
    <w:rsid w:val="002764C2"/>
    <w:rsid w:val="002766EE"/>
    <w:rsid w:val="0027674B"/>
    <w:rsid w:val="00281C91"/>
    <w:rsid w:val="00282625"/>
    <w:rsid w:val="00283D66"/>
    <w:rsid w:val="002841C9"/>
    <w:rsid w:val="00284999"/>
    <w:rsid w:val="0028646C"/>
    <w:rsid w:val="002903D8"/>
    <w:rsid w:val="00292871"/>
    <w:rsid w:val="00294480"/>
    <w:rsid w:val="002949F5"/>
    <w:rsid w:val="00294BAB"/>
    <w:rsid w:val="00294CA1"/>
    <w:rsid w:val="00296A3F"/>
    <w:rsid w:val="002A026C"/>
    <w:rsid w:val="002A0CAD"/>
    <w:rsid w:val="002A2389"/>
    <w:rsid w:val="002A32D1"/>
    <w:rsid w:val="002A4BA9"/>
    <w:rsid w:val="002A4BDE"/>
    <w:rsid w:val="002A5241"/>
    <w:rsid w:val="002A65CC"/>
    <w:rsid w:val="002B0189"/>
    <w:rsid w:val="002B0660"/>
    <w:rsid w:val="002B2437"/>
    <w:rsid w:val="002B2C96"/>
    <w:rsid w:val="002B382C"/>
    <w:rsid w:val="002B40E8"/>
    <w:rsid w:val="002B427D"/>
    <w:rsid w:val="002B5024"/>
    <w:rsid w:val="002B7B2F"/>
    <w:rsid w:val="002C02AE"/>
    <w:rsid w:val="002C113E"/>
    <w:rsid w:val="002C1248"/>
    <w:rsid w:val="002C4D6C"/>
    <w:rsid w:val="002C6A11"/>
    <w:rsid w:val="002D218C"/>
    <w:rsid w:val="002D3207"/>
    <w:rsid w:val="002D689A"/>
    <w:rsid w:val="002E2771"/>
    <w:rsid w:val="002E281A"/>
    <w:rsid w:val="002E4072"/>
    <w:rsid w:val="002E756D"/>
    <w:rsid w:val="002F42D0"/>
    <w:rsid w:val="002F5CB7"/>
    <w:rsid w:val="002F7A00"/>
    <w:rsid w:val="002F7BFD"/>
    <w:rsid w:val="00300FF8"/>
    <w:rsid w:val="00302822"/>
    <w:rsid w:val="0030413B"/>
    <w:rsid w:val="00305C4E"/>
    <w:rsid w:val="00307119"/>
    <w:rsid w:val="0030769A"/>
    <w:rsid w:val="00307822"/>
    <w:rsid w:val="00310CD0"/>
    <w:rsid w:val="003132E4"/>
    <w:rsid w:val="0031526C"/>
    <w:rsid w:val="003165B6"/>
    <w:rsid w:val="003168E7"/>
    <w:rsid w:val="00317C62"/>
    <w:rsid w:val="00321E62"/>
    <w:rsid w:val="003220AD"/>
    <w:rsid w:val="003227FD"/>
    <w:rsid w:val="00323267"/>
    <w:rsid w:val="00323830"/>
    <w:rsid w:val="00323FBB"/>
    <w:rsid w:val="00324BA6"/>
    <w:rsid w:val="003250E6"/>
    <w:rsid w:val="00326ED6"/>
    <w:rsid w:val="0033116F"/>
    <w:rsid w:val="00331A4E"/>
    <w:rsid w:val="00334ED8"/>
    <w:rsid w:val="00336EFF"/>
    <w:rsid w:val="00337129"/>
    <w:rsid w:val="003402BB"/>
    <w:rsid w:val="00340C80"/>
    <w:rsid w:val="0034264B"/>
    <w:rsid w:val="00345BF3"/>
    <w:rsid w:val="00345CD6"/>
    <w:rsid w:val="00346B8F"/>
    <w:rsid w:val="00350049"/>
    <w:rsid w:val="00350D81"/>
    <w:rsid w:val="00354A0B"/>
    <w:rsid w:val="00356A06"/>
    <w:rsid w:val="00356B26"/>
    <w:rsid w:val="00361837"/>
    <w:rsid w:val="00362A83"/>
    <w:rsid w:val="00363361"/>
    <w:rsid w:val="00365B99"/>
    <w:rsid w:val="00365DC1"/>
    <w:rsid w:val="00370F4C"/>
    <w:rsid w:val="00371353"/>
    <w:rsid w:val="00371518"/>
    <w:rsid w:val="003725DD"/>
    <w:rsid w:val="00374742"/>
    <w:rsid w:val="003749DB"/>
    <w:rsid w:val="00380B73"/>
    <w:rsid w:val="00380BFA"/>
    <w:rsid w:val="003837EF"/>
    <w:rsid w:val="00385EA4"/>
    <w:rsid w:val="0039255B"/>
    <w:rsid w:val="00392DFF"/>
    <w:rsid w:val="00395368"/>
    <w:rsid w:val="0039540C"/>
    <w:rsid w:val="00396E82"/>
    <w:rsid w:val="00396FCA"/>
    <w:rsid w:val="003978C8"/>
    <w:rsid w:val="003A0584"/>
    <w:rsid w:val="003A196A"/>
    <w:rsid w:val="003A2DD8"/>
    <w:rsid w:val="003A64FD"/>
    <w:rsid w:val="003A6737"/>
    <w:rsid w:val="003B001D"/>
    <w:rsid w:val="003B1277"/>
    <w:rsid w:val="003B19AD"/>
    <w:rsid w:val="003B1B5C"/>
    <w:rsid w:val="003B5074"/>
    <w:rsid w:val="003B50B9"/>
    <w:rsid w:val="003B59D5"/>
    <w:rsid w:val="003B6AF7"/>
    <w:rsid w:val="003B7DC4"/>
    <w:rsid w:val="003C2266"/>
    <w:rsid w:val="003C2DA5"/>
    <w:rsid w:val="003C3D26"/>
    <w:rsid w:val="003C60A8"/>
    <w:rsid w:val="003C659A"/>
    <w:rsid w:val="003D0DEC"/>
    <w:rsid w:val="003D215D"/>
    <w:rsid w:val="003D3525"/>
    <w:rsid w:val="003D3EB9"/>
    <w:rsid w:val="003D6196"/>
    <w:rsid w:val="003D703D"/>
    <w:rsid w:val="003E208E"/>
    <w:rsid w:val="003E2547"/>
    <w:rsid w:val="003E57C3"/>
    <w:rsid w:val="003F2C37"/>
    <w:rsid w:val="003F4F2E"/>
    <w:rsid w:val="003F5041"/>
    <w:rsid w:val="003F57D1"/>
    <w:rsid w:val="003F5A5E"/>
    <w:rsid w:val="004017B0"/>
    <w:rsid w:val="00401E67"/>
    <w:rsid w:val="004027F6"/>
    <w:rsid w:val="00402B1E"/>
    <w:rsid w:val="00403938"/>
    <w:rsid w:val="004048D8"/>
    <w:rsid w:val="00404FFF"/>
    <w:rsid w:val="004073E3"/>
    <w:rsid w:val="0041224B"/>
    <w:rsid w:val="00412284"/>
    <w:rsid w:val="0041236D"/>
    <w:rsid w:val="00413709"/>
    <w:rsid w:val="00415338"/>
    <w:rsid w:val="00415884"/>
    <w:rsid w:val="00417916"/>
    <w:rsid w:val="00417988"/>
    <w:rsid w:val="0042211A"/>
    <w:rsid w:val="00423AB1"/>
    <w:rsid w:val="00423EDD"/>
    <w:rsid w:val="004247B6"/>
    <w:rsid w:val="00424FCB"/>
    <w:rsid w:val="00427438"/>
    <w:rsid w:val="0043035E"/>
    <w:rsid w:val="00430614"/>
    <w:rsid w:val="00430F43"/>
    <w:rsid w:val="00434444"/>
    <w:rsid w:val="00435C4F"/>
    <w:rsid w:val="00436CB8"/>
    <w:rsid w:val="0044094E"/>
    <w:rsid w:val="00440F18"/>
    <w:rsid w:val="004421C7"/>
    <w:rsid w:val="00442E64"/>
    <w:rsid w:val="004434AB"/>
    <w:rsid w:val="004435FA"/>
    <w:rsid w:val="00443E1D"/>
    <w:rsid w:val="0044732A"/>
    <w:rsid w:val="004504C0"/>
    <w:rsid w:val="00450DDB"/>
    <w:rsid w:val="0045166E"/>
    <w:rsid w:val="00452709"/>
    <w:rsid w:val="00453026"/>
    <w:rsid w:val="004539AA"/>
    <w:rsid w:val="004602F9"/>
    <w:rsid w:val="0046127B"/>
    <w:rsid w:val="0046262B"/>
    <w:rsid w:val="004631AF"/>
    <w:rsid w:val="00464E6A"/>
    <w:rsid w:val="00465771"/>
    <w:rsid w:val="00466F33"/>
    <w:rsid w:val="0047134E"/>
    <w:rsid w:val="0047174C"/>
    <w:rsid w:val="00474FD9"/>
    <w:rsid w:val="004750CE"/>
    <w:rsid w:val="00475CC6"/>
    <w:rsid w:val="0047776E"/>
    <w:rsid w:val="00477A58"/>
    <w:rsid w:val="00480089"/>
    <w:rsid w:val="00480434"/>
    <w:rsid w:val="00480F88"/>
    <w:rsid w:val="0048228E"/>
    <w:rsid w:val="00483537"/>
    <w:rsid w:val="0048440B"/>
    <w:rsid w:val="00484ECC"/>
    <w:rsid w:val="00486670"/>
    <w:rsid w:val="0048673A"/>
    <w:rsid w:val="00486752"/>
    <w:rsid w:val="004867A9"/>
    <w:rsid w:val="0049135C"/>
    <w:rsid w:val="00493CBE"/>
    <w:rsid w:val="00495310"/>
    <w:rsid w:val="00495897"/>
    <w:rsid w:val="004A24B9"/>
    <w:rsid w:val="004A3FC1"/>
    <w:rsid w:val="004A4357"/>
    <w:rsid w:val="004A455B"/>
    <w:rsid w:val="004A4689"/>
    <w:rsid w:val="004A46AA"/>
    <w:rsid w:val="004A704B"/>
    <w:rsid w:val="004B0EAE"/>
    <w:rsid w:val="004B150E"/>
    <w:rsid w:val="004B5D26"/>
    <w:rsid w:val="004B64C0"/>
    <w:rsid w:val="004B67FF"/>
    <w:rsid w:val="004B77FC"/>
    <w:rsid w:val="004C0A26"/>
    <w:rsid w:val="004C5140"/>
    <w:rsid w:val="004C7805"/>
    <w:rsid w:val="004C7E5D"/>
    <w:rsid w:val="004D306A"/>
    <w:rsid w:val="004D6CD5"/>
    <w:rsid w:val="004D720F"/>
    <w:rsid w:val="004E1BF6"/>
    <w:rsid w:val="004E4A98"/>
    <w:rsid w:val="004E557E"/>
    <w:rsid w:val="004E6D5D"/>
    <w:rsid w:val="004E7351"/>
    <w:rsid w:val="004F26D4"/>
    <w:rsid w:val="004F5DA9"/>
    <w:rsid w:val="004F5F5B"/>
    <w:rsid w:val="005002E1"/>
    <w:rsid w:val="00502633"/>
    <w:rsid w:val="00503E8D"/>
    <w:rsid w:val="00504302"/>
    <w:rsid w:val="00505472"/>
    <w:rsid w:val="00505AFD"/>
    <w:rsid w:val="00505CA1"/>
    <w:rsid w:val="00505F55"/>
    <w:rsid w:val="00507518"/>
    <w:rsid w:val="005077F7"/>
    <w:rsid w:val="00512861"/>
    <w:rsid w:val="00512EB3"/>
    <w:rsid w:val="00513D94"/>
    <w:rsid w:val="00515B96"/>
    <w:rsid w:val="00522C32"/>
    <w:rsid w:val="0052437D"/>
    <w:rsid w:val="0053060D"/>
    <w:rsid w:val="005312C4"/>
    <w:rsid w:val="00532155"/>
    <w:rsid w:val="00533932"/>
    <w:rsid w:val="00535249"/>
    <w:rsid w:val="005357B0"/>
    <w:rsid w:val="00536354"/>
    <w:rsid w:val="00536F3C"/>
    <w:rsid w:val="00540E1C"/>
    <w:rsid w:val="00540E8B"/>
    <w:rsid w:val="00540EF2"/>
    <w:rsid w:val="00541BAB"/>
    <w:rsid w:val="00543DD0"/>
    <w:rsid w:val="00544676"/>
    <w:rsid w:val="00544EC5"/>
    <w:rsid w:val="00546A46"/>
    <w:rsid w:val="00547D18"/>
    <w:rsid w:val="005502D0"/>
    <w:rsid w:val="005552E7"/>
    <w:rsid w:val="0055785A"/>
    <w:rsid w:val="00557D25"/>
    <w:rsid w:val="00560F75"/>
    <w:rsid w:val="00561DA7"/>
    <w:rsid w:val="005642AD"/>
    <w:rsid w:val="00564EC9"/>
    <w:rsid w:val="00565991"/>
    <w:rsid w:val="00570164"/>
    <w:rsid w:val="0057017A"/>
    <w:rsid w:val="005751E4"/>
    <w:rsid w:val="00580C1C"/>
    <w:rsid w:val="00581822"/>
    <w:rsid w:val="005833F3"/>
    <w:rsid w:val="00584017"/>
    <w:rsid w:val="00584F3A"/>
    <w:rsid w:val="00584F92"/>
    <w:rsid w:val="00584FD3"/>
    <w:rsid w:val="00585A26"/>
    <w:rsid w:val="005928B7"/>
    <w:rsid w:val="0059435C"/>
    <w:rsid w:val="00595081"/>
    <w:rsid w:val="00595740"/>
    <w:rsid w:val="00597014"/>
    <w:rsid w:val="005A019D"/>
    <w:rsid w:val="005A0E64"/>
    <w:rsid w:val="005A6835"/>
    <w:rsid w:val="005A7B3B"/>
    <w:rsid w:val="005B0C8A"/>
    <w:rsid w:val="005B1648"/>
    <w:rsid w:val="005B4052"/>
    <w:rsid w:val="005B4080"/>
    <w:rsid w:val="005B4E04"/>
    <w:rsid w:val="005B52A7"/>
    <w:rsid w:val="005B5C4D"/>
    <w:rsid w:val="005B68A2"/>
    <w:rsid w:val="005C1750"/>
    <w:rsid w:val="005D061D"/>
    <w:rsid w:val="005D0C8E"/>
    <w:rsid w:val="005D1E8D"/>
    <w:rsid w:val="005D20F5"/>
    <w:rsid w:val="005D2A90"/>
    <w:rsid w:val="005D35FE"/>
    <w:rsid w:val="005D5109"/>
    <w:rsid w:val="005D582A"/>
    <w:rsid w:val="005D5EF4"/>
    <w:rsid w:val="005D6167"/>
    <w:rsid w:val="005D74F8"/>
    <w:rsid w:val="005E007E"/>
    <w:rsid w:val="005E334E"/>
    <w:rsid w:val="005E469F"/>
    <w:rsid w:val="005E5389"/>
    <w:rsid w:val="005E5D9D"/>
    <w:rsid w:val="005F1AF9"/>
    <w:rsid w:val="005F2B0A"/>
    <w:rsid w:val="0060004C"/>
    <w:rsid w:val="00603CC7"/>
    <w:rsid w:val="00603DB3"/>
    <w:rsid w:val="00603E1F"/>
    <w:rsid w:val="00605BD8"/>
    <w:rsid w:val="00605C47"/>
    <w:rsid w:val="006061A2"/>
    <w:rsid w:val="0061259C"/>
    <w:rsid w:val="00614FD8"/>
    <w:rsid w:val="006159A8"/>
    <w:rsid w:val="00616DBF"/>
    <w:rsid w:val="0061794A"/>
    <w:rsid w:val="00620C61"/>
    <w:rsid w:val="00621F7E"/>
    <w:rsid w:val="00622338"/>
    <w:rsid w:val="0062431A"/>
    <w:rsid w:val="006251D1"/>
    <w:rsid w:val="006272F6"/>
    <w:rsid w:val="0062748E"/>
    <w:rsid w:val="00627E18"/>
    <w:rsid w:val="006302EB"/>
    <w:rsid w:val="006329AF"/>
    <w:rsid w:val="00635D16"/>
    <w:rsid w:val="0063629A"/>
    <w:rsid w:val="006370FF"/>
    <w:rsid w:val="00637A96"/>
    <w:rsid w:val="00637B52"/>
    <w:rsid w:val="00640BF8"/>
    <w:rsid w:val="00640EA3"/>
    <w:rsid w:val="00641513"/>
    <w:rsid w:val="0064196D"/>
    <w:rsid w:val="00642111"/>
    <w:rsid w:val="0064491D"/>
    <w:rsid w:val="00645162"/>
    <w:rsid w:val="0064542F"/>
    <w:rsid w:val="006468B1"/>
    <w:rsid w:val="00655BF5"/>
    <w:rsid w:val="00657335"/>
    <w:rsid w:val="0065785D"/>
    <w:rsid w:val="00662B5E"/>
    <w:rsid w:val="00664E9A"/>
    <w:rsid w:val="006651C1"/>
    <w:rsid w:val="00666008"/>
    <w:rsid w:val="00666527"/>
    <w:rsid w:val="006668FD"/>
    <w:rsid w:val="00667001"/>
    <w:rsid w:val="006674CF"/>
    <w:rsid w:val="00672E4C"/>
    <w:rsid w:val="006767CA"/>
    <w:rsid w:val="006769D8"/>
    <w:rsid w:val="00676FE1"/>
    <w:rsid w:val="00680707"/>
    <w:rsid w:val="00681CD0"/>
    <w:rsid w:val="00682D70"/>
    <w:rsid w:val="0068360B"/>
    <w:rsid w:val="00685ED9"/>
    <w:rsid w:val="006865BD"/>
    <w:rsid w:val="006915B6"/>
    <w:rsid w:val="00691702"/>
    <w:rsid w:val="00692B35"/>
    <w:rsid w:val="006943AF"/>
    <w:rsid w:val="0069477B"/>
    <w:rsid w:val="006A11D8"/>
    <w:rsid w:val="006A15ED"/>
    <w:rsid w:val="006A2191"/>
    <w:rsid w:val="006A4280"/>
    <w:rsid w:val="006A5CB4"/>
    <w:rsid w:val="006A6602"/>
    <w:rsid w:val="006A739B"/>
    <w:rsid w:val="006A7542"/>
    <w:rsid w:val="006B0D51"/>
    <w:rsid w:val="006B0F95"/>
    <w:rsid w:val="006B26C4"/>
    <w:rsid w:val="006B2C81"/>
    <w:rsid w:val="006B631C"/>
    <w:rsid w:val="006C44E6"/>
    <w:rsid w:val="006C5388"/>
    <w:rsid w:val="006C5A1F"/>
    <w:rsid w:val="006D7160"/>
    <w:rsid w:val="006D7805"/>
    <w:rsid w:val="006E02E8"/>
    <w:rsid w:val="006E03DE"/>
    <w:rsid w:val="006E1B56"/>
    <w:rsid w:val="006E34CB"/>
    <w:rsid w:val="006E3772"/>
    <w:rsid w:val="006E379E"/>
    <w:rsid w:val="006E37A9"/>
    <w:rsid w:val="006E393E"/>
    <w:rsid w:val="006E4447"/>
    <w:rsid w:val="006E469E"/>
    <w:rsid w:val="006E5351"/>
    <w:rsid w:val="006E7153"/>
    <w:rsid w:val="006E7D4E"/>
    <w:rsid w:val="006F236B"/>
    <w:rsid w:val="006F257A"/>
    <w:rsid w:val="006F2E2A"/>
    <w:rsid w:val="006F4FA1"/>
    <w:rsid w:val="006F6BF8"/>
    <w:rsid w:val="007046DC"/>
    <w:rsid w:val="00705086"/>
    <w:rsid w:val="00706026"/>
    <w:rsid w:val="007064B3"/>
    <w:rsid w:val="007066DD"/>
    <w:rsid w:val="007115AC"/>
    <w:rsid w:val="00711BC4"/>
    <w:rsid w:val="00712499"/>
    <w:rsid w:val="00713BCF"/>
    <w:rsid w:val="00716903"/>
    <w:rsid w:val="00716AEB"/>
    <w:rsid w:val="00720A77"/>
    <w:rsid w:val="007212A1"/>
    <w:rsid w:val="00721BAA"/>
    <w:rsid w:val="00721FD2"/>
    <w:rsid w:val="00722680"/>
    <w:rsid w:val="00725C92"/>
    <w:rsid w:val="00726A23"/>
    <w:rsid w:val="007272AA"/>
    <w:rsid w:val="00727475"/>
    <w:rsid w:val="007322B4"/>
    <w:rsid w:val="00733665"/>
    <w:rsid w:val="00736025"/>
    <w:rsid w:val="00736B55"/>
    <w:rsid w:val="00741459"/>
    <w:rsid w:val="00742910"/>
    <w:rsid w:val="00742E05"/>
    <w:rsid w:val="007435FD"/>
    <w:rsid w:val="00750FC5"/>
    <w:rsid w:val="0075136E"/>
    <w:rsid w:val="0075205E"/>
    <w:rsid w:val="00752860"/>
    <w:rsid w:val="0075509F"/>
    <w:rsid w:val="00755CA3"/>
    <w:rsid w:val="00757378"/>
    <w:rsid w:val="00761441"/>
    <w:rsid w:val="0076397A"/>
    <w:rsid w:val="0076476B"/>
    <w:rsid w:val="0076650F"/>
    <w:rsid w:val="00767784"/>
    <w:rsid w:val="00767B8F"/>
    <w:rsid w:val="007721F3"/>
    <w:rsid w:val="0077498F"/>
    <w:rsid w:val="007761AF"/>
    <w:rsid w:val="00777029"/>
    <w:rsid w:val="00777567"/>
    <w:rsid w:val="00777F6C"/>
    <w:rsid w:val="00783740"/>
    <w:rsid w:val="00787598"/>
    <w:rsid w:val="00787DDB"/>
    <w:rsid w:val="0079069E"/>
    <w:rsid w:val="007906DF"/>
    <w:rsid w:val="00791D6B"/>
    <w:rsid w:val="007931B4"/>
    <w:rsid w:val="00795D37"/>
    <w:rsid w:val="00797741"/>
    <w:rsid w:val="00797B35"/>
    <w:rsid w:val="007A279D"/>
    <w:rsid w:val="007A38CE"/>
    <w:rsid w:val="007A52BE"/>
    <w:rsid w:val="007A5639"/>
    <w:rsid w:val="007A575A"/>
    <w:rsid w:val="007A6A08"/>
    <w:rsid w:val="007B47E4"/>
    <w:rsid w:val="007B482B"/>
    <w:rsid w:val="007C18D7"/>
    <w:rsid w:val="007C266B"/>
    <w:rsid w:val="007D31FB"/>
    <w:rsid w:val="007D471D"/>
    <w:rsid w:val="007D521A"/>
    <w:rsid w:val="007D6040"/>
    <w:rsid w:val="007D6F4E"/>
    <w:rsid w:val="007E3258"/>
    <w:rsid w:val="007E64C7"/>
    <w:rsid w:val="007E6ACF"/>
    <w:rsid w:val="007E6EBF"/>
    <w:rsid w:val="007F039F"/>
    <w:rsid w:val="007F0963"/>
    <w:rsid w:val="007F0F9D"/>
    <w:rsid w:val="007F15A7"/>
    <w:rsid w:val="007F27C0"/>
    <w:rsid w:val="007F5BA9"/>
    <w:rsid w:val="007F7D89"/>
    <w:rsid w:val="00800241"/>
    <w:rsid w:val="00800E2B"/>
    <w:rsid w:val="0080183D"/>
    <w:rsid w:val="008018CD"/>
    <w:rsid w:val="008019AC"/>
    <w:rsid w:val="00802ED5"/>
    <w:rsid w:val="00803182"/>
    <w:rsid w:val="00805B3A"/>
    <w:rsid w:val="00807440"/>
    <w:rsid w:val="00812F0A"/>
    <w:rsid w:val="00812FD5"/>
    <w:rsid w:val="00813059"/>
    <w:rsid w:val="00814490"/>
    <w:rsid w:val="00815BBC"/>
    <w:rsid w:val="00816BF9"/>
    <w:rsid w:val="008219F0"/>
    <w:rsid w:val="008240CD"/>
    <w:rsid w:val="008247D5"/>
    <w:rsid w:val="00825109"/>
    <w:rsid w:val="00826444"/>
    <w:rsid w:val="00826C7D"/>
    <w:rsid w:val="00826CC0"/>
    <w:rsid w:val="00827A0C"/>
    <w:rsid w:val="0083074C"/>
    <w:rsid w:val="00834002"/>
    <w:rsid w:val="00834886"/>
    <w:rsid w:val="00834C16"/>
    <w:rsid w:val="008356D3"/>
    <w:rsid w:val="008362DB"/>
    <w:rsid w:val="0083633B"/>
    <w:rsid w:val="00840AB3"/>
    <w:rsid w:val="008410DB"/>
    <w:rsid w:val="00841E85"/>
    <w:rsid w:val="00842426"/>
    <w:rsid w:val="00844405"/>
    <w:rsid w:val="00844823"/>
    <w:rsid w:val="00846D11"/>
    <w:rsid w:val="008476DF"/>
    <w:rsid w:val="0085024B"/>
    <w:rsid w:val="00850B87"/>
    <w:rsid w:val="008545B0"/>
    <w:rsid w:val="00856B8F"/>
    <w:rsid w:val="00861936"/>
    <w:rsid w:val="00861CFB"/>
    <w:rsid w:val="00862AB1"/>
    <w:rsid w:val="00864676"/>
    <w:rsid w:val="00865152"/>
    <w:rsid w:val="008668A3"/>
    <w:rsid w:val="00866F48"/>
    <w:rsid w:val="0087175B"/>
    <w:rsid w:val="00871DDD"/>
    <w:rsid w:val="00871E87"/>
    <w:rsid w:val="0087288B"/>
    <w:rsid w:val="008746AF"/>
    <w:rsid w:val="00875E11"/>
    <w:rsid w:val="00876A31"/>
    <w:rsid w:val="00880F88"/>
    <w:rsid w:val="00881CEC"/>
    <w:rsid w:val="00882D04"/>
    <w:rsid w:val="00884A12"/>
    <w:rsid w:val="00885506"/>
    <w:rsid w:val="00885537"/>
    <w:rsid w:val="0088654A"/>
    <w:rsid w:val="00886A91"/>
    <w:rsid w:val="00887150"/>
    <w:rsid w:val="00887D53"/>
    <w:rsid w:val="00891EC7"/>
    <w:rsid w:val="00892327"/>
    <w:rsid w:val="00893A1D"/>
    <w:rsid w:val="00894CC3"/>
    <w:rsid w:val="00897B12"/>
    <w:rsid w:val="008A331D"/>
    <w:rsid w:val="008A51D3"/>
    <w:rsid w:val="008A7073"/>
    <w:rsid w:val="008A716A"/>
    <w:rsid w:val="008B146B"/>
    <w:rsid w:val="008B20F2"/>
    <w:rsid w:val="008B3B6B"/>
    <w:rsid w:val="008B56F9"/>
    <w:rsid w:val="008C0775"/>
    <w:rsid w:val="008C07C7"/>
    <w:rsid w:val="008C1240"/>
    <w:rsid w:val="008C237E"/>
    <w:rsid w:val="008C2B8E"/>
    <w:rsid w:val="008C3010"/>
    <w:rsid w:val="008C3AA5"/>
    <w:rsid w:val="008C5724"/>
    <w:rsid w:val="008C5E8A"/>
    <w:rsid w:val="008D0359"/>
    <w:rsid w:val="008D0800"/>
    <w:rsid w:val="008D41DF"/>
    <w:rsid w:val="008D4737"/>
    <w:rsid w:val="008D49BC"/>
    <w:rsid w:val="008D4AE9"/>
    <w:rsid w:val="008D5CA7"/>
    <w:rsid w:val="008D5D71"/>
    <w:rsid w:val="008D5FFA"/>
    <w:rsid w:val="008D65B1"/>
    <w:rsid w:val="008D6853"/>
    <w:rsid w:val="008D7166"/>
    <w:rsid w:val="008E0EDD"/>
    <w:rsid w:val="008E22AA"/>
    <w:rsid w:val="008E27BE"/>
    <w:rsid w:val="008E2B33"/>
    <w:rsid w:val="008E44E4"/>
    <w:rsid w:val="008E4FCB"/>
    <w:rsid w:val="008E67D5"/>
    <w:rsid w:val="008E79C1"/>
    <w:rsid w:val="008F46ED"/>
    <w:rsid w:val="008F5429"/>
    <w:rsid w:val="008F595B"/>
    <w:rsid w:val="008F5CC5"/>
    <w:rsid w:val="008F60EE"/>
    <w:rsid w:val="008F73C5"/>
    <w:rsid w:val="009000B6"/>
    <w:rsid w:val="009002F2"/>
    <w:rsid w:val="00901484"/>
    <w:rsid w:val="00901754"/>
    <w:rsid w:val="0090434E"/>
    <w:rsid w:val="009056DF"/>
    <w:rsid w:val="009064A9"/>
    <w:rsid w:val="00907F0B"/>
    <w:rsid w:val="00912D2E"/>
    <w:rsid w:val="00913C45"/>
    <w:rsid w:val="0091529C"/>
    <w:rsid w:val="00922393"/>
    <w:rsid w:val="00923A31"/>
    <w:rsid w:val="00933EE2"/>
    <w:rsid w:val="00934F02"/>
    <w:rsid w:val="0093504D"/>
    <w:rsid w:val="00935FF0"/>
    <w:rsid w:val="00937E10"/>
    <w:rsid w:val="00940468"/>
    <w:rsid w:val="00941F18"/>
    <w:rsid w:val="00943D49"/>
    <w:rsid w:val="00944E3C"/>
    <w:rsid w:val="0094696B"/>
    <w:rsid w:val="00947A1A"/>
    <w:rsid w:val="00947FE4"/>
    <w:rsid w:val="00954399"/>
    <w:rsid w:val="00954E8F"/>
    <w:rsid w:val="0095634B"/>
    <w:rsid w:val="0095708D"/>
    <w:rsid w:val="00961EB9"/>
    <w:rsid w:val="00963947"/>
    <w:rsid w:val="00963F1B"/>
    <w:rsid w:val="009646B9"/>
    <w:rsid w:val="0096671B"/>
    <w:rsid w:val="00967095"/>
    <w:rsid w:val="00970682"/>
    <w:rsid w:val="00970FC5"/>
    <w:rsid w:val="00972BC8"/>
    <w:rsid w:val="00973CF7"/>
    <w:rsid w:val="009753C6"/>
    <w:rsid w:val="009765AA"/>
    <w:rsid w:val="00976ADE"/>
    <w:rsid w:val="009824E1"/>
    <w:rsid w:val="00982E9E"/>
    <w:rsid w:val="00986984"/>
    <w:rsid w:val="00986BFC"/>
    <w:rsid w:val="00986DF9"/>
    <w:rsid w:val="009904A4"/>
    <w:rsid w:val="00993FAA"/>
    <w:rsid w:val="00994F79"/>
    <w:rsid w:val="00995660"/>
    <w:rsid w:val="0099596F"/>
    <w:rsid w:val="0099731C"/>
    <w:rsid w:val="009A397F"/>
    <w:rsid w:val="009A3B1B"/>
    <w:rsid w:val="009A4CFB"/>
    <w:rsid w:val="009A6189"/>
    <w:rsid w:val="009A744E"/>
    <w:rsid w:val="009B04B3"/>
    <w:rsid w:val="009B149D"/>
    <w:rsid w:val="009B1EF7"/>
    <w:rsid w:val="009B2B22"/>
    <w:rsid w:val="009B35A8"/>
    <w:rsid w:val="009B43C8"/>
    <w:rsid w:val="009B57FC"/>
    <w:rsid w:val="009B703E"/>
    <w:rsid w:val="009C01A1"/>
    <w:rsid w:val="009C16F6"/>
    <w:rsid w:val="009C43CE"/>
    <w:rsid w:val="009C5060"/>
    <w:rsid w:val="009C548D"/>
    <w:rsid w:val="009C5974"/>
    <w:rsid w:val="009C5B40"/>
    <w:rsid w:val="009D1153"/>
    <w:rsid w:val="009D6130"/>
    <w:rsid w:val="009D660D"/>
    <w:rsid w:val="009E09D8"/>
    <w:rsid w:val="009E1E16"/>
    <w:rsid w:val="009E219F"/>
    <w:rsid w:val="009E2CDA"/>
    <w:rsid w:val="009E681D"/>
    <w:rsid w:val="009F08D7"/>
    <w:rsid w:val="009F0D7D"/>
    <w:rsid w:val="009F3E1C"/>
    <w:rsid w:val="009F680A"/>
    <w:rsid w:val="009F74EE"/>
    <w:rsid w:val="009F7E35"/>
    <w:rsid w:val="00A02382"/>
    <w:rsid w:val="00A03A77"/>
    <w:rsid w:val="00A0515E"/>
    <w:rsid w:val="00A0516C"/>
    <w:rsid w:val="00A06230"/>
    <w:rsid w:val="00A07228"/>
    <w:rsid w:val="00A11169"/>
    <w:rsid w:val="00A12879"/>
    <w:rsid w:val="00A128F0"/>
    <w:rsid w:val="00A14624"/>
    <w:rsid w:val="00A16950"/>
    <w:rsid w:val="00A169FA"/>
    <w:rsid w:val="00A2067A"/>
    <w:rsid w:val="00A21AEE"/>
    <w:rsid w:val="00A21C9C"/>
    <w:rsid w:val="00A22DBC"/>
    <w:rsid w:val="00A27586"/>
    <w:rsid w:val="00A3186A"/>
    <w:rsid w:val="00A33B33"/>
    <w:rsid w:val="00A359C9"/>
    <w:rsid w:val="00A370CD"/>
    <w:rsid w:val="00A3743A"/>
    <w:rsid w:val="00A423B6"/>
    <w:rsid w:val="00A42762"/>
    <w:rsid w:val="00A43FB6"/>
    <w:rsid w:val="00A44276"/>
    <w:rsid w:val="00A4496F"/>
    <w:rsid w:val="00A4676A"/>
    <w:rsid w:val="00A4714B"/>
    <w:rsid w:val="00A50BA4"/>
    <w:rsid w:val="00A526A9"/>
    <w:rsid w:val="00A53DB5"/>
    <w:rsid w:val="00A5453E"/>
    <w:rsid w:val="00A54736"/>
    <w:rsid w:val="00A56A63"/>
    <w:rsid w:val="00A577DB"/>
    <w:rsid w:val="00A6114B"/>
    <w:rsid w:val="00A61228"/>
    <w:rsid w:val="00A61574"/>
    <w:rsid w:val="00A63C57"/>
    <w:rsid w:val="00A64BD4"/>
    <w:rsid w:val="00A655A3"/>
    <w:rsid w:val="00A65B77"/>
    <w:rsid w:val="00A6681A"/>
    <w:rsid w:val="00A7199A"/>
    <w:rsid w:val="00A71AC8"/>
    <w:rsid w:val="00A73686"/>
    <w:rsid w:val="00A737E4"/>
    <w:rsid w:val="00A73C6E"/>
    <w:rsid w:val="00A73E6A"/>
    <w:rsid w:val="00A74ED4"/>
    <w:rsid w:val="00A757BC"/>
    <w:rsid w:val="00A806FC"/>
    <w:rsid w:val="00A8117F"/>
    <w:rsid w:val="00A8179A"/>
    <w:rsid w:val="00A82442"/>
    <w:rsid w:val="00A83058"/>
    <w:rsid w:val="00A83E0F"/>
    <w:rsid w:val="00A85FE3"/>
    <w:rsid w:val="00A86ACB"/>
    <w:rsid w:val="00A86F52"/>
    <w:rsid w:val="00A8787A"/>
    <w:rsid w:val="00A90834"/>
    <w:rsid w:val="00A91FD3"/>
    <w:rsid w:val="00A932B1"/>
    <w:rsid w:val="00A93572"/>
    <w:rsid w:val="00A93743"/>
    <w:rsid w:val="00A93FE2"/>
    <w:rsid w:val="00A943CB"/>
    <w:rsid w:val="00A955FD"/>
    <w:rsid w:val="00A95EC1"/>
    <w:rsid w:val="00A97370"/>
    <w:rsid w:val="00A978F3"/>
    <w:rsid w:val="00AA034A"/>
    <w:rsid w:val="00AA0BD6"/>
    <w:rsid w:val="00AA3193"/>
    <w:rsid w:val="00AA4400"/>
    <w:rsid w:val="00AA4480"/>
    <w:rsid w:val="00AA47D8"/>
    <w:rsid w:val="00AA5078"/>
    <w:rsid w:val="00AA546B"/>
    <w:rsid w:val="00AA6406"/>
    <w:rsid w:val="00AA7354"/>
    <w:rsid w:val="00AA7C29"/>
    <w:rsid w:val="00AB4F96"/>
    <w:rsid w:val="00AC2661"/>
    <w:rsid w:val="00AC4076"/>
    <w:rsid w:val="00AC4115"/>
    <w:rsid w:val="00AC42B1"/>
    <w:rsid w:val="00AC58DC"/>
    <w:rsid w:val="00AC76BE"/>
    <w:rsid w:val="00AD29B1"/>
    <w:rsid w:val="00AD3271"/>
    <w:rsid w:val="00AD4D49"/>
    <w:rsid w:val="00AD4E99"/>
    <w:rsid w:val="00AD5CB2"/>
    <w:rsid w:val="00AD605E"/>
    <w:rsid w:val="00AE13C4"/>
    <w:rsid w:val="00AE222F"/>
    <w:rsid w:val="00AE4252"/>
    <w:rsid w:val="00AE4A4C"/>
    <w:rsid w:val="00AE51FC"/>
    <w:rsid w:val="00AE67B5"/>
    <w:rsid w:val="00AE7214"/>
    <w:rsid w:val="00AE7ED1"/>
    <w:rsid w:val="00AF14A8"/>
    <w:rsid w:val="00AF2FF9"/>
    <w:rsid w:val="00AF452D"/>
    <w:rsid w:val="00AF5607"/>
    <w:rsid w:val="00AF628F"/>
    <w:rsid w:val="00AF7711"/>
    <w:rsid w:val="00B023C8"/>
    <w:rsid w:val="00B02419"/>
    <w:rsid w:val="00B02721"/>
    <w:rsid w:val="00B03CA4"/>
    <w:rsid w:val="00B05479"/>
    <w:rsid w:val="00B061A0"/>
    <w:rsid w:val="00B068F6"/>
    <w:rsid w:val="00B12136"/>
    <w:rsid w:val="00B13EEF"/>
    <w:rsid w:val="00B159EE"/>
    <w:rsid w:val="00B16402"/>
    <w:rsid w:val="00B17431"/>
    <w:rsid w:val="00B17787"/>
    <w:rsid w:val="00B2126E"/>
    <w:rsid w:val="00B21A45"/>
    <w:rsid w:val="00B3196A"/>
    <w:rsid w:val="00B352D4"/>
    <w:rsid w:val="00B35D55"/>
    <w:rsid w:val="00B35FA1"/>
    <w:rsid w:val="00B37165"/>
    <w:rsid w:val="00B4027A"/>
    <w:rsid w:val="00B40A44"/>
    <w:rsid w:val="00B40CDE"/>
    <w:rsid w:val="00B411A8"/>
    <w:rsid w:val="00B411B0"/>
    <w:rsid w:val="00B43B6F"/>
    <w:rsid w:val="00B44981"/>
    <w:rsid w:val="00B46063"/>
    <w:rsid w:val="00B46C08"/>
    <w:rsid w:val="00B518A6"/>
    <w:rsid w:val="00B51B15"/>
    <w:rsid w:val="00B54F4C"/>
    <w:rsid w:val="00B55AF6"/>
    <w:rsid w:val="00B60C92"/>
    <w:rsid w:val="00B61C94"/>
    <w:rsid w:val="00B61EEC"/>
    <w:rsid w:val="00B622C7"/>
    <w:rsid w:val="00B62B58"/>
    <w:rsid w:val="00B64AF5"/>
    <w:rsid w:val="00B64BCD"/>
    <w:rsid w:val="00B6661D"/>
    <w:rsid w:val="00B666AE"/>
    <w:rsid w:val="00B668AF"/>
    <w:rsid w:val="00B67E96"/>
    <w:rsid w:val="00B7102D"/>
    <w:rsid w:val="00B7105C"/>
    <w:rsid w:val="00B742AB"/>
    <w:rsid w:val="00B742D7"/>
    <w:rsid w:val="00B82803"/>
    <w:rsid w:val="00B857DC"/>
    <w:rsid w:val="00B8743B"/>
    <w:rsid w:val="00B87A6E"/>
    <w:rsid w:val="00B90F43"/>
    <w:rsid w:val="00B94590"/>
    <w:rsid w:val="00B9481A"/>
    <w:rsid w:val="00B94B99"/>
    <w:rsid w:val="00B97814"/>
    <w:rsid w:val="00B97A86"/>
    <w:rsid w:val="00BA13B1"/>
    <w:rsid w:val="00BA2412"/>
    <w:rsid w:val="00BA373B"/>
    <w:rsid w:val="00BA4EE3"/>
    <w:rsid w:val="00BA4F66"/>
    <w:rsid w:val="00BA5B90"/>
    <w:rsid w:val="00BA6B35"/>
    <w:rsid w:val="00BA70CA"/>
    <w:rsid w:val="00BB0A8B"/>
    <w:rsid w:val="00BB2021"/>
    <w:rsid w:val="00BB4671"/>
    <w:rsid w:val="00BB5B7D"/>
    <w:rsid w:val="00BB6DCC"/>
    <w:rsid w:val="00BB727B"/>
    <w:rsid w:val="00BC1992"/>
    <w:rsid w:val="00BC5375"/>
    <w:rsid w:val="00BC55D0"/>
    <w:rsid w:val="00BC6DE3"/>
    <w:rsid w:val="00BC6FE1"/>
    <w:rsid w:val="00BC7AC4"/>
    <w:rsid w:val="00BD0775"/>
    <w:rsid w:val="00BD4310"/>
    <w:rsid w:val="00BD4FBD"/>
    <w:rsid w:val="00BD6A24"/>
    <w:rsid w:val="00BE0E7B"/>
    <w:rsid w:val="00BE2537"/>
    <w:rsid w:val="00BE5E3C"/>
    <w:rsid w:val="00BE750F"/>
    <w:rsid w:val="00BF02A9"/>
    <w:rsid w:val="00BF03F5"/>
    <w:rsid w:val="00BF0D02"/>
    <w:rsid w:val="00BF1FDA"/>
    <w:rsid w:val="00BF24DE"/>
    <w:rsid w:val="00BF2A25"/>
    <w:rsid w:val="00BF2A2D"/>
    <w:rsid w:val="00BF3B56"/>
    <w:rsid w:val="00BF40F9"/>
    <w:rsid w:val="00BF4B71"/>
    <w:rsid w:val="00BF5954"/>
    <w:rsid w:val="00C015CA"/>
    <w:rsid w:val="00C01A7C"/>
    <w:rsid w:val="00C02724"/>
    <w:rsid w:val="00C02BDC"/>
    <w:rsid w:val="00C03F62"/>
    <w:rsid w:val="00C04432"/>
    <w:rsid w:val="00C04F47"/>
    <w:rsid w:val="00C05BBC"/>
    <w:rsid w:val="00C05BCB"/>
    <w:rsid w:val="00C060DF"/>
    <w:rsid w:val="00C06859"/>
    <w:rsid w:val="00C13B37"/>
    <w:rsid w:val="00C14FD1"/>
    <w:rsid w:val="00C16689"/>
    <w:rsid w:val="00C16AFB"/>
    <w:rsid w:val="00C16FFD"/>
    <w:rsid w:val="00C172C9"/>
    <w:rsid w:val="00C17504"/>
    <w:rsid w:val="00C17E47"/>
    <w:rsid w:val="00C21EDB"/>
    <w:rsid w:val="00C23471"/>
    <w:rsid w:val="00C2461D"/>
    <w:rsid w:val="00C32733"/>
    <w:rsid w:val="00C32967"/>
    <w:rsid w:val="00C32E13"/>
    <w:rsid w:val="00C33923"/>
    <w:rsid w:val="00C33AE7"/>
    <w:rsid w:val="00C37816"/>
    <w:rsid w:val="00C415AC"/>
    <w:rsid w:val="00C41755"/>
    <w:rsid w:val="00C4217B"/>
    <w:rsid w:val="00C4277F"/>
    <w:rsid w:val="00C43217"/>
    <w:rsid w:val="00C438A0"/>
    <w:rsid w:val="00C46C87"/>
    <w:rsid w:val="00C51C07"/>
    <w:rsid w:val="00C52C3F"/>
    <w:rsid w:val="00C548D6"/>
    <w:rsid w:val="00C561C8"/>
    <w:rsid w:val="00C5633B"/>
    <w:rsid w:val="00C624DB"/>
    <w:rsid w:val="00C657BA"/>
    <w:rsid w:val="00C6673A"/>
    <w:rsid w:val="00C67199"/>
    <w:rsid w:val="00C70110"/>
    <w:rsid w:val="00C718AE"/>
    <w:rsid w:val="00C720B9"/>
    <w:rsid w:val="00C72521"/>
    <w:rsid w:val="00C733B9"/>
    <w:rsid w:val="00C74A51"/>
    <w:rsid w:val="00C76C8B"/>
    <w:rsid w:val="00C76D59"/>
    <w:rsid w:val="00C81F63"/>
    <w:rsid w:val="00C82256"/>
    <w:rsid w:val="00C85417"/>
    <w:rsid w:val="00C86B59"/>
    <w:rsid w:val="00C8788A"/>
    <w:rsid w:val="00C9231E"/>
    <w:rsid w:val="00C9408C"/>
    <w:rsid w:val="00C949C7"/>
    <w:rsid w:val="00C94F2B"/>
    <w:rsid w:val="00C952D2"/>
    <w:rsid w:val="00C9708A"/>
    <w:rsid w:val="00C97EA2"/>
    <w:rsid w:val="00CA3BCC"/>
    <w:rsid w:val="00CA6EF1"/>
    <w:rsid w:val="00CB0334"/>
    <w:rsid w:val="00CB18FC"/>
    <w:rsid w:val="00CB3B0F"/>
    <w:rsid w:val="00CB6685"/>
    <w:rsid w:val="00CC0394"/>
    <w:rsid w:val="00CC2014"/>
    <w:rsid w:val="00CC2D95"/>
    <w:rsid w:val="00CC3523"/>
    <w:rsid w:val="00CC514D"/>
    <w:rsid w:val="00CC71EF"/>
    <w:rsid w:val="00CD36A3"/>
    <w:rsid w:val="00CD4336"/>
    <w:rsid w:val="00CD440C"/>
    <w:rsid w:val="00CD6D97"/>
    <w:rsid w:val="00CE53E9"/>
    <w:rsid w:val="00CE5DFC"/>
    <w:rsid w:val="00CE67C5"/>
    <w:rsid w:val="00CE6FFA"/>
    <w:rsid w:val="00CE763B"/>
    <w:rsid w:val="00CF0230"/>
    <w:rsid w:val="00CF1CBC"/>
    <w:rsid w:val="00CF574A"/>
    <w:rsid w:val="00CF5973"/>
    <w:rsid w:val="00CF7308"/>
    <w:rsid w:val="00CF734B"/>
    <w:rsid w:val="00CF73E2"/>
    <w:rsid w:val="00CF7E6D"/>
    <w:rsid w:val="00D00C49"/>
    <w:rsid w:val="00D02652"/>
    <w:rsid w:val="00D036C5"/>
    <w:rsid w:val="00D05495"/>
    <w:rsid w:val="00D06063"/>
    <w:rsid w:val="00D069B4"/>
    <w:rsid w:val="00D10456"/>
    <w:rsid w:val="00D1081C"/>
    <w:rsid w:val="00D12B8E"/>
    <w:rsid w:val="00D131F2"/>
    <w:rsid w:val="00D1404E"/>
    <w:rsid w:val="00D163FB"/>
    <w:rsid w:val="00D17948"/>
    <w:rsid w:val="00D17ED4"/>
    <w:rsid w:val="00D21BEC"/>
    <w:rsid w:val="00D221BA"/>
    <w:rsid w:val="00D24B42"/>
    <w:rsid w:val="00D250F8"/>
    <w:rsid w:val="00D261C1"/>
    <w:rsid w:val="00D27F46"/>
    <w:rsid w:val="00D31884"/>
    <w:rsid w:val="00D31D2B"/>
    <w:rsid w:val="00D371F8"/>
    <w:rsid w:val="00D3777D"/>
    <w:rsid w:val="00D43371"/>
    <w:rsid w:val="00D43DC7"/>
    <w:rsid w:val="00D45989"/>
    <w:rsid w:val="00D45FE8"/>
    <w:rsid w:val="00D50F76"/>
    <w:rsid w:val="00D52669"/>
    <w:rsid w:val="00D544BC"/>
    <w:rsid w:val="00D553C6"/>
    <w:rsid w:val="00D56D2A"/>
    <w:rsid w:val="00D57987"/>
    <w:rsid w:val="00D6092E"/>
    <w:rsid w:val="00D60CA4"/>
    <w:rsid w:val="00D657E9"/>
    <w:rsid w:val="00D65D02"/>
    <w:rsid w:val="00D65FAC"/>
    <w:rsid w:val="00D66943"/>
    <w:rsid w:val="00D67416"/>
    <w:rsid w:val="00D67DFC"/>
    <w:rsid w:val="00D7019A"/>
    <w:rsid w:val="00D70534"/>
    <w:rsid w:val="00D71626"/>
    <w:rsid w:val="00D72CCF"/>
    <w:rsid w:val="00D74080"/>
    <w:rsid w:val="00D74260"/>
    <w:rsid w:val="00D753A0"/>
    <w:rsid w:val="00D758E8"/>
    <w:rsid w:val="00D8064B"/>
    <w:rsid w:val="00D83028"/>
    <w:rsid w:val="00D84F7A"/>
    <w:rsid w:val="00D850DA"/>
    <w:rsid w:val="00D87011"/>
    <w:rsid w:val="00D872C0"/>
    <w:rsid w:val="00D93663"/>
    <w:rsid w:val="00D9551A"/>
    <w:rsid w:val="00D95608"/>
    <w:rsid w:val="00D976A6"/>
    <w:rsid w:val="00D97D3F"/>
    <w:rsid w:val="00DA3524"/>
    <w:rsid w:val="00DA59F0"/>
    <w:rsid w:val="00DB03E7"/>
    <w:rsid w:val="00DB2005"/>
    <w:rsid w:val="00DB2057"/>
    <w:rsid w:val="00DB37CC"/>
    <w:rsid w:val="00DB4B77"/>
    <w:rsid w:val="00DB50D0"/>
    <w:rsid w:val="00DB6803"/>
    <w:rsid w:val="00DB788B"/>
    <w:rsid w:val="00DB7EEB"/>
    <w:rsid w:val="00DC1420"/>
    <w:rsid w:val="00DC148B"/>
    <w:rsid w:val="00DC18BC"/>
    <w:rsid w:val="00DC23C7"/>
    <w:rsid w:val="00DC2593"/>
    <w:rsid w:val="00DC2EB8"/>
    <w:rsid w:val="00DC30D0"/>
    <w:rsid w:val="00DC409C"/>
    <w:rsid w:val="00DC6205"/>
    <w:rsid w:val="00DC68FE"/>
    <w:rsid w:val="00DC6A71"/>
    <w:rsid w:val="00DC7133"/>
    <w:rsid w:val="00DD0F01"/>
    <w:rsid w:val="00DD18DC"/>
    <w:rsid w:val="00DD3BA8"/>
    <w:rsid w:val="00DD44A8"/>
    <w:rsid w:val="00DD5A9B"/>
    <w:rsid w:val="00DE0931"/>
    <w:rsid w:val="00DE2A9A"/>
    <w:rsid w:val="00DE33EA"/>
    <w:rsid w:val="00DE7292"/>
    <w:rsid w:val="00DE77A6"/>
    <w:rsid w:val="00DF005A"/>
    <w:rsid w:val="00DF030A"/>
    <w:rsid w:val="00DF03AE"/>
    <w:rsid w:val="00DF0923"/>
    <w:rsid w:val="00DF1D71"/>
    <w:rsid w:val="00DF2D87"/>
    <w:rsid w:val="00DF43F0"/>
    <w:rsid w:val="00DF7133"/>
    <w:rsid w:val="00DF725A"/>
    <w:rsid w:val="00DF72CF"/>
    <w:rsid w:val="00E0011E"/>
    <w:rsid w:val="00E001EA"/>
    <w:rsid w:val="00E02229"/>
    <w:rsid w:val="00E05256"/>
    <w:rsid w:val="00E1146E"/>
    <w:rsid w:val="00E1534A"/>
    <w:rsid w:val="00E15BDB"/>
    <w:rsid w:val="00E1711B"/>
    <w:rsid w:val="00E22293"/>
    <w:rsid w:val="00E2243B"/>
    <w:rsid w:val="00E23715"/>
    <w:rsid w:val="00E251BD"/>
    <w:rsid w:val="00E27474"/>
    <w:rsid w:val="00E330B2"/>
    <w:rsid w:val="00E33D25"/>
    <w:rsid w:val="00E3435E"/>
    <w:rsid w:val="00E34BDD"/>
    <w:rsid w:val="00E36538"/>
    <w:rsid w:val="00E3664D"/>
    <w:rsid w:val="00E367AD"/>
    <w:rsid w:val="00E37CA8"/>
    <w:rsid w:val="00E401CB"/>
    <w:rsid w:val="00E40574"/>
    <w:rsid w:val="00E4137C"/>
    <w:rsid w:val="00E429AD"/>
    <w:rsid w:val="00E42A0D"/>
    <w:rsid w:val="00E43294"/>
    <w:rsid w:val="00E45518"/>
    <w:rsid w:val="00E46348"/>
    <w:rsid w:val="00E5097D"/>
    <w:rsid w:val="00E51EEA"/>
    <w:rsid w:val="00E5243F"/>
    <w:rsid w:val="00E57019"/>
    <w:rsid w:val="00E605C5"/>
    <w:rsid w:val="00E62336"/>
    <w:rsid w:val="00E62BCA"/>
    <w:rsid w:val="00E63073"/>
    <w:rsid w:val="00E630DE"/>
    <w:rsid w:val="00E63B0F"/>
    <w:rsid w:val="00E64BF7"/>
    <w:rsid w:val="00E6563F"/>
    <w:rsid w:val="00E748E8"/>
    <w:rsid w:val="00E755AF"/>
    <w:rsid w:val="00E80BC2"/>
    <w:rsid w:val="00E818CF"/>
    <w:rsid w:val="00E81DBD"/>
    <w:rsid w:val="00E81E8A"/>
    <w:rsid w:val="00E81E8C"/>
    <w:rsid w:val="00E828C3"/>
    <w:rsid w:val="00E8298C"/>
    <w:rsid w:val="00E829C8"/>
    <w:rsid w:val="00E830FC"/>
    <w:rsid w:val="00E8369C"/>
    <w:rsid w:val="00E8379C"/>
    <w:rsid w:val="00E84E5C"/>
    <w:rsid w:val="00E8621B"/>
    <w:rsid w:val="00E8718A"/>
    <w:rsid w:val="00E93390"/>
    <w:rsid w:val="00E93532"/>
    <w:rsid w:val="00E941F0"/>
    <w:rsid w:val="00E97494"/>
    <w:rsid w:val="00EA4191"/>
    <w:rsid w:val="00EA5136"/>
    <w:rsid w:val="00EB0825"/>
    <w:rsid w:val="00EB3339"/>
    <w:rsid w:val="00EB459D"/>
    <w:rsid w:val="00EB4A4D"/>
    <w:rsid w:val="00EB772E"/>
    <w:rsid w:val="00EB7F75"/>
    <w:rsid w:val="00EC2E81"/>
    <w:rsid w:val="00EC3323"/>
    <w:rsid w:val="00EC4C4A"/>
    <w:rsid w:val="00ED1D42"/>
    <w:rsid w:val="00ED2819"/>
    <w:rsid w:val="00ED2858"/>
    <w:rsid w:val="00ED3A00"/>
    <w:rsid w:val="00ED3BBF"/>
    <w:rsid w:val="00ED42DC"/>
    <w:rsid w:val="00ED477F"/>
    <w:rsid w:val="00ED6012"/>
    <w:rsid w:val="00ED6401"/>
    <w:rsid w:val="00ED6C3D"/>
    <w:rsid w:val="00ED7973"/>
    <w:rsid w:val="00EE0689"/>
    <w:rsid w:val="00EE1F79"/>
    <w:rsid w:val="00EE20D8"/>
    <w:rsid w:val="00EE4E46"/>
    <w:rsid w:val="00EE5D87"/>
    <w:rsid w:val="00EE625C"/>
    <w:rsid w:val="00EF168F"/>
    <w:rsid w:val="00EF31E5"/>
    <w:rsid w:val="00EF41C8"/>
    <w:rsid w:val="00EF5400"/>
    <w:rsid w:val="00EF679A"/>
    <w:rsid w:val="00EF794F"/>
    <w:rsid w:val="00F013AC"/>
    <w:rsid w:val="00F024A7"/>
    <w:rsid w:val="00F063D6"/>
    <w:rsid w:val="00F07621"/>
    <w:rsid w:val="00F07BB6"/>
    <w:rsid w:val="00F13B4E"/>
    <w:rsid w:val="00F143BF"/>
    <w:rsid w:val="00F1547A"/>
    <w:rsid w:val="00F15DD7"/>
    <w:rsid w:val="00F16DAF"/>
    <w:rsid w:val="00F20D67"/>
    <w:rsid w:val="00F22F92"/>
    <w:rsid w:val="00F25DAE"/>
    <w:rsid w:val="00F300DF"/>
    <w:rsid w:val="00F307FB"/>
    <w:rsid w:val="00F30A9B"/>
    <w:rsid w:val="00F30C99"/>
    <w:rsid w:val="00F32EDE"/>
    <w:rsid w:val="00F33497"/>
    <w:rsid w:val="00F33B85"/>
    <w:rsid w:val="00F340FE"/>
    <w:rsid w:val="00F361B4"/>
    <w:rsid w:val="00F37D47"/>
    <w:rsid w:val="00F4030C"/>
    <w:rsid w:val="00F41846"/>
    <w:rsid w:val="00F45939"/>
    <w:rsid w:val="00F47244"/>
    <w:rsid w:val="00F472A5"/>
    <w:rsid w:val="00F525D1"/>
    <w:rsid w:val="00F5277D"/>
    <w:rsid w:val="00F54569"/>
    <w:rsid w:val="00F6055C"/>
    <w:rsid w:val="00F6177D"/>
    <w:rsid w:val="00F61FDD"/>
    <w:rsid w:val="00F6509A"/>
    <w:rsid w:val="00F66698"/>
    <w:rsid w:val="00F66700"/>
    <w:rsid w:val="00F66E1C"/>
    <w:rsid w:val="00F7161C"/>
    <w:rsid w:val="00F72B0B"/>
    <w:rsid w:val="00F740B2"/>
    <w:rsid w:val="00F76355"/>
    <w:rsid w:val="00F76565"/>
    <w:rsid w:val="00F7737A"/>
    <w:rsid w:val="00F80255"/>
    <w:rsid w:val="00F851C0"/>
    <w:rsid w:val="00F866A0"/>
    <w:rsid w:val="00F87DD3"/>
    <w:rsid w:val="00F91BA6"/>
    <w:rsid w:val="00F948F8"/>
    <w:rsid w:val="00F94E15"/>
    <w:rsid w:val="00F95750"/>
    <w:rsid w:val="00FA01F7"/>
    <w:rsid w:val="00FA1C9E"/>
    <w:rsid w:val="00FA2779"/>
    <w:rsid w:val="00FA2D4B"/>
    <w:rsid w:val="00FA384E"/>
    <w:rsid w:val="00FA3F3A"/>
    <w:rsid w:val="00FA430E"/>
    <w:rsid w:val="00FA5226"/>
    <w:rsid w:val="00FB4E2F"/>
    <w:rsid w:val="00FB73F2"/>
    <w:rsid w:val="00FC0177"/>
    <w:rsid w:val="00FC03A9"/>
    <w:rsid w:val="00FC4C30"/>
    <w:rsid w:val="00FC515F"/>
    <w:rsid w:val="00FC6471"/>
    <w:rsid w:val="00FC757A"/>
    <w:rsid w:val="00FD1191"/>
    <w:rsid w:val="00FD1BA1"/>
    <w:rsid w:val="00FD28BF"/>
    <w:rsid w:val="00FD3068"/>
    <w:rsid w:val="00FD3C4E"/>
    <w:rsid w:val="00FD40D3"/>
    <w:rsid w:val="00FD473B"/>
    <w:rsid w:val="00FD5D36"/>
    <w:rsid w:val="00FE0778"/>
    <w:rsid w:val="00FE1FAF"/>
    <w:rsid w:val="00FE2888"/>
    <w:rsid w:val="00FE2C89"/>
    <w:rsid w:val="00FE3161"/>
    <w:rsid w:val="00FE503A"/>
    <w:rsid w:val="00FF3341"/>
    <w:rsid w:val="00FF34A8"/>
    <w:rsid w:val="00FF36F2"/>
    <w:rsid w:val="00FF42B9"/>
    <w:rsid w:val="00FF624C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7D"/>
    <w:pPr>
      <w:suppressAutoHyphens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826C7D"/>
    <w:pPr>
      <w:keepNext/>
      <w:numPr>
        <w:numId w:val="1"/>
      </w:numPr>
      <w:jc w:val="center"/>
      <w:outlineLvl w:val="0"/>
    </w:pPr>
    <w:rPr>
      <w:b/>
      <w:bCs/>
      <w:sz w:val="24"/>
      <w:u w:val="single"/>
    </w:rPr>
  </w:style>
  <w:style w:type="paragraph" w:styleId="2">
    <w:name w:val="heading 2"/>
    <w:basedOn w:val="a"/>
    <w:next w:val="a"/>
    <w:link w:val="21"/>
    <w:uiPriority w:val="99"/>
    <w:qFormat/>
    <w:rsid w:val="00826C7D"/>
    <w:pPr>
      <w:keepNext/>
      <w:numPr>
        <w:ilvl w:val="1"/>
        <w:numId w:val="1"/>
      </w:numPr>
      <w:jc w:val="both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1"/>
    <w:uiPriority w:val="99"/>
    <w:qFormat/>
    <w:rsid w:val="00826C7D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1"/>
    <w:uiPriority w:val="99"/>
    <w:qFormat/>
    <w:rsid w:val="00826C7D"/>
    <w:pPr>
      <w:keepNext/>
      <w:tabs>
        <w:tab w:val="left" w:pos="0"/>
      </w:tabs>
      <w:spacing w:before="240" w:after="60" w:line="276" w:lineRule="auto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1"/>
    <w:uiPriority w:val="99"/>
    <w:qFormat/>
    <w:rsid w:val="00826C7D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1"/>
    <w:uiPriority w:val="99"/>
    <w:qFormat/>
    <w:rsid w:val="00826C7D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28499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28499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8499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284999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71">
    <w:name w:val="Заголовок 7 Знак1"/>
    <w:basedOn w:val="a0"/>
    <w:link w:val="7"/>
    <w:uiPriority w:val="99"/>
    <w:semiHidden/>
    <w:locked/>
    <w:rsid w:val="00284999"/>
    <w:rPr>
      <w:rFonts w:ascii="Calibri" w:hAnsi="Calibri" w:cs="Times New Roman"/>
      <w:sz w:val="24"/>
      <w:szCs w:val="24"/>
      <w:lang w:eastAsia="zh-CN"/>
    </w:rPr>
  </w:style>
  <w:style w:type="character" w:customStyle="1" w:styleId="81">
    <w:name w:val="Заголовок 8 Знак1"/>
    <w:basedOn w:val="a0"/>
    <w:link w:val="8"/>
    <w:uiPriority w:val="99"/>
    <w:semiHidden/>
    <w:locked/>
    <w:rsid w:val="00284999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12">
    <w:name w:val="Основной шрифт абзаца12"/>
    <w:uiPriority w:val="99"/>
    <w:rsid w:val="00826C7D"/>
  </w:style>
  <w:style w:type="character" w:customStyle="1" w:styleId="110">
    <w:name w:val="Основной шрифт абзаца11"/>
    <w:uiPriority w:val="99"/>
    <w:rsid w:val="00826C7D"/>
  </w:style>
  <w:style w:type="character" w:customStyle="1" w:styleId="10">
    <w:name w:val="Основной шрифт абзаца10"/>
    <w:uiPriority w:val="99"/>
    <w:rsid w:val="00826C7D"/>
  </w:style>
  <w:style w:type="character" w:customStyle="1" w:styleId="Absatz-Standardschriftart">
    <w:name w:val="Absatz-Standardschriftart"/>
    <w:uiPriority w:val="99"/>
    <w:rsid w:val="00826C7D"/>
  </w:style>
  <w:style w:type="character" w:customStyle="1" w:styleId="9">
    <w:name w:val="Основной шрифт абзаца9"/>
    <w:uiPriority w:val="99"/>
    <w:rsid w:val="00826C7D"/>
  </w:style>
  <w:style w:type="character" w:customStyle="1" w:styleId="80">
    <w:name w:val="Основной шрифт абзаца8"/>
    <w:uiPriority w:val="99"/>
    <w:rsid w:val="00826C7D"/>
  </w:style>
  <w:style w:type="character" w:customStyle="1" w:styleId="70">
    <w:name w:val="Основной шрифт абзаца7"/>
    <w:uiPriority w:val="99"/>
    <w:rsid w:val="00826C7D"/>
  </w:style>
  <w:style w:type="character" w:customStyle="1" w:styleId="6">
    <w:name w:val="Основной шрифт абзаца6"/>
    <w:uiPriority w:val="99"/>
    <w:rsid w:val="00826C7D"/>
  </w:style>
  <w:style w:type="character" w:customStyle="1" w:styleId="5">
    <w:name w:val="Основной шрифт абзаца5"/>
    <w:uiPriority w:val="99"/>
    <w:rsid w:val="00826C7D"/>
  </w:style>
  <w:style w:type="character" w:customStyle="1" w:styleId="WW-Absatz-Standardschriftart">
    <w:name w:val="WW-Absatz-Standardschriftart"/>
    <w:uiPriority w:val="99"/>
    <w:rsid w:val="00826C7D"/>
  </w:style>
  <w:style w:type="character" w:customStyle="1" w:styleId="40">
    <w:name w:val="Основной шрифт абзаца4"/>
    <w:uiPriority w:val="99"/>
    <w:rsid w:val="00826C7D"/>
  </w:style>
  <w:style w:type="character" w:customStyle="1" w:styleId="WW-Absatz-Standardschriftart1">
    <w:name w:val="WW-Absatz-Standardschriftart1"/>
    <w:uiPriority w:val="99"/>
    <w:rsid w:val="00826C7D"/>
  </w:style>
  <w:style w:type="character" w:customStyle="1" w:styleId="30">
    <w:name w:val="Основной шрифт абзаца3"/>
    <w:uiPriority w:val="99"/>
    <w:rsid w:val="00826C7D"/>
  </w:style>
  <w:style w:type="character" w:customStyle="1" w:styleId="WW-Absatz-Standardschriftart11">
    <w:name w:val="WW-Absatz-Standardschriftart11"/>
    <w:uiPriority w:val="99"/>
    <w:rsid w:val="00826C7D"/>
  </w:style>
  <w:style w:type="character" w:customStyle="1" w:styleId="WW-Absatz-Standardschriftart111">
    <w:name w:val="WW-Absatz-Standardschriftart111"/>
    <w:uiPriority w:val="99"/>
    <w:rsid w:val="00826C7D"/>
  </w:style>
  <w:style w:type="character" w:customStyle="1" w:styleId="WW-Absatz-Standardschriftart1111">
    <w:name w:val="WW-Absatz-Standardschriftart1111"/>
    <w:uiPriority w:val="99"/>
    <w:rsid w:val="00826C7D"/>
  </w:style>
  <w:style w:type="character" w:customStyle="1" w:styleId="WW-Absatz-Standardschriftart11111">
    <w:name w:val="WW-Absatz-Standardschriftart11111"/>
    <w:uiPriority w:val="99"/>
    <w:rsid w:val="00826C7D"/>
  </w:style>
  <w:style w:type="character" w:customStyle="1" w:styleId="WW8Num2z0">
    <w:name w:val="WW8Num2z0"/>
    <w:uiPriority w:val="99"/>
    <w:rsid w:val="00826C7D"/>
    <w:rPr>
      <w:rFonts w:ascii="Times New Roman" w:hAnsi="Times New Roman"/>
    </w:rPr>
  </w:style>
  <w:style w:type="character" w:customStyle="1" w:styleId="20">
    <w:name w:val="Основной шрифт абзаца2"/>
    <w:uiPriority w:val="99"/>
    <w:rsid w:val="00826C7D"/>
  </w:style>
  <w:style w:type="character" w:customStyle="1" w:styleId="WW8Num1z0">
    <w:name w:val="WW8Num1z0"/>
    <w:uiPriority w:val="99"/>
    <w:rsid w:val="00826C7D"/>
    <w:rPr>
      <w:rFonts w:ascii="Times New Roman" w:hAnsi="Times New Roman"/>
    </w:rPr>
  </w:style>
  <w:style w:type="character" w:customStyle="1" w:styleId="WW8Num2z1">
    <w:name w:val="WW8Num2z1"/>
    <w:uiPriority w:val="99"/>
    <w:rsid w:val="00826C7D"/>
    <w:rPr>
      <w:rFonts w:ascii="Courier New" w:hAnsi="Courier New"/>
    </w:rPr>
  </w:style>
  <w:style w:type="character" w:customStyle="1" w:styleId="WW8Num2z2">
    <w:name w:val="WW8Num2z2"/>
    <w:uiPriority w:val="99"/>
    <w:rsid w:val="00826C7D"/>
    <w:rPr>
      <w:rFonts w:ascii="Wingdings" w:hAnsi="Wingdings"/>
    </w:rPr>
  </w:style>
  <w:style w:type="character" w:customStyle="1" w:styleId="WW8Num2z3">
    <w:name w:val="WW8Num2z3"/>
    <w:uiPriority w:val="99"/>
    <w:rsid w:val="00826C7D"/>
    <w:rPr>
      <w:rFonts w:ascii="Symbol" w:hAnsi="Symbol"/>
    </w:rPr>
  </w:style>
  <w:style w:type="character" w:customStyle="1" w:styleId="WW8Num6z0">
    <w:name w:val="WW8Num6z0"/>
    <w:uiPriority w:val="99"/>
    <w:rsid w:val="00826C7D"/>
    <w:rPr>
      <w:rFonts w:ascii="Wingdings" w:hAnsi="Wingdings"/>
    </w:rPr>
  </w:style>
  <w:style w:type="character" w:customStyle="1" w:styleId="WW8Num6z1">
    <w:name w:val="WW8Num6z1"/>
    <w:uiPriority w:val="99"/>
    <w:rsid w:val="00826C7D"/>
    <w:rPr>
      <w:rFonts w:ascii="Courier New" w:hAnsi="Courier New"/>
    </w:rPr>
  </w:style>
  <w:style w:type="character" w:customStyle="1" w:styleId="WW8Num6z3">
    <w:name w:val="WW8Num6z3"/>
    <w:uiPriority w:val="99"/>
    <w:rsid w:val="00826C7D"/>
    <w:rPr>
      <w:rFonts w:ascii="Symbol" w:hAnsi="Symbol"/>
    </w:rPr>
  </w:style>
  <w:style w:type="character" w:customStyle="1" w:styleId="WW8Num7z0">
    <w:name w:val="WW8Num7z0"/>
    <w:uiPriority w:val="99"/>
    <w:rsid w:val="00826C7D"/>
    <w:rPr>
      <w:rFonts w:ascii="Symbol" w:hAnsi="Symbol"/>
    </w:rPr>
  </w:style>
  <w:style w:type="character" w:customStyle="1" w:styleId="WW8Num7z1">
    <w:name w:val="WW8Num7z1"/>
    <w:uiPriority w:val="99"/>
    <w:rsid w:val="00826C7D"/>
    <w:rPr>
      <w:rFonts w:ascii="Courier New" w:hAnsi="Courier New"/>
    </w:rPr>
  </w:style>
  <w:style w:type="character" w:customStyle="1" w:styleId="WW8Num7z2">
    <w:name w:val="WW8Num7z2"/>
    <w:uiPriority w:val="99"/>
    <w:rsid w:val="00826C7D"/>
    <w:rPr>
      <w:rFonts w:ascii="Wingdings" w:hAnsi="Wingdings"/>
    </w:rPr>
  </w:style>
  <w:style w:type="character" w:customStyle="1" w:styleId="13">
    <w:name w:val="Основной шрифт абзаца1"/>
    <w:uiPriority w:val="99"/>
    <w:rsid w:val="00826C7D"/>
  </w:style>
  <w:style w:type="character" w:styleId="a3">
    <w:name w:val="page number"/>
    <w:basedOn w:val="13"/>
    <w:uiPriority w:val="99"/>
    <w:rsid w:val="00826C7D"/>
    <w:rPr>
      <w:rFonts w:cs="Times New Roman"/>
    </w:rPr>
  </w:style>
  <w:style w:type="character" w:customStyle="1" w:styleId="a4">
    <w:name w:val="Гипертекстовая ссылка"/>
    <w:uiPriority w:val="99"/>
    <w:rsid w:val="00826C7D"/>
    <w:rPr>
      <w:color w:val="008000"/>
    </w:rPr>
  </w:style>
  <w:style w:type="character" w:customStyle="1" w:styleId="BodyTextIndent2Char">
    <w:name w:val="Body Text Indent 2 Char"/>
    <w:uiPriority w:val="99"/>
    <w:locked/>
    <w:rsid w:val="00826C7D"/>
    <w:rPr>
      <w:sz w:val="24"/>
      <w:lang w:val="ru-RU"/>
    </w:rPr>
  </w:style>
  <w:style w:type="character" w:customStyle="1" w:styleId="a5">
    <w:name w:val="Текст Знак"/>
    <w:uiPriority w:val="99"/>
    <w:rsid w:val="00826C7D"/>
    <w:rPr>
      <w:rFonts w:ascii="Courier New" w:hAnsi="Courier New"/>
      <w:lang w:val="ru-RU"/>
    </w:rPr>
  </w:style>
  <w:style w:type="character" w:customStyle="1" w:styleId="TitleChar">
    <w:name w:val="Title Char"/>
    <w:uiPriority w:val="99"/>
    <w:locked/>
    <w:rsid w:val="00826C7D"/>
    <w:rPr>
      <w:b/>
      <w:sz w:val="24"/>
      <w:lang w:val="ru-RU"/>
    </w:rPr>
  </w:style>
  <w:style w:type="character" w:customStyle="1" w:styleId="a6">
    <w:name w:val="Основной текст с отступом Знак"/>
    <w:uiPriority w:val="99"/>
    <w:rsid w:val="00826C7D"/>
    <w:rPr>
      <w:sz w:val="24"/>
      <w:lang w:val="ru-RU"/>
    </w:rPr>
  </w:style>
  <w:style w:type="character" w:styleId="a7">
    <w:name w:val="Strong"/>
    <w:basedOn w:val="a0"/>
    <w:uiPriority w:val="99"/>
    <w:qFormat/>
    <w:rsid w:val="00826C7D"/>
    <w:rPr>
      <w:rFonts w:cs="Times New Roman"/>
      <w:b/>
    </w:rPr>
  </w:style>
  <w:style w:type="character" w:customStyle="1" w:styleId="a8">
    <w:name w:val="Нижний колонтитул Знак"/>
    <w:basedOn w:val="13"/>
    <w:uiPriority w:val="99"/>
    <w:rsid w:val="00826C7D"/>
    <w:rPr>
      <w:rFonts w:cs="Times New Roman"/>
    </w:rPr>
  </w:style>
  <w:style w:type="character" w:customStyle="1" w:styleId="a9">
    <w:name w:val="Текст концевой сноски Знак"/>
    <w:basedOn w:val="13"/>
    <w:uiPriority w:val="99"/>
    <w:rsid w:val="00826C7D"/>
    <w:rPr>
      <w:rFonts w:cs="Times New Roman"/>
    </w:rPr>
  </w:style>
  <w:style w:type="character" w:customStyle="1" w:styleId="aa">
    <w:name w:val="Символы концевой сноски"/>
    <w:uiPriority w:val="99"/>
    <w:rsid w:val="00826C7D"/>
    <w:rPr>
      <w:vertAlign w:val="superscript"/>
    </w:rPr>
  </w:style>
  <w:style w:type="character" w:customStyle="1" w:styleId="ab">
    <w:name w:val="Текст сноски Знак"/>
    <w:basedOn w:val="13"/>
    <w:uiPriority w:val="99"/>
    <w:rsid w:val="00826C7D"/>
    <w:rPr>
      <w:rFonts w:cs="Times New Roman"/>
    </w:rPr>
  </w:style>
  <w:style w:type="character" w:customStyle="1" w:styleId="ac">
    <w:name w:val="Символ сноски"/>
    <w:uiPriority w:val="99"/>
    <w:rsid w:val="00826C7D"/>
    <w:rPr>
      <w:vertAlign w:val="superscript"/>
    </w:rPr>
  </w:style>
  <w:style w:type="character" w:customStyle="1" w:styleId="22">
    <w:name w:val="Основной текст 2 Знак"/>
    <w:basedOn w:val="13"/>
    <w:uiPriority w:val="99"/>
    <w:rsid w:val="00826C7D"/>
    <w:rPr>
      <w:rFonts w:cs="Times New Roman"/>
    </w:rPr>
  </w:style>
  <w:style w:type="character" w:customStyle="1" w:styleId="72">
    <w:name w:val="Заголовок 7 Знак"/>
    <w:uiPriority w:val="99"/>
    <w:rsid w:val="00826C7D"/>
    <w:rPr>
      <w:rFonts w:ascii="Calibri" w:hAnsi="Calibri"/>
      <w:sz w:val="24"/>
    </w:rPr>
  </w:style>
  <w:style w:type="character" w:customStyle="1" w:styleId="82">
    <w:name w:val="Заголовок 8 Знак"/>
    <w:uiPriority w:val="99"/>
    <w:rsid w:val="00826C7D"/>
    <w:rPr>
      <w:rFonts w:ascii="Calibri" w:hAnsi="Calibri"/>
      <w:i/>
      <w:sz w:val="24"/>
    </w:rPr>
  </w:style>
  <w:style w:type="character" w:customStyle="1" w:styleId="ad">
    <w:name w:val="Основной текст Знак"/>
    <w:uiPriority w:val="99"/>
    <w:rsid w:val="00826C7D"/>
    <w:rPr>
      <w:sz w:val="24"/>
    </w:rPr>
  </w:style>
  <w:style w:type="character" w:customStyle="1" w:styleId="BodyTextIndent3Char">
    <w:name w:val="Body Text Indent 3 Char"/>
    <w:uiPriority w:val="99"/>
    <w:locked/>
    <w:rsid w:val="00826C7D"/>
    <w:rPr>
      <w:sz w:val="24"/>
    </w:rPr>
  </w:style>
  <w:style w:type="character" w:customStyle="1" w:styleId="14">
    <w:name w:val="Заголовок 1 Знак"/>
    <w:uiPriority w:val="99"/>
    <w:rsid w:val="00826C7D"/>
    <w:rPr>
      <w:b/>
      <w:sz w:val="24"/>
      <w:u w:val="single"/>
    </w:rPr>
  </w:style>
  <w:style w:type="character" w:customStyle="1" w:styleId="23">
    <w:name w:val="Заголовок 2 Знак"/>
    <w:uiPriority w:val="99"/>
    <w:rsid w:val="00826C7D"/>
    <w:rPr>
      <w:rFonts w:eastAsia="Arial Unicode MS"/>
      <w:sz w:val="28"/>
    </w:rPr>
  </w:style>
  <w:style w:type="character" w:customStyle="1" w:styleId="32">
    <w:name w:val="Заголовок 3 Знак"/>
    <w:uiPriority w:val="99"/>
    <w:rsid w:val="00826C7D"/>
    <w:rPr>
      <w:b/>
      <w:sz w:val="24"/>
    </w:rPr>
  </w:style>
  <w:style w:type="character" w:customStyle="1" w:styleId="ae">
    <w:name w:val="Верхний колонтитул Знак"/>
    <w:basedOn w:val="13"/>
    <w:uiPriority w:val="99"/>
    <w:rsid w:val="00826C7D"/>
    <w:rPr>
      <w:rFonts w:cs="Times New Roman"/>
    </w:rPr>
  </w:style>
  <w:style w:type="character" w:customStyle="1" w:styleId="af">
    <w:name w:val="Без интервала Знак"/>
    <w:uiPriority w:val="99"/>
    <w:rsid w:val="00826C7D"/>
    <w:rPr>
      <w:rFonts w:ascii="Calibri" w:hAnsi="Calibri"/>
      <w:sz w:val="22"/>
      <w:lang w:val="ru-RU"/>
    </w:rPr>
  </w:style>
  <w:style w:type="character" w:customStyle="1" w:styleId="apple-converted-space">
    <w:name w:val="apple-converted-space"/>
    <w:basedOn w:val="13"/>
    <w:uiPriority w:val="99"/>
    <w:rsid w:val="00826C7D"/>
    <w:rPr>
      <w:rFonts w:cs="Times New Roman"/>
    </w:rPr>
  </w:style>
  <w:style w:type="character" w:customStyle="1" w:styleId="42">
    <w:name w:val="Заголовок 4 Знак"/>
    <w:uiPriority w:val="99"/>
    <w:rsid w:val="00826C7D"/>
    <w:rPr>
      <w:rFonts w:ascii="Calibri" w:hAnsi="Calibri"/>
      <w:b/>
      <w:sz w:val="28"/>
    </w:rPr>
  </w:style>
  <w:style w:type="character" w:customStyle="1" w:styleId="210">
    <w:name w:val="Основной текст с отступом 2 Знак1"/>
    <w:basedOn w:val="80"/>
    <w:uiPriority w:val="99"/>
    <w:rsid w:val="00826C7D"/>
    <w:rPr>
      <w:rFonts w:cs="Times New Roman"/>
    </w:rPr>
  </w:style>
  <w:style w:type="character" w:customStyle="1" w:styleId="15">
    <w:name w:val="Название Знак1"/>
    <w:uiPriority w:val="99"/>
    <w:rsid w:val="00826C7D"/>
    <w:rPr>
      <w:rFonts w:ascii="Cambria" w:hAnsi="Cambria"/>
      <w:b/>
      <w:kern w:val="1"/>
      <w:sz w:val="32"/>
    </w:rPr>
  </w:style>
  <w:style w:type="character" w:customStyle="1" w:styleId="FontStyle12">
    <w:name w:val="Font Style12"/>
    <w:uiPriority w:val="99"/>
    <w:rsid w:val="00826C7D"/>
    <w:rPr>
      <w:rFonts w:ascii="Times New Roman" w:hAnsi="Times New Roman"/>
      <w:sz w:val="28"/>
    </w:rPr>
  </w:style>
  <w:style w:type="paragraph" w:customStyle="1" w:styleId="af0">
    <w:name w:val="Заголовок"/>
    <w:basedOn w:val="a"/>
    <w:next w:val="af1"/>
    <w:uiPriority w:val="99"/>
    <w:rsid w:val="00826C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link w:val="16"/>
    <w:uiPriority w:val="99"/>
    <w:rsid w:val="00826C7D"/>
    <w:pPr>
      <w:jc w:val="both"/>
    </w:pPr>
    <w:rPr>
      <w:sz w:val="24"/>
    </w:rPr>
  </w:style>
  <w:style w:type="character" w:customStyle="1" w:styleId="16">
    <w:name w:val="Основной текст Знак1"/>
    <w:basedOn w:val="a0"/>
    <w:link w:val="af1"/>
    <w:uiPriority w:val="99"/>
    <w:locked/>
    <w:rsid w:val="00284999"/>
    <w:rPr>
      <w:rFonts w:cs="Times New Roman"/>
      <w:sz w:val="20"/>
      <w:szCs w:val="20"/>
      <w:lang w:eastAsia="zh-CN"/>
    </w:rPr>
  </w:style>
  <w:style w:type="paragraph" w:styleId="af2">
    <w:name w:val="List"/>
    <w:basedOn w:val="af1"/>
    <w:uiPriority w:val="99"/>
    <w:rsid w:val="00826C7D"/>
    <w:rPr>
      <w:rFonts w:cs="Mangal"/>
    </w:rPr>
  </w:style>
  <w:style w:type="paragraph" w:styleId="af3">
    <w:name w:val="caption"/>
    <w:basedOn w:val="a"/>
    <w:uiPriority w:val="99"/>
    <w:qFormat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0">
    <w:name w:val="Указатель12"/>
    <w:basedOn w:val="a"/>
    <w:uiPriority w:val="99"/>
    <w:rsid w:val="00826C7D"/>
    <w:pPr>
      <w:suppressLineNumbers/>
    </w:pPr>
    <w:rPr>
      <w:rFonts w:cs="Mangal"/>
    </w:rPr>
  </w:style>
  <w:style w:type="paragraph" w:customStyle="1" w:styleId="43">
    <w:name w:val="Название объекта4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uiPriority w:val="99"/>
    <w:rsid w:val="00826C7D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uiPriority w:val="99"/>
    <w:rsid w:val="00826C7D"/>
    <w:pPr>
      <w:suppressLineNumbers/>
    </w:pPr>
    <w:rPr>
      <w:rFonts w:cs="Mangal"/>
    </w:rPr>
  </w:style>
  <w:style w:type="paragraph" w:customStyle="1" w:styleId="73">
    <w:name w:val="Название7"/>
    <w:basedOn w:val="a"/>
    <w:next w:val="af4"/>
    <w:uiPriority w:val="99"/>
    <w:rsid w:val="00826C7D"/>
    <w:pPr>
      <w:suppressAutoHyphens w:val="0"/>
      <w:jc w:val="center"/>
    </w:pPr>
    <w:rPr>
      <w:b/>
      <w:bCs/>
      <w:sz w:val="24"/>
    </w:rPr>
  </w:style>
  <w:style w:type="paragraph" w:customStyle="1" w:styleId="90">
    <w:name w:val="Указатель9"/>
    <w:basedOn w:val="a"/>
    <w:uiPriority w:val="99"/>
    <w:rsid w:val="00826C7D"/>
    <w:pPr>
      <w:suppressLineNumbers/>
    </w:pPr>
    <w:rPr>
      <w:rFonts w:cs="Mangal"/>
    </w:rPr>
  </w:style>
  <w:style w:type="paragraph" w:customStyle="1" w:styleId="60">
    <w:name w:val="Название6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3">
    <w:name w:val="Указатель8"/>
    <w:basedOn w:val="a"/>
    <w:uiPriority w:val="99"/>
    <w:rsid w:val="00826C7D"/>
    <w:pPr>
      <w:suppressLineNumbers/>
    </w:pPr>
    <w:rPr>
      <w:rFonts w:cs="Mangal"/>
    </w:rPr>
  </w:style>
  <w:style w:type="paragraph" w:customStyle="1" w:styleId="50">
    <w:name w:val="Название5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4">
    <w:name w:val="Указатель7"/>
    <w:basedOn w:val="a"/>
    <w:uiPriority w:val="99"/>
    <w:rsid w:val="00826C7D"/>
    <w:pPr>
      <w:suppressLineNumbers/>
    </w:pPr>
    <w:rPr>
      <w:rFonts w:cs="Mangal"/>
    </w:rPr>
  </w:style>
  <w:style w:type="paragraph" w:customStyle="1" w:styleId="44">
    <w:name w:val="Название4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rsid w:val="00826C7D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uiPriority w:val="99"/>
    <w:rsid w:val="00826C7D"/>
    <w:pPr>
      <w:suppressLineNumbers/>
    </w:pPr>
    <w:rPr>
      <w:rFonts w:cs="Mangal"/>
    </w:rPr>
  </w:style>
  <w:style w:type="paragraph" w:customStyle="1" w:styleId="34">
    <w:name w:val="Название3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5">
    <w:name w:val="Указатель4"/>
    <w:basedOn w:val="a"/>
    <w:uiPriority w:val="99"/>
    <w:rsid w:val="00826C7D"/>
    <w:pPr>
      <w:suppressLineNumbers/>
    </w:pPr>
    <w:rPr>
      <w:rFonts w:cs="Mangal"/>
    </w:rPr>
  </w:style>
  <w:style w:type="paragraph" w:customStyle="1" w:styleId="17">
    <w:name w:val="Название объекта1"/>
    <w:basedOn w:val="a"/>
    <w:next w:val="af4"/>
    <w:uiPriority w:val="99"/>
    <w:rsid w:val="00826C7D"/>
    <w:pPr>
      <w:jc w:val="center"/>
    </w:pPr>
    <w:rPr>
      <w:b/>
      <w:bCs/>
      <w:sz w:val="24"/>
    </w:rPr>
  </w:style>
  <w:style w:type="paragraph" w:customStyle="1" w:styleId="35">
    <w:name w:val="Указатель3"/>
    <w:basedOn w:val="a"/>
    <w:uiPriority w:val="99"/>
    <w:rsid w:val="00826C7D"/>
    <w:pPr>
      <w:suppressLineNumbers/>
    </w:pPr>
    <w:rPr>
      <w:rFonts w:cs="Mangal"/>
    </w:rPr>
  </w:style>
  <w:style w:type="paragraph" w:customStyle="1" w:styleId="25">
    <w:name w:val="Название2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uiPriority w:val="99"/>
    <w:rsid w:val="00826C7D"/>
    <w:pPr>
      <w:suppressLineNumbers/>
    </w:pPr>
    <w:rPr>
      <w:rFonts w:cs="Mangal"/>
    </w:rPr>
  </w:style>
  <w:style w:type="paragraph" w:customStyle="1" w:styleId="18">
    <w:name w:val="Название1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uiPriority w:val="99"/>
    <w:rsid w:val="00826C7D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826C7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f4">
    <w:name w:val="Subtitle"/>
    <w:basedOn w:val="af0"/>
    <w:next w:val="af1"/>
    <w:link w:val="af5"/>
    <w:uiPriority w:val="99"/>
    <w:qFormat/>
    <w:rsid w:val="00826C7D"/>
    <w:pPr>
      <w:jc w:val="center"/>
    </w:pPr>
    <w:rPr>
      <w:rFonts w:cs="Times New Roman"/>
      <w:i/>
      <w:iCs/>
    </w:rPr>
  </w:style>
  <w:style w:type="character" w:customStyle="1" w:styleId="af5">
    <w:name w:val="Подзаголовок Знак"/>
    <w:basedOn w:val="a0"/>
    <w:link w:val="af4"/>
    <w:uiPriority w:val="99"/>
    <w:locked/>
    <w:rsid w:val="002A65CC"/>
    <w:rPr>
      <w:rFonts w:ascii="Arial" w:eastAsia="Microsoft YaHei" w:hAnsi="Arial" w:cs="Times New Roman"/>
      <w:i/>
      <w:sz w:val="28"/>
      <w:lang w:eastAsia="zh-CN"/>
    </w:rPr>
  </w:style>
  <w:style w:type="paragraph" w:styleId="af6">
    <w:name w:val="Body Text Indent"/>
    <w:basedOn w:val="a"/>
    <w:link w:val="1a"/>
    <w:uiPriority w:val="99"/>
    <w:rsid w:val="00826C7D"/>
    <w:pPr>
      <w:ind w:right="-766" w:firstLine="720"/>
      <w:jc w:val="both"/>
    </w:pPr>
    <w:rPr>
      <w:sz w:val="24"/>
    </w:rPr>
  </w:style>
  <w:style w:type="character" w:customStyle="1" w:styleId="1a">
    <w:name w:val="Основной текст с отступом Знак1"/>
    <w:basedOn w:val="a0"/>
    <w:link w:val="af6"/>
    <w:uiPriority w:val="99"/>
    <w:locked/>
    <w:rsid w:val="00284999"/>
    <w:rPr>
      <w:rFonts w:cs="Times New Roman"/>
      <w:sz w:val="20"/>
      <w:szCs w:val="20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826C7D"/>
    <w:pPr>
      <w:ind w:right="-1050" w:firstLine="720"/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826C7D"/>
    <w:pPr>
      <w:ind w:left="780"/>
      <w:jc w:val="both"/>
    </w:pPr>
    <w:rPr>
      <w:sz w:val="24"/>
    </w:rPr>
  </w:style>
  <w:style w:type="paragraph" w:customStyle="1" w:styleId="af7">
    <w:name w:val="Знак"/>
    <w:basedOn w:val="a"/>
    <w:uiPriority w:val="99"/>
    <w:rsid w:val="00826C7D"/>
    <w:pPr>
      <w:widowControl w:val="0"/>
      <w:spacing w:after="160" w:line="240" w:lineRule="exact"/>
      <w:jc w:val="right"/>
    </w:pPr>
    <w:rPr>
      <w:lang w:val="en-GB"/>
    </w:rPr>
  </w:style>
  <w:style w:type="paragraph" w:styleId="af8">
    <w:name w:val="header"/>
    <w:basedOn w:val="a"/>
    <w:link w:val="1b"/>
    <w:uiPriority w:val="99"/>
    <w:rsid w:val="00826C7D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8"/>
    <w:uiPriority w:val="99"/>
    <w:semiHidden/>
    <w:locked/>
    <w:rsid w:val="00284999"/>
    <w:rPr>
      <w:rFonts w:cs="Times New Roman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826C7D"/>
    <w:rPr>
      <w:rFonts w:ascii="Verdana" w:hAnsi="Verdana" w:cs="Verdana"/>
      <w:lang w:val="en-US"/>
    </w:rPr>
  </w:style>
  <w:style w:type="paragraph" w:customStyle="1" w:styleId="1c">
    <w:name w:val="Без интервала1"/>
    <w:uiPriority w:val="99"/>
    <w:rsid w:val="00826C7D"/>
    <w:pPr>
      <w:suppressAutoHyphens/>
    </w:pPr>
    <w:rPr>
      <w:rFonts w:ascii="Calibri" w:hAnsi="Calibri" w:cs="Calibri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826C7D"/>
    <w:pPr>
      <w:ind w:firstLine="851"/>
      <w:jc w:val="both"/>
    </w:pPr>
    <w:rPr>
      <w:sz w:val="24"/>
    </w:rPr>
  </w:style>
  <w:style w:type="paragraph" w:styleId="af9">
    <w:name w:val="No Spacing"/>
    <w:link w:val="1d"/>
    <w:uiPriority w:val="99"/>
    <w:qFormat/>
    <w:rsid w:val="00826C7D"/>
    <w:pPr>
      <w:suppressAutoHyphens/>
    </w:pPr>
    <w:rPr>
      <w:rFonts w:ascii="Calibri" w:hAnsi="Calibri" w:cs="Calibri"/>
      <w:lang w:eastAsia="zh-CN"/>
    </w:rPr>
  </w:style>
  <w:style w:type="paragraph" w:customStyle="1" w:styleId="1e">
    <w:name w:val="Обычный1"/>
    <w:uiPriority w:val="99"/>
    <w:rsid w:val="00826C7D"/>
    <w:pPr>
      <w:widowControl w:val="0"/>
      <w:suppressAutoHyphens/>
      <w:spacing w:line="300" w:lineRule="auto"/>
      <w:ind w:firstLine="720"/>
      <w:jc w:val="both"/>
    </w:pPr>
    <w:rPr>
      <w:szCs w:val="20"/>
      <w:lang w:eastAsia="zh-CN"/>
    </w:rPr>
  </w:style>
  <w:style w:type="paragraph" w:customStyle="1" w:styleId="ConsNormal">
    <w:name w:val="ConsNormal"/>
    <w:uiPriority w:val="99"/>
    <w:rsid w:val="00826C7D"/>
    <w:pPr>
      <w:widowControl w:val="0"/>
      <w:suppressAutoHyphens/>
      <w:snapToGrid w:val="0"/>
      <w:ind w:firstLine="720"/>
    </w:pPr>
    <w:rPr>
      <w:rFonts w:ascii="Arial" w:hAnsi="Arial" w:cs="Arial"/>
      <w:szCs w:val="20"/>
      <w:lang w:eastAsia="zh-CN"/>
    </w:rPr>
  </w:style>
  <w:style w:type="paragraph" w:styleId="afa">
    <w:name w:val="Normal (Web)"/>
    <w:aliases w:val="Обычный (веб)1,Обычный (веб) Знак,Обычный (веб) Знак1,Обычный (веб) Знак Знак"/>
    <w:basedOn w:val="a"/>
    <w:uiPriority w:val="99"/>
    <w:rsid w:val="00826C7D"/>
    <w:pPr>
      <w:spacing w:after="24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26C7D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2">
    <w:name w:val="Основной текст 21"/>
    <w:basedOn w:val="a"/>
    <w:uiPriority w:val="99"/>
    <w:rsid w:val="00826C7D"/>
    <w:pPr>
      <w:jc w:val="both"/>
    </w:pPr>
    <w:rPr>
      <w:sz w:val="24"/>
    </w:rPr>
  </w:style>
  <w:style w:type="paragraph" w:customStyle="1" w:styleId="afb">
    <w:name w:val="Знак Знак Знак Знак Знак Знак"/>
    <w:basedOn w:val="a"/>
    <w:uiPriority w:val="99"/>
    <w:rsid w:val="00826C7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Текст1"/>
    <w:basedOn w:val="a"/>
    <w:uiPriority w:val="99"/>
    <w:rsid w:val="00826C7D"/>
    <w:rPr>
      <w:rFonts w:ascii="Courier New" w:hAnsi="Courier New" w:cs="Courier New"/>
    </w:rPr>
  </w:style>
  <w:style w:type="paragraph" w:styleId="afc">
    <w:name w:val="List Paragraph"/>
    <w:basedOn w:val="a"/>
    <w:link w:val="afd"/>
    <w:uiPriority w:val="99"/>
    <w:qFormat/>
    <w:rsid w:val="00826C7D"/>
    <w:pPr>
      <w:ind w:left="720"/>
    </w:pPr>
    <w:rPr>
      <w:sz w:val="24"/>
    </w:rPr>
  </w:style>
  <w:style w:type="paragraph" w:customStyle="1" w:styleId="320">
    <w:name w:val="Основной текст с отступом 32"/>
    <w:basedOn w:val="a"/>
    <w:uiPriority w:val="99"/>
    <w:rsid w:val="00826C7D"/>
    <w:pPr>
      <w:tabs>
        <w:tab w:val="left" w:pos="9639"/>
      </w:tabs>
      <w:spacing w:line="360" w:lineRule="auto"/>
      <w:ind w:firstLine="720"/>
      <w:jc w:val="both"/>
    </w:pPr>
    <w:rPr>
      <w:sz w:val="28"/>
    </w:rPr>
  </w:style>
  <w:style w:type="paragraph" w:customStyle="1" w:styleId="note">
    <w:name w:val="note"/>
    <w:basedOn w:val="a"/>
    <w:uiPriority w:val="99"/>
    <w:rsid w:val="00826C7D"/>
    <w:pPr>
      <w:spacing w:before="280" w:after="280"/>
    </w:pPr>
    <w:rPr>
      <w:sz w:val="24"/>
      <w:szCs w:val="24"/>
    </w:rPr>
  </w:style>
  <w:style w:type="paragraph" w:styleId="afe">
    <w:name w:val="footer"/>
    <w:basedOn w:val="a"/>
    <w:link w:val="1f0"/>
    <w:uiPriority w:val="99"/>
    <w:rsid w:val="00826C7D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e"/>
    <w:uiPriority w:val="99"/>
    <w:semiHidden/>
    <w:locked/>
    <w:rsid w:val="00284999"/>
    <w:rPr>
      <w:rFonts w:cs="Times New Roman"/>
      <w:sz w:val="20"/>
      <w:szCs w:val="20"/>
      <w:lang w:eastAsia="zh-CN"/>
    </w:rPr>
  </w:style>
  <w:style w:type="paragraph" w:styleId="aff">
    <w:name w:val="endnote text"/>
    <w:basedOn w:val="a"/>
    <w:link w:val="1f1"/>
    <w:uiPriority w:val="99"/>
    <w:rsid w:val="00826C7D"/>
  </w:style>
  <w:style w:type="character" w:customStyle="1" w:styleId="1f1">
    <w:name w:val="Текст концевой сноски Знак1"/>
    <w:basedOn w:val="a0"/>
    <w:link w:val="aff"/>
    <w:uiPriority w:val="99"/>
    <w:semiHidden/>
    <w:locked/>
    <w:rsid w:val="00284999"/>
    <w:rPr>
      <w:rFonts w:cs="Times New Roman"/>
      <w:sz w:val="20"/>
      <w:szCs w:val="20"/>
      <w:lang w:eastAsia="zh-CN"/>
    </w:rPr>
  </w:style>
  <w:style w:type="paragraph" w:styleId="aff0">
    <w:name w:val="footnote text"/>
    <w:basedOn w:val="a"/>
    <w:link w:val="1f2"/>
    <w:uiPriority w:val="99"/>
    <w:rsid w:val="00826C7D"/>
  </w:style>
  <w:style w:type="character" w:customStyle="1" w:styleId="1f2">
    <w:name w:val="Текст сноски Знак1"/>
    <w:basedOn w:val="a0"/>
    <w:link w:val="aff0"/>
    <w:uiPriority w:val="99"/>
    <w:locked/>
    <w:rsid w:val="00284999"/>
    <w:rPr>
      <w:rFonts w:cs="Times New Roman"/>
      <w:sz w:val="20"/>
      <w:szCs w:val="20"/>
      <w:lang w:eastAsia="zh-CN"/>
    </w:rPr>
  </w:style>
  <w:style w:type="paragraph" w:customStyle="1" w:styleId="221">
    <w:name w:val="Основной текст 22"/>
    <w:basedOn w:val="a"/>
    <w:uiPriority w:val="99"/>
    <w:rsid w:val="00826C7D"/>
    <w:pPr>
      <w:spacing w:after="120" w:line="480" w:lineRule="auto"/>
    </w:pPr>
  </w:style>
  <w:style w:type="paragraph" w:customStyle="1" w:styleId="aff1">
    <w:name w:val="Последний абзац"/>
    <w:basedOn w:val="221"/>
    <w:link w:val="aff2"/>
    <w:rsid w:val="00826C7D"/>
    <w:pPr>
      <w:widowControl w:val="0"/>
      <w:spacing w:after="0" w:line="360" w:lineRule="auto"/>
      <w:ind w:firstLine="709"/>
      <w:jc w:val="both"/>
    </w:pPr>
    <w:rPr>
      <w:sz w:val="28"/>
      <w:szCs w:val="22"/>
    </w:rPr>
  </w:style>
  <w:style w:type="paragraph" w:customStyle="1" w:styleId="112">
    <w:name w:val="Обычный11"/>
    <w:uiPriority w:val="99"/>
    <w:rsid w:val="00826C7D"/>
    <w:pPr>
      <w:widowControl w:val="0"/>
      <w:suppressAutoHyphens/>
      <w:snapToGrid w:val="0"/>
      <w:spacing w:line="300" w:lineRule="auto"/>
      <w:ind w:firstLine="720"/>
      <w:jc w:val="both"/>
    </w:pPr>
    <w:rPr>
      <w:rFonts w:ascii="Calibri" w:hAnsi="Calibri" w:cs="Calibri"/>
      <w:lang w:eastAsia="zh-CN"/>
    </w:rPr>
  </w:style>
  <w:style w:type="paragraph" w:customStyle="1" w:styleId="52">
    <w:name w:val="Знак5 Знак Знак Знак"/>
    <w:basedOn w:val="a"/>
    <w:uiPriority w:val="99"/>
    <w:rsid w:val="00826C7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Indent31">
    <w:name w:val="Body Text Indent 31"/>
    <w:basedOn w:val="a"/>
    <w:uiPriority w:val="99"/>
    <w:rsid w:val="00826C7D"/>
    <w:pPr>
      <w:spacing w:line="360" w:lineRule="auto"/>
      <w:ind w:firstLine="709"/>
      <w:jc w:val="both"/>
    </w:pPr>
    <w:rPr>
      <w:sz w:val="28"/>
    </w:rPr>
  </w:style>
  <w:style w:type="paragraph" w:customStyle="1" w:styleId="1f3">
    <w:name w:val="Знак1"/>
    <w:basedOn w:val="a"/>
    <w:uiPriority w:val="99"/>
    <w:rsid w:val="00826C7D"/>
    <w:rPr>
      <w:rFonts w:ascii="Verdana" w:hAnsi="Verdana" w:cs="Verdana"/>
      <w:lang w:val="en-US"/>
    </w:rPr>
  </w:style>
  <w:style w:type="paragraph" w:customStyle="1" w:styleId="1f4">
    <w:name w:val="1"/>
    <w:basedOn w:val="a"/>
    <w:uiPriority w:val="99"/>
    <w:rsid w:val="00826C7D"/>
    <w:pPr>
      <w:spacing w:after="160" w:line="240" w:lineRule="exact"/>
    </w:pPr>
  </w:style>
  <w:style w:type="paragraph" w:customStyle="1" w:styleId="atlp">
    <w:name w:val="atl_p"/>
    <w:basedOn w:val="a"/>
    <w:uiPriority w:val="99"/>
    <w:rsid w:val="00826C7D"/>
    <w:pPr>
      <w:spacing w:before="280" w:after="280"/>
    </w:pPr>
    <w:rPr>
      <w:sz w:val="24"/>
      <w:szCs w:val="24"/>
    </w:rPr>
  </w:style>
  <w:style w:type="paragraph" w:customStyle="1" w:styleId="ConsPlusTitle">
    <w:name w:val="ConsPlusTitle"/>
    <w:uiPriority w:val="99"/>
    <w:rsid w:val="00826C7D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title0">
    <w:name w:val="consplustitle"/>
    <w:basedOn w:val="a"/>
    <w:uiPriority w:val="99"/>
    <w:rsid w:val="00826C7D"/>
    <w:pPr>
      <w:spacing w:before="280" w:after="280"/>
    </w:pPr>
    <w:rPr>
      <w:sz w:val="24"/>
      <w:szCs w:val="24"/>
    </w:rPr>
  </w:style>
  <w:style w:type="paragraph" w:customStyle="1" w:styleId="a00">
    <w:name w:val="a0"/>
    <w:basedOn w:val="a"/>
    <w:uiPriority w:val="99"/>
    <w:rsid w:val="00826C7D"/>
    <w:pPr>
      <w:spacing w:before="280" w:after="280"/>
    </w:pPr>
    <w:rPr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826C7D"/>
    <w:pPr>
      <w:suppressLineNumbers/>
    </w:pPr>
  </w:style>
  <w:style w:type="paragraph" w:customStyle="1" w:styleId="aff4">
    <w:name w:val="Заголовок таблицы"/>
    <w:basedOn w:val="aff3"/>
    <w:uiPriority w:val="99"/>
    <w:rsid w:val="00826C7D"/>
    <w:pPr>
      <w:jc w:val="center"/>
    </w:pPr>
    <w:rPr>
      <w:b/>
      <w:bCs/>
    </w:rPr>
  </w:style>
  <w:style w:type="paragraph" w:customStyle="1" w:styleId="aff5">
    <w:name w:val="Содержимое врезки"/>
    <w:basedOn w:val="af1"/>
    <w:uiPriority w:val="99"/>
    <w:rsid w:val="00826C7D"/>
  </w:style>
  <w:style w:type="paragraph" w:customStyle="1" w:styleId="230">
    <w:name w:val="Основной текст с отступом 23"/>
    <w:basedOn w:val="a"/>
    <w:uiPriority w:val="99"/>
    <w:rsid w:val="00826C7D"/>
    <w:pPr>
      <w:spacing w:after="120" w:line="480" w:lineRule="auto"/>
      <w:ind w:left="283"/>
    </w:pPr>
  </w:style>
  <w:style w:type="paragraph" w:customStyle="1" w:styleId="321">
    <w:name w:val="Основной текст с отступом 321"/>
    <w:basedOn w:val="a"/>
    <w:uiPriority w:val="99"/>
    <w:rsid w:val="00826C7D"/>
    <w:pPr>
      <w:spacing w:after="120"/>
      <w:ind w:left="283"/>
    </w:pPr>
    <w:rPr>
      <w:sz w:val="16"/>
      <w:szCs w:val="16"/>
    </w:rPr>
  </w:style>
  <w:style w:type="paragraph" w:customStyle="1" w:styleId="240">
    <w:name w:val="Основной текст с отступом 24"/>
    <w:basedOn w:val="a"/>
    <w:uiPriority w:val="99"/>
    <w:rsid w:val="00826C7D"/>
    <w:pPr>
      <w:spacing w:after="120" w:line="480" w:lineRule="auto"/>
      <w:ind w:left="283"/>
    </w:pPr>
  </w:style>
  <w:style w:type="paragraph" w:customStyle="1" w:styleId="250">
    <w:name w:val="Основной текст с отступом 25"/>
    <w:basedOn w:val="a"/>
    <w:uiPriority w:val="99"/>
    <w:rsid w:val="00826C7D"/>
    <w:pPr>
      <w:spacing w:after="120" w:line="480" w:lineRule="auto"/>
      <w:ind w:left="283"/>
    </w:pPr>
  </w:style>
  <w:style w:type="paragraph" w:customStyle="1" w:styleId="231">
    <w:name w:val="Основной текст 23"/>
    <w:basedOn w:val="a"/>
    <w:uiPriority w:val="99"/>
    <w:rsid w:val="00826C7D"/>
    <w:pPr>
      <w:suppressAutoHyphens w:val="0"/>
      <w:spacing w:after="120" w:line="480" w:lineRule="auto"/>
    </w:pPr>
  </w:style>
  <w:style w:type="paragraph" w:customStyle="1" w:styleId="260">
    <w:name w:val="Основной текст с отступом 26"/>
    <w:basedOn w:val="a"/>
    <w:uiPriority w:val="99"/>
    <w:rsid w:val="00826C7D"/>
    <w:pPr>
      <w:spacing w:after="120" w:line="480" w:lineRule="auto"/>
      <w:ind w:left="283"/>
    </w:pPr>
  </w:style>
  <w:style w:type="paragraph" w:customStyle="1" w:styleId="Standard">
    <w:name w:val="Standard"/>
    <w:uiPriority w:val="99"/>
    <w:rsid w:val="000C796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27">
    <w:name w:val="Body Text Indent 2"/>
    <w:basedOn w:val="a"/>
    <w:link w:val="28"/>
    <w:uiPriority w:val="99"/>
    <w:semiHidden/>
    <w:rsid w:val="000E7694"/>
    <w:pPr>
      <w:spacing w:after="120" w:line="480" w:lineRule="auto"/>
      <w:ind w:left="283"/>
    </w:pPr>
    <w:rPr>
      <w:sz w:val="24"/>
    </w:r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284999"/>
    <w:rPr>
      <w:rFonts w:cs="Times New Roman"/>
      <w:sz w:val="20"/>
      <w:szCs w:val="20"/>
      <w:lang w:eastAsia="zh-CN"/>
    </w:rPr>
  </w:style>
  <w:style w:type="character" w:customStyle="1" w:styleId="222">
    <w:name w:val="Основной текст с отступом 2 Знак2"/>
    <w:uiPriority w:val="99"/>
    <w:semiHidden/>
    <w:rsid w:val="000E7694"/>
    <w:rPr>
      <w:lang w:eastAsia="zh-CN"/>
    </w:rPr>
  </w:style>
  <w:style w:type="paragraph" w:styleId="36">
    <w:name w:val="Body Text Indent 3"/>
    <w:basedOn w:val="a"/>
    <w:link w:val="37"/>
    <w:uiPriority w:val="99"/>
    <w:semiHidden/>
    <w:rsid w:val="000E7694"/>
    <w:pPr>
      <w:spacing w:after="120"/>
      <w:ind w:left="283"/>
    </w:pPr>
    <w:rPr>
      <w:sz w:val="24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locked/>
    <w:rsid w:val="00284999"/>
    <w:rPr>
      <w:rFonts w:cs="Times New Roman"/>
      <w:sz w:val="16"/>
      <w:szCs w:val="16"/>
      <w:lang w:eastAsia="zh-CN"/>
    </w:rPr>
  </w:style>
  <w:style w:type="character" w:customStyle="1" w:styleId="311">
    <w:name w:val="Основной текст с отступом 3 Знак1"/>
    <w:uiPriority w:val="99"/>
    <w:semiHidden/>
    <w:rsid w:val="000E7694"/>
    <w:rPr>
      <w:sz w:val="16"/>
      <w:lang w:eastAsia="zh-CN"/>
    </w:rPr>
  </w:style>
  <w:style w:type="paragraph" w:styleId="aff6">
    <w:name w:val="Title"/>
    <w:basedOn w:val="a"/>
    <w:link w:val="aff7"/>
    <w:uiPriority w:val="99"/>
    <w:qFormat/>
    <w:rsid w:val="000E7694"/>
    <w:pPr>
      <w:suppressAutoHyphens w:val="0"/>
      <w:jc w:val="center"/>
    </w:pPr>
    <w:rPr>
      <w:b/>
      <w:sz w:val="24"/>
    </w:rPr>
  </w:style>
  <w:style w:type="character" w:customStyle="1" w:styleId="aff7">
    <w:name w:val="Название Знак"/>
    <w:basedOn w:val="a0"/>
    <w:link w:val="aff6"/>
    <w:uiPriority w:val="99"/>
    <w:locked/>
    <w:rsid w:val="00284999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character" w:customStyle="1" w:styleId="29">
    <w:name w:val="Название Знак2"/>
    <w:uiPriority w:val="99"/>
    <w:rsid w:val="000E7694"/>
    <w:rPr>
      <w:rFonts w:ascii="Cambria" w:hAnsi="Cambria"/>
      <w:b/>
      <w:kern w:val="28"/>
      <w:sz w:val="32"/>
      <w:lang w:eastAsia="zh-CN"/>
    </w:rPr>
  </w:style>
  <w:style w:type="paragraph" w:styleId="2a">
    <w:name w:val="Body Text 2"/>
    <w:basedOn w:val="a"/>
    <w:link w:val="213"/>
    <w:uiPriority w:val="99"/>
    <w:rsid w:val="00453026"/>
    <w:pPr>
      <w:spacing w:after="120" w:line="480" w:lineRule="auto"/>
    </w:pPr>
  </w:style>
  <w:style w:type="character" w:customStyle="1" w:styleId="213">
    <w:name w:val="Основной текст 2 Знак1"/>
    <w:basedOn w:val="a0"/>
    <w:link w:val="2a"/>
    <w:uiPriority w:val="99"/>
    <w:locked/>
    <w:rsid w:val="00453026"/>
    <w:rPr>
      <w:rFonts w:cs="Times New Roman"/>
      <w:lang w:eastAsia="zh-CN"/>
    </w:rPr>
  </w:style>
  <w:style w:type="paragraph" w:customStyle="1" w:styleId="Textbodyindent">
    <w:name w:val="Text body indent"/>
    <w:basedOn w:val="Standard"/>
    <w:uiPriority w:val="99"/>
    <w:rsid w:val="00453026"/>
    <w:pPr>
      <w:widowControl/>
      <w:spacing w:after="120" w:line="276" w:lineRule="auto"/>
      <w:ind w:left="283"/>
    </w:pPr>
    <w:rPr>
      <w:rFonts w:ascii="Calibri" w:hAnsi="Calibri" w:cs="Calibri"/>
      <w:sz w:val="22"/>
      <w:szCs w:val="22"/>
      <w:lang w:val="ru-RU" w:eastAsia="zh-CN" w:bidi="ar-SA"/>
    </w:rPr>
  </w:style>
  <w:style w:type="character" w:customStyle="1" w:styleId="FontStyle11">
    <w:name w:val="Font Style11"/>
    <w:uiPriority w:val="99"/>
    <w:rsid w:val="004F5F5B"/>
    <w:rPr>
      <w:rFonts w:ascii="Times New Roman" w:hAnsi="Times New Roman"/>
      <w:sz w:val="26"/>
    </w:rPr>
  </w:style>
  <w:style w:type="character" w:styleId="aff8">
    <w:name w:val="Hyperlink"/>
    <w:basedOn w:val="a0"/>
    <w:uiPriority w:val="99"/>
    <w:rsid w:val="002A65CC"/>
    <w:rPr>
      <w:rFonts w:cs="Times New Roman"/>
      <w:color w:val="0000FF"/>
      <w:u w:val="single"/>
    </w:rPr>
  </w:style>
  <w:style w:type="paragraph" w:styleId="aff9">
    <w:name w:val="Block Text"/>
    <w:basedOn w:val="a"/>
    <w:uiPriority w:val="99"/>
    <w:rsid w:val="00430614"/>
    <w:pPr>
      <w:widowControl w:val="0"/>
      <w:suppressAutoHyphens w:val="0"/>
      <w:spacing w:before="120" w:line="320" w:lineRule="exact"/>
      <w:ind w:left="1540" w:right="1500"/>
      <w:jc w:val="center"/>
    </w:pPr>
    <w:rPr>
      <w:sz w:val="28"/>
      <w:lang w:eastAsia="ru-RU"/>
    </w:rPr>
  </w:style>
  <w:style w:type="paragraph" w:styleId="affa">
    <w:name w:val="Balloon Text"/>
    <w:basedOn w:val="a"/>
    <w:link w:val="affb"/>
    <w:uiPriority w:val="99"/>
    <w:semiHidden/>
    <w:rsid w:val="001A587D"/>
    <w:rPr>
      <w:rFonts w:ascii="Segoe UI" w:hAnsi="Segoe UI"/>
      <w:sz w:val="18"/>
      <w:szCs w:val="18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sid w:val="001A587D"/>
    <w:rPr>
      <w:rFonts w:ascii="Segoe UI" w:hAnsi="Segoe UI" w:cs="Times New Roman"/>
      <w:sz w:val="18"/>
      <w:lang w:eastAsia="zh-CN"/>
    </w:rPr>
  </w:style>
  <w:style w:type="character" w:customStyle="1" w:styleId="aff2">
    <w:name w:val="Последний абзац Знак"/>
    <w:basedOn w:val="a0"/>
    <w:link w:val="aff1"/>
    <w:locked/>
    <w:rsid w:val="0093504D"/>
    <w:rPr>
      <w:rFonts w:eastAsia="Times New Roman" w:cs="Times New Roman"/>
      <w:sz w:val="22"/>
      <w:szCs w:val="22"/>
      <w:lang w:eastAsia="zh-CN"/>
    </w:rPr>
  </w:style>
  <w:style w:type="character" w:customStyle="1" w:styleId="1d">
    <w:name w:val="Без интервала Знак1"/>
    <w:basedOn w:val="a0"/>
    <w:link w:val="af9"/>
    <w:uiPriority w:val="99"/>
    <w:locked/>
    <w:rsid w:val="00345BF3"/>
    <w:rPr>
      <w:rFonts w:ascii="Calibri" w:hAnsi="Calibri" w:cs="Calibri"/>
      <w:sz w:val="22"/>
      <w:szCs w:val="22"/>
      <w:lang w:val="ru-RU" w:eastAsia="zh-CN" w:bidi="ar-SA"/>
    </w:rPr>
  </w:style>
  <w:style w:type="paragraph" w:customStyle="1" w:styleId="2b">
    <w:name w:val="Без интервала2"/>
    <w:uiPriority w:val="99"/>
    <w:rsid w:val="00345BF3"/>
    <w:pPr>
      <w:suppressAutoHyphens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345B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8">
    <w:name w:val="Без интервала3"/>
    <w:link w:val="NoSpacingChar"/>
    <w:uiPriority w:val="99"/>
    <w:rsid w:val="00C16FFD"/>
    <w:pPr>
      <w:suppressAutoHyphens/>
    </w:pPr>
    <w:rPr>
      <w:rFonts w:ascii="Calibri" w:hAnsi="Calibri" w:cs="Calibri"/>
      <w:lang w:eastAsia="zh-CN"/>
    </w:rPr>
  </w:style>
  <w:style w:type="character" w:customStyle="1" w:styleId="NoSpacingChar">
    <w:name w:val="No Spacing Char"/>
    <w:basedOn w:val="a0"/>
    <w:link w:val="38"/>
    <w:uiPriority w:val="99"/>
    <w:locked/>
    <w:rsid w:val="00C16FFD"/>
    <w:rPr>
      <w:rFonts w:ascii="Calibri" w:hAnsi="Calibri" w:cs="Calibri"/>
      <w:sz w:val="22"/>
      <w:szCs w:val="22"/>
      <w:lang w:val="ru-RU" w:eastAsia="zh-CN" w:bidi="ar-SA"/>
    </w:rPr>
  </w:style>
  <w:style w:type="character" w:customStyle="1" w:styleId="afd">
    <w:name w:val="Абзац списка Знак"/>
    <w:link w:val="afc"/>
    <w:uiPriority w:val="99"/>
    <w:locked/>
    <w:rsid w:val="00F6055C"/>
    <w:rPr>
      <w:sz w:val="24"/>
      <w:lang w:eastAsia="zh-CN"/>
    </w:rPr>
  </w:style>
  <w:style w:type="character" w:styleId="affc">
    <w:name w:val="footnote reference"/>
    <w:basedOn w:val="a0"/>
    <w:uiPriority w:val="99"/>
    <w:semiHidden/>
    <w:locked/>
    <w:rsid w:val="00CC71E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E64BF7"/>
  </w:style>
  <w:style w:type="character" w:styleId="affd">
    <w:name w:val="Emphasis"/>
    <w:basedOn w:val="a0"/>
    <w:uiPriority w:val="99"/>
    <w:qFormat/>
    <w:rsid w:val="008A331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stat.ru/news/view/1733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58FB-8BAC-4FA8-89D5-11EC6C81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39</Pages>
  <Words>14160</Words>
  <Characters>91531</Characters>
  <Application>Microsoft Office Word</Application>
  <DocSecurity>0</DocSecurity>
  <Lines>762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</vt:lpstr>
    </vt:vector>
  </TitlesOfParts>
  <Company>Мэрия городского округа Тольятти</Company>
  <LinksUpToDate>false</LinksUpToDate>
  <CharactersWithSpaces>105481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</dc:title>
  <dc:subject/>
  <dc:creator>Пользователь</dc:creator>
  <cp:keywords/>
  <dc:description/>
  <cp:lastModifiedBy>пользователь</cp:lastModifiedBy>
  <cp:revision>96</cp:revision>
  <cp:lastPrinted>2016-10-27T05:03:00Z</cp:lastPrinted>
  <dcterms:created xsi:type="dcterms:W3CDTF">2016-09-28T06:22:00Z</dcterms:created>
  <dcterms:modified xsi:type="dcterms:W3CDTF">2016-10-28T05:46:00Z</dcterms:modified>
</cp:coreProperties>
</file>