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D294218" w14:textId="77777777" w:rsidR="00A50BA4" w:rsidRPr="00175E32" w:rsidRDefault="00A50BA4" w:rsidP="002C47EC">
      <w:pPr>
        <w:tabs>
          <w:tab w:val="left" w:pos="1560"/>
        </w:tabs>
        <w:spacing w:line="276" w:lineRule="auto"/>
        <w:ind w:firstLine="0"/>
        <w:jc w:val="center"/>
        <w:rPr>
          <w:b/>
          <w:szCs w:val="24"/>
          <w:shd w:val="clear" w:color="auto" w:fill="FFFF00"/>
        </w:rPr>
      </w:pPr>
      <w:r w:rsidRPr="00175E32">
        <w:rPr>
          <w:b/>
          <w:szCs w:val="24"/>
        </w:rPr>
        <w:t>Предварительные итоги</w:t>
      </w:r>
      <w:r w:rsidR="0090607E" w:rsidRPr="00175E32">
        <w:rPr>
          <w:b/>
          <w:szCs w:val="24"/>
        </w:rPr>
        <w:t xml:space="preserve"> </w:t>
      </w:r>
      <w:r w:rsidRPr="00175E32">
        <w:rPr>
          <w:b/>
          <w:szCs w:val="24"/>
        </w:rPr>
        <w:t>социально–экономического развития</w:t>
      </w:r>
      <w:r w:rsidR="001F6122" w:rsidRPr="00175E32">
        <w:rPr>
          <w:b/>
          <w:szCs w:val="24"/>
        </w:rPr>
        <w:t xml:space="preserve"> городского округа Тольятти за </w:t>
      </w:r>
      <w:r w:rsidR="00AA0A92" w:rsidRPr="00175E32">
        <w:rPr>
          <w:b/>
          <w:szCs w:val="24"/>
        </w:rPr>
        <w:t>1</w:t>
      </w:r>
      <w:r w:rsidR="00A55BAC" w:rsidRPr="00175E32">
        <w:rPr>
          <w:b/>
          <w:szCs w:val="24"/>
        </w:rPr>
        <w:t xml:space="preserve"> полугодие</w:t>
      </w:r>
      <w:r w:rsidRPr="00175E32">
        <w:rPr>
          <w:b/>
          <w:szCs w:val="24"/>
        </w:rPr>
        <w:t xml:space="preserve"> 20</w:t>
      </w:r>
      <w:r w:rsidR="000C5517" w:rsidRPr="00175E32">
        <w:rPr>
          <w:b/>
          <w:szCs w:val="24"/>
        </w:rPr>
        <w:t>20</w:t>
      </w:r>
      <w:r w:rsidRPr="00175E32">
        <w:rPr>
          <w:b/>
          <w:szCs w:val="24"/>
        </w:rPr>
        <w:t xml:space="preserve"> года и ожидаемые итоги социально–экономического развития городского округа Тольятти за 20</w:t>
      </w:r>
      <w:r w:rsidR="000C5517" w:rsidRPr="00175E32">
        <w:rPr>
          <w:b/>
          <w:szCs w:val="24"/>
        </w:rPr>
        <w:t>2</w:t>
      </w:r>
      <w:r w:rsidR="00CD4711" w:rsidRPr="00175E32">
        <w:rPr>
          <w:b/>
          <w:szCs w:val="24"/>
        </w:rPr>
        <w:t>0</w:t>
      </w:r>
      <w:r w:rsidRPr="00175E32">
        <w:rPr>
          <w:b/>
          <w:szCs w:val="24"/>
        </w:rPr>
        <w:t xml:space="preserve"> год</w:t>
      </w:r>
    </w:p>
    <w:p w14:paraId="12D96897" w14:textId="77777777" w:rsidR="00A50BA4" w:rsidRPr="00175E32" w:rsidRDefault="00A50BA4" w:rsidP="00443EE9">
      <w:pPr>
        <w:spacing w:line="276" w:lineRule="auto"/>
        <w:jc w:val="center"/>
        <w:rPr>
          <w:b/>
          <w:szCs w:val="24"/>
          <w:shd w:val="clear" w:color="auto" w:fill="FFFF00"/>
        </w:rPr>
      </w:pPr>
    </w:p>
    <w:p w14:paraId="398E227A" w14:textId="77777777" w:rsidR="00E304B0" w:rsidRPr="00175E32" w:rsidRDefault="00C13E7E" w:rsidP="001B16BB">
      <w:pPr>
        <w:suppressAutoHyphens w:val="0"/>
        <w:spacing w:line="276" w:lineRule="auto"/>
        <w:rPr>
          <w:szCs w:val="24"/>
          <w:lang w:eastAsia="ru-RU"/>
        </w:rPr>
      </w:pPr>
      <w:r w:rsidRPr="00175E32">
        <w:rPr>
          <w:szCs w:val="24"/>
          <w:lang w:eastAsia="ru-RU"/>
        </w:rPr>
        <w:t xml:space="preserve">В 2020 году </w:t>
      </w:r>
      <w:r w:rsidR="00EB7B3A" w:rsidRPr="00175E32">
        <w:rPr>
          <w:szCs w:val="24"/>
          <w:lang w:eastAsia="ru-RU"/>
        </w:rPr>
        <w:t xml:space="preserve">на </w:t>
      </w:r>
      <w:r w:rsidRPr="00175E32">
        <w:rPr>
          <w:szCs w:val="24"/>
          <w:lang w:eastAsia="ru-RU"/>
        </w:rPr>
        <w:t>социально-экономическ</w:t>
      </w:r>
      <w:r w:rsidR="00EB7B3A" w:rsidRPr="00175E32">
        <w:rPr>
          <w:szCs w:val="24"/>
          <w:lang w:eastAsia="ru-RU"/>
        </w:rPr>
        <w:t>ое</w:t>
      </w:r>
      <w:r w:rsidRPr="00175E32">
        <w:rPr>
          <w:szCs w:val="24"/>
          <w:lang w:eastAsia="ru-RU"/>
        </w:rPr>
        <w:t xml:space="preserve"> </w:t>
      </w:r>
      <w:r w:rsidR="00EB7B3A" w:rsidRPr="00175E32">
        <w:rPr>
          <w:szCs w:val="24"/>
          <w:lang w:eastAsia="ru-RU"/>
        </w:rPr>
        <w:t xml:space="preserve">развитие </w:t>
      </w:r>
      <w:r w:rsidRPr="00175E32">
        <w:rPr>
          <w:szCs w:val="24"/>
          <w:lang w:eastAsia="ru-RU"/>
        </w:rPr>
        <w:t>городско</w:t>
      </w:r>
      <w:r w:rsidR="00EB7B3A" w:rsidRPr="00175E32">
        <w:rPr>
          <w:szCs w:val="24"/>
          <w:lang w:eastAsia="ru-RU"/>
        </w:rPr>
        <w:t>го</w:t>
      </w:r>
      <w:r w:rsidRPr="00175E32">
        <w:rPr>
          <w:szCs w:val="24"/>
          <w:lang w:eastAsia="ru-RU"/>
        </w:rPr>
        <w:t xml:space="preserve"> округ</w:t>
      </w:r>
      <w:r w:rsidR="00EB7B3A" w:rsidRPr="00175E32">
        <w:rPr>
          <w:szCs w:val="24"/>
          <w:lang w:eastAsia="ru-RU"/>
        </w:rPr>
        <w:t>а</w:t>
      </w:r>
      <w:r w:rsidRPr="00175E32">
        <w:rPr>
          <w:szCs w:val="24"/>
          <w:lang w:eastAsia="ru-RU"/>
        </w:rPr>
        <w:t xml:space="preserve"> Тольятти </w:t>
      </w:r>
      <w:r w:rsidR="00EB7B3A" w:rsidRPr="00175E32">
        <w:rPr>
          <w:szCs w:val="24"/>
          <w:lang w:eastAsia="ru-RU"/>
        </w:rPr>
        <w:t xml:space="preserve">оказывает влияние </w:t>
      </w:r>
      <w:r w:rsidR="00E304B0" w:rsidRPr="00175E32">
        <w:rPr>
          <w:szCs w:val="24"/>
          <w:lang w:eastAsia="ru-RU"/>
        </w:rPr>
        <w:t>эпидемиологическ</w:t>
      </w:r>
      <w:r w:rsidR="00EB7B3A" w:rsidRPr="00175E32">
        <w:rPr>
          <w:szCs w:val="24"/>
          <w:lang w:eastAsia="ru-RU"/>
        </w:rPr>
        <w:t>ая</w:t>
      </w:r>
      <w:r w:rsidR="00E304B0" w:rsidRPr="00175E32">
        <w:rPr>
          <w:szCs w:val="24"/>
          <w:lang w:eastAsia="ru-RU"/>
        </w:rPr>
        <w:t xml:space="preserve"> ситуаци</w:t>
      </w:r>
      <w:r w:rsidR="00EB7B3A" w:rsidRPr="00175E32">
        <w:rPr>
          <w:szCs w:val="24"/>
          <w:lang w:eastAsia="ru-RU"/>
        </w:rPr>
        <w:t>я</w:t>
      </w:r>
      <w:r w:rsidR="00E304B0" w:rsidRPr="00175E32">
        <w:rPr>
          <w:szCs w:val="24"/>
          <w:lang w:eastAsia="ru-RU"/>
        </w:rPr>
        <w:t>, связанн</w:t>
      </w:r>
      <w:r w:rsidR="00EB7B3A" w:rsidRPr="00175E32">
        <w:rPr>
          <w:szCs w:val="24"/>
          <w:lang w:eastAsia="ru-RU"/>
        </w:rPr>
        <w:t>ая</w:t>
      </w:r>
      <w:r w:rsidR="00E304B0" w:rsidRPr="00175E32">
        <w:rPr>
          <w:szCs w:val="24"/>
          <w:lang w:eastAsia="ru-RU"/>
        </w:rPr>
        <w:t xml:space="preserve"> с распространением новой коронавирусной инфекции.</w:t>
      </w:r>
    </w:p>
    <w:p w14:paraId="1CCD6FF3" w14:textId="77777777" w:rsidR="00E304B0" w:rsidRPr="00175E32" w:rsidRDefault="00E304B0" w:rsidP="001B16BB">
      <w:pPr>
        <w:widowControl w:val="0"/>
        <w:suppressAutoHyphens w:val="0"/>
        <w:autoSpaceDE w:val="0"/>
        <w:autoSpaceDN w:val="0"/>
        <w:adjustRightInd w:val="0"/>
        <w:spacing w:line="276" w:lineRule="auto"/>
        <w:rPr>
          <w:rFonts w:eastAsia="Calibri"/>
          <w:szCs w:val="24"/>
          <w:lang w:eastAsia="ru-RU"/>
        </w:rPr>
      </w:pPr>
      <w:r w:rsidRPr="00175E32">
        <w:rPr>
          <w:rFonts w:eastAsia="Calibri"/>
          <w:szCs w:val="24"/>
          <w:lang w:eastAsia="ru-RU"/>
        </w:rPr>
        <w:t>Введенные для борьбы с эпидемией ограничительные меры по самоизоляции, социальному дистанцированию, максимальному переходу на удаленную работу и обучение, прекращению или ограничению работы предприятий и организаций, длительному периоду нерабочих дней с конца марта по середину мая 2020 года обусловили сдерживающий эффект на развитие экономики: снизилась экономическая активность как в базовых отраслях, так и в секторе услуг. В наиболее пострадавшей ситуации оказались отрасли, ориентированные на предоставление услуг в сфере туризма, гостиничного бизнеса, общественного питания, культуры, организации досуга и развлечений, физкультуры и спорта, бытовых услуг, розничной торговли непродовольственными товарами, СМИ.</w:t>
      </w:r>
    </w:p>
    <w:p w14:paraId="104C77A6" w14:textId="77777777" w:rsidR="00E304B0" w:rsidRPr="00175E32" w:rsidRDefault="00E304B0" w:rsidP="001B16BB">
      <w:pPr>
        <w:spacing w:line="276" w:lineRule="auto"/>
        <w:rPr>
          <w:szCs w:val="24"/>
          <w:lang w:eastAsia="ru-RU"/>
        </w:rPr>
      </w:pPr>
      <w:r w:rsidRPr="00175E32">
        <w:rPr>
          <w:szCs w:val="24"/>
          <w:lang w:eastAsia="ru-RU"/>
        </w:rPr>
        <w:t>В сложившихся условиях в 1 полугодии 2020 года в городском округе Тольятти глубже, чем по Самарской области и по Р</w:t>
      </w:r>
      <w:r w:rsidR="007072E7" w:rsidRPr="00175E32">
        <w:rPr>
          <w:szCs w:val="24"/>
          <w:lang w:eastAsia="ru-RU"/>
        </w:rPr>
        <w:t xml:space="preserve">оссийской </w:t>
      </w:r>
      <w:r w:rsidRPr="00175E32">
        <w:rPr>
          <w:szCs w:val="24"/>
          <w:lang w:eastAsia="ru-RU"/>
        </w:rPr>
        <w:t>Ф</w:t>
      </w:r>
      <w:r w:rsidR="007072E7" w:rsidRPr="00175E32">
        <w:rPr>
          <w:szCs w:val="24"/>
          <w:lang w:eastAsia="ru-RU"/>
        </w:rPr>
        <w:t>едерации</w:t>
      </w:r>
      <w:r w:rsidRPr="00175E32">
        <w:rPr>
          <w:szCs w:val="24"/>
          <w:lang w:eastAsia="ru-RU"/>
        </w:rPr>
        <w:t>, снизилось промышленное производство, ухудшились финансовые показатели деятельности предприятий, значительно вырос уровень безработицы, продолжает снижаться численность постоянног</w:t>
      </w:r>
      <w:r w:rsidR="00253F67">
        <w:rPr>
          <w:szCs w:val="24"/>
          <w:lang w:eastAsia="ru-RU"/>
        </w:rPr>
        <w:t>о населения и трудовые ресурсы.</w:t>
      </w:r>
    </w:p>
    <w:p w14:paraId="6096E1E3" w14:textId="77777777" w:rsidR="006B3224" w:rsidRPr="00175E32" w:rsidRDefault="00526B71" w:rsidP="001B16BB">
      <w:pPr>
        <w:spacing w:line="276" w:lineRule="auto"/>
        <w:rPr>
          <w:szCs w:val="24"/>
        </w:rPr>
      </w:pPr>
      <w:r w:rsidRPr="00175E32">
        <w:rPr>
          <w:szCs w:val="24"/>
        </w:rPr>
        <w:t>В</w:t>
      </w:r>
      <w:r w:rsidR="006B3224" w:rsidRPr="00175E32">
        <w:rPr>
          <w:szCs w:val="24"/>
        </w:rPr>
        <w:t xml:space="preserve"> рейтинге городских округов Самарской области, </w:t>
      </w:r>
      <w:r w:rsidR="003D30D1" w:rsidRPr="00175E32">
        <w:rPr>
          <w:szCs w:val="24"/>
        </w:rPr>
        <w:t>опубликованном</w:t>
      </w:r>
      <w:r w:rsidR="006B3224" w:rsidRPr="00175E32">
        <w:rPr>
          <w:szCs w:val="24"/>
        </w:rPr>
        <w:t xml:space="preserve"> </w:t>
      </w:r>
      <w:r w:rsidR="00980D2D" w:rsidRPr="00175E32">
        <w:rPr>
          <w:szCs w:val="24"/>
        </w:rPr>
        <w:t>М</w:t>
      </w:r>
      <w:r w:rsidR="006B3224" w:rsidRPr="00175E32">
        <w:rPr>
          <w:szCs w:val="24"/>
        </w:rPr>
        <w:t>инистерством экономического развития</w:t>
      </w:r>
      <w:r w:rsidR="005A311B" w:rsidRPr="00175E32">
        <w:rPr>
          <w:szCs w:val="24"/>
        </w:rPr>
        <w:t xml:space="preserve"> и</w:t>
      </w:r>
      <w:r w:rsidR="006B3224" w:rsidRPr="00175E32">
        <w:rPr>
          <w:szCs w:val="24"/>
        </w:rPr>
        <w:t xml:space="preserve"> инвестиций Самарской области</w:t>
      </w:r>
      <w:r w:rsidR="003D30D1" w:rsidRPr="00175E32">
        <w:rPr>
          <w:szCs w:val="24"/>
          <w:vertAlign w:val="superscript"/>
        </w:rPr>
        <w:footnoteReference w:id="1"/>
      </w:r>
      <w:r w:rsidR="006B3224" w:rsidRPr="00175E32">
        <w:rPr>
          <w:szCs w:val="24"/>
        </w:rPr>
        <w:t xml:space="preserve">, </w:t>
      </w:r>
      <w:r w:rsidR="004168B6" w:rsidRPr="00175E32">
        <w:rPr>
          <w:szCs w:val="24"/>
        </w:rPr>
        <w:t xml:space="preserve">по </w:t>
      </w:r>
      <w:r w:rsidR="00AA65D6" w:rsidRPr="00175E32">
        <w:rPr>
          <w:szCs w:val="24"/>
        </w:rPr>
        <w:t xml:space="preserve">основным социально-экономическим показателям </w:t>
      </w:r>
      <w:r w:rsidR="00EA2B1A" w:rsidRPr="00175E32">
        <w:rPr>
          <w:szCs w:val="24"/>
        </w:rPr>
        <w:t>по итогам</w:t>
      </w:r>
      <w:r w:rsidR="00AA65D6" w:rsidRPr="00175E32">
        <w:rPr>
          <w:szCs w:val="24"/>
        </w:rPr>
        <w:t xml:space="preserve"> 1 полугоди</w:t>
      </w:r>
      <w:r w:rsidR="00EA2B1A" w:rsidRPr="00175E32">
        <w:rPr>
          <w:szCs w:val="24"/>
        </w:rPr>
        <w:t>я</w:t>
      </w:r>
      <w:r w:rsidR="00AA65D6" w:rsidRPr="00175E32">
        <w:rPr>
          <w:szCs w:val="24"/>
        </w:rPr>
        <w:t xml:space="preserve"> 20</w:t>
      </w:r>
      <w:r w:rsidR="00C13E7E" w:rsidRPr="00175E32">
        <w:rPr>
          <w:szCs w:val="24"/>
        </w:rPr>
        <w:t>20</w:t>
      </w:r>
      <w:r w:rsidR="0049099D" w:rsidRPr="00175E32">
        <w:rPr>
          <w:szCs w:val="24"/>
        </w:rPr>
        <w:t xml:space="preserve"> года городской округ Тольятти </w:t>
      </w:r>
      <w:r w:rsidR="004168B6" w:rsidRPr="00175E32">
        <w:rPr>
          <w:szCs w:val="24"/>
        </w:rPr>
        <w:t xml:space="preserve">занял </w:t>
      </w:r>
      <w:r w:rsidR="001D3079" w:rsidRPr="00175E32">
        <w:rPr>
          <w:szCs w:val="24"/>
        </w:rPr>
        <w:t>четвертое</w:t>
      </w:r>
      <w:r w:rsidR="008512B1" w:rsidRPr="00175E32">
        <w:rPr>
          <w:szCs w:val="24"/>
        </w:rPr>
        <w:t xml:space="preserve"> место</w:t>
      </w:r>
      <w:r w:rsidR="001D3079" w:rsidRPr="00175E32">
        <w:rPr>
          <w:szCs w:val="24"/>
        </w:rPr>
        <w:t xml:space="preserve"> из десяти, (подробная информация по каждому из </w:t>
      </w:r>
      <w:r w:rsidR="002211E1" w:rsidRPr="00175E32">
        <w:rPr>
          <w:szCs w:val="24"/>
        </w:rPr>
        <w:t>восьми</w:t>
      </w:r>
      <w:r w:rsidR="001D3079" w:rsidRPr="00175E32">
        <w:rPr>
          <w:szCs w:val="24"/>
        </w:rPr>
        <w:t xml:space="preserve"> показателей рейтинга содержится в соответствующих разделах)</w:t>
      </w:r>
      <w:r w:rsidR="0049099D" w:rsidRPr="00175E32">
        <w:rPr>
          <w:szCs w:val="24"/>
        </w:rPr>
        <w:t>.</w:t>
      </w:r>
    </w:p>
    <w:p w14:paraId="17649F5A" w14:textId="77777777" w:rsidR="006C4A01" w:rsidRPr="00175E32" w:rsidRDefault="006C4A01" w:rsidP="001B16BB">
      <w:pPr>
        <w:widowControl w:val="0"/>
        <w:suppressAutoHyphens w:val="0"/>
        <w:autoSpaceDE w:val="0"/>
        <w:autoSpaceDN w:val="0"/>
        <w:adjustRightInd w:val="0"/>
        <w:spacing w:line="276" w:lineRule="auto"/>
        <w:rPr>
          <w:szCs w:val="24"/>
          <w:lang w:eastAsia="ru-RU"/>
        </w:rPr>
      </w:pPr>
      <w:r w:rsidRPr="00175E32">
        <w:rPr>
          <w:rFonts w:eastAsia="Calibri"/>
          <w:spacing w:val="-6"/>
          <w:szCs w:val="24"/>
          <w:lang w:eastAsia="ru-RU"/>
        </w:rPr>
        <w:t>В целях сглаживания негативных эффектов, возникших в результате распространения коронавируса, Правительством Р</w:t>
      </w:r>
      <w:r w:rsidR="007072E7" w:rsidRPr="00175E32">
        <w:rPr>
          <w:rFonts w:eastAsia="Calibri"/>
          <w:spacing w:val="-6"/>
          <w:szCs w:val="24"/>
          <w:lang w:eastAsia="ru-RU"/>
        </w:rPr>
        <w:t xml:space="preserve">оссийской </w:t>
      </w:r>
      <w:r w:rsidRPr="00175E32">
        <w:rPr>
          <w:rFonts w:eastAsia="Calibri"/>
          <w:spacing w:val="-6"/>
          <w:szCs w:val="24"/>
          <w:lang w:eastAsia="ru-RU"/>
        </w:rPr>
        <w:t>Ф</w:t>
      </w:r>
      <w:r w:rsidR="007072E7" w:rsidRPr="00175E32">
        <w:rPr>
          <w:rFonts w:eastAsia="Calibri"/>
          <w:spacing w:val="-6"/>
          <w:szCs w:val="24"/>
          <w:lang w:eastAsia="ru-RU"/>
        </w:rPr>
        <w:t>едерации</w:t>
      </w:r>
      <w:r w:rsidRPr="00175E32">
        <w:rPr>
          <w:rFonts w:eastAsia="Calibri"/>
          <w:spacing w:val="-6"/>
          <w:szCs w:val="24"/>
          <w:lang w:eastAsia="ru-RU"/>
        </w:rPr>
        <w:t xml:space="preserve"> и Самарской области был принят ряд неотложных антикризисных мер. </w:t>
      </w:r>
      <w:r w:rsidRPr="00175E32">
        <w:rPr>
          <w:spacing w:val="-2"/>
          <w:szCs w:val="24"/>
          <w:lang w:eastAsia="ru-RU"/>
        </w:rPr>
        <w:t>По мере изменения социально-экономической ситуации меры поддержки экономики постоянно наращиваются и расширяются.</w:t>
      </w:r>
    </w:p>
    <w:p w14:paraId="0A420A07" w14:textId="77777777" w:rsidR="002211E1" w:rsidRPr="00175E32" w:rsidRDefault="002211E1" w:rsidP="001B16BB">
      <w:pPr>
        <w:numPr>
          <w:ilvl w:val="0"/>
          <w:numId w:val="5"/>
        </w:numPr>
        <w:tabs>
          <w:tab w:val="clear" w:pos="0"/>
          <w:tab w:val="left" w:pos="142"/>
          <w:tab w:val="num" w:pos="432"/>
          <w:tab w:val="left" w:pos="9720"/>
        </w:tabs>
        <w:suppressAutoHyphens w:val="0"/>
        <w:spacing w:line="276" w:lineRule="auto"/>
        <w:ind w:left="0" w:firstLine="709"/>
        <w:contextualSpacing/>
        <w:textAlignment w:val="top"/>
        <w:rPr>
          <w:szCs w:val="24"/>
          <w:lang w:eastAsia="ru-RU"/>
        </w:rPr>
      </w:pPr>
      <w:r w:rsidRPr="00175E32">
        <w:rPr>
          <w:szCs w:val="24"/>
          <w:lang w:eastAsia="ru-RU"/>
        </w:rPr>
        <w:t xml:space="preserve">В целях решения вопросов по оказанию мер поддержки предприятиям и организациям при администрации </w:t>
      </w:r>
      <w:r w:rsidRPr="00175E32">
        <w:rPr>
          <w:shd w:val="clear" w:color="auto" w:fill="FFFFFF"/>
        </w:rPr>
        <w:t xml:space="preserve">городского округа Тольятти </w:t>
      </w:r>
      <w:r w:rsidRPr="00175E32">
        <w:rPr>
          <w:szCs w:val="24"/>
          <w:lang w:eastAsia="ru-RU"/>
        </w:rPr>
        <w:t xml:space="preserve">создан городской штаб по повышению устойчивости экономики в ходе заседаний которого рассматриваются проблемные вопросы, возникающие в различных сферах экономической деятельности. Поступающие от участников заседаний предложения о необходимых мерах поддержки предпринимательскому сообществу обсуждаются и направляются для рассмотрения в Правительство Самарской области, осуществляется информационное взаимодействие с предприятиями и организациями </w:t>
      </w:r>
      <w:r w:rsidR="00591ECB" w:rsidRPr="00175E32">
        <w:rPr>
          <w:shd w:val="clear" w:color="auto" w:fill="FFFFFF"/>
        </w:rPr>
        <w:t>городского округа Тольятти</w:t>
      </w:r>
      <w:r w:rsidRPr="00175E32">
        <w:rPr>
          <w:szCs w:val="24"/>
          <w:lang w:eastAsia="ru-RU"/>
        </w:rPr>
        <w:t>, оказ</w:t>
      </w:r>
      <w:r w:rsidR="00253F67">
        <w:rPr>
          <w:szCs w:val="24"/>
          <w:lang w:eastAsia="ru-RU"/>
        </w:rPr>
        <w:t>ываются меры поддержки бизнесу.</w:t>
      </w:r>
    </w:p>
    <w:p w14:paraId="22876937" w14:textId="77777777" w:rsidR="00E75C99" w:rsidRPr="00175E32" w:rsidRDefault="00E75C99" w:rsidP="001B16BB">
      <w:pPr>
        <w:pStyle w:val="afb"/>
        <w:widowControl w:val="0"/>
        <w:numPr>
          <w:ilvl w:val="0"/>
          <w:numId w:val="5"/>
        </w:numPr>
        <w:tabs>
          <w:tab w:val="left" w:pos="284"/>
        </w:tabs>
        <w:spacing w:line="276" w:lineRule="auto"/>
        <w:ind w:left="0" w:firstLine="709"/>
        <w:rPr>
          <w:szCs w:val="24"/>
          <w:lang w:eastAsia="ru-RU"/>
        </w:rPr>
      </w:pPr>
      <w:r w:rsidRPr="00175E32">
        <w:rPr>
          <w:szCs w:val="24"/>
          <w:lang w:eastAsia="ru-RU"/>
        </w:rPr>
        <w:t>В настоящее время в городском округе Тольятти ведется активная работа по реализации мероприятий, направленных на достижение целей и задач, поставленных Президентом Российской Федерации в рамках национальных проектов.</w:t>
      </w:r>
    </w:p>
    <w:p w14:paraId="3FDC1F13" w14:textId="77777777" w:rsidR="00262AC7" w:rsidRPr="00175E32" w:rsidRDefault="00262AC7" w:rsidP="001B16BB">
      <w:pPr>
        <w:widowControl w:val="0"/>
        <w:numPr>
          <w:ilvl w:val="0"/>
          <w:numId w:val="5"/>
        </w:numPr>
        <w:tabs>
          <w:tab w:val="clear" w:pos="0"/>
          <w:tab w:val="left" w:pos="142"/>
          <w:tab w:val="num" w:pos="432"/>
          <w:tab w:val="left" w:pos="9720"/>
        </w:tabs>
        <w:suppressAutoHyphens w:val="0"/>
        <w:spacing w:after="160" w:line="276" w:lineRule="auto"/>
        <w:ind w:left="0" w:firstLine="709"/>
        <w:contextualSpacing/>
        <w:textAlignment w:val="top"/>
        <w:rPr>
          <w:szCs w:val="24"/>
          <w:lang w:eastAsia="ru-RU"/>
        </w:rPr>
      </w:pPr>
      <w:r w:rsidRPr="00175E32">
        <w:rPr>
          <w:szCs w:val="24"/>
          <w:lang w:eastAsia="ru-RU"/>
        </w:rPr>
        <w:t xml:space="preserve">В интегральном рейтинге муниципальных образований Самарской области по </w:t>
      </w:r>
      <w:r w:rsidRPr="00175E32">
        <w:rPr>
          <w:szCs w:val="24"/>
          <w:lang w:eastAsia="ru-RU"/>
        </w:rPr>
        <w:lastRenderedPageBreak/>
        <w:t xml:space="preserve">итогам реализации региональных составляющих национальных и федеральных проектов за 6 месяцев 2020 года, подготовленным Региональным проектным офисом, городской округ Тольятти занял 3 место среди городских округов </w:t>
      </w:r>
      <w:r w:rsidR="00253F67">
        <w:rPr>
          <w:szCs w:val="24"/>
          <w:lang w:eastAsia="ru-RU"/>
        </w:rPr>
        <w:t>Самарской области, уступив г.о. </w:t>
      </w:r>
      <w:r w:rsidRPr="00175E32">
        <w:rPr>
          <w:szCs w:val="24"/>
          <w:lang w:eastAsia="ru-RU"/>
        </w:rPr>
        <w:t>Отрадный и г.о. Сызрань</w:t>
      </w:r>
      <w:r w:rsidR="00E75C99" w:rsidRPr="00175E32">
        <w:rPr>
          <w:szCs w:val="24"/>
          <w:lang w:eastAsia="ru-RU"/>
        </w:rPr>
        <w:t>, в том числе занял 1 место по национальным проектам «Здравоохранение» и «Образование».</w:t>
      </w:r>
    </w:p>
    <w:p w14:paraId="7AA0E94D" w14:textId="77777777" w:rsidR="006C4A01" w:rsidRPr="00175E32" w:rsidRDefault="002211E1" w:rsidP="001B16BB">
      <w:pPr>
        <w:spacing w:line="276" w:lineRule="auto"/>
        <w:rPr>
          <w:szCs w:val="24"/>
        </w:rPr>
      </w:pPr>
      <w:r w:rsidRPr="00175E32">
        <w:rPr>
          <w:szCs w:val="24"/>
        </w:rPr>
        <w:t>С учетом сохранения в 2020 году санитарно-эпидемиологических ограничений, жестких внешнеэкономических условий (рецессия в мировой экономике, низкий уровень цен на нефть, низкий курс национальной валюты, перебои в мировой торговле и транспортно-логистических цепочках, сокращение добычи нефти в рамках соглашения стран ОПЕК+ и другое), а также рисков неустойчивого развития экономики (сжатие потребительского спроса, снижение производственной активности) ожидается снижение основных социально-экономических показателей к уровню предыдущего года.</w:t>
      </w:r>
    </w:p>
    <w:p w14:paraId="0A23212B" w14:textId="77777777" w:rsidR="0004675F" w:rsidRPr="00175E32" w:rsidRDefault="00A50BA4" w:rsidP="001B16BB">
      <w:pPr>
        <w:spacing w:line="276" w:lineRule="auto"/>
        <w:rPr>
          <w:szCs w:val="24"/>
        </w:rPr>
      </w:pPr>
      <w:r w:rsidRPr="00175E32">
        <w:rPr>
          <w:szCs w:val="24"/>
        </w:rPr>
        <w:t>Основные показатели социально-экономического развития экономики городского округа Тольятти представлены в следующей таблице:</w:t>
      </w:r>
    </w:p>
    <w:tbl>
      <w:tblPr>
        <w:tblW w:w="9356" w:type="dxa"/>
        <w:tblInd w:w="108" w:type="dxa"/>
        <w:tblLayout w:type="fixed"/>
        <w:tblLook w:val="0000" w:firstRow="0" w:lastRow="0" w:firstColumn="0" w:lastColumn="0" w:noHBand="0" w:noVBand="0"/>
      </w:tblPr>
      <w:tblGrid>
        <w:gridCol w:w="3261"/>
        <w:gridCol w:w="1417"/>
        <w:gridCol w:w="1134"/>
        <w:gridCol w:w="1134"/>
        <w:gridCol w:w="1134"/>
        <w:gridCol w:w="1276"/>
      </w:tblGrid>
      <w:tr w:rsidR="00A50BA4" w:rsidRPr="00175E32" w14:paraId="1DE52008" w14:textId="77777777" w:rsidTr="002473F6">
        <w:trPr>
          <w:tblHeader/>
        </w:trPr>
        <w:tc>
          <w:tcPr>
            <w:tcW w:w="3261" w:type="dxa"/>
            <w:vMerge w:val="restart"/>
            <w:tcBorders>
              <w:top w:val="single" w:sz="4" w:space="0" w:color="000000"/>
              <w:left w:val="single" w:sz="4" w:space="0" w:color="000000"/>
              <w:bottom w:val="single" w:sz="4" w:space="0" w:color="000000"/>
            </w:tcBorders>
          </w:tcPr>
          <w:p w14:paraId="00BC1B35" w14:textId="77777777" w:rsidR="00A50BA4" w:rsidRPr="00175E32" w:rsidRDefault="00A50BA4" w:rsidP="00443EE9">
            <w:pPr>
              <w:snapToGrid w:val="0"/>
              <w:spacing w:line="276" w:lineRule="auto"/>
              <w:rPr>
                <w:szCs w:val="24"/>
                <w:shd w:val="clear" w:color="auto" w:fill="FFFF00"/>
              </w:rPr>
            </w:pPr>
          </w:p>
          <w:p w14:paraId="4B6C76A7" w14:textId="77777777" w:rsidR="00A50BA4" w:rsidRPr="00175E32" w:rsidRDefault="0090607E" w:rsidP="00C13E7E">
            <w:pPr>
              <w:snapToGrid w:val="0"/>
              <w:spacing w:line="276" w:lineRule="auto"/>
              <w:ind w:firstLine="0"/>
              <w:jc w:val="center"/>
              <w:rPr>
                <w:szCs w:val="24"/>
                <w:shd w:val="clear" w:color="auto" w:fill="FFFF00"/>
              </w:rPr>
            </w:pPr>
            <w:r w:rsidRPr="00175E32">
              <w:rPr>
                <w:szCs w:val="24"/>
              </w:rPr>
              <w:t>Наименование показателя</w:t>
            </w:r>
          </w:p>
        </w:tc>
        <w:tc>
          <w:tcPr>
            <w:tcW w:w="1417" w:type="dxa"/>
            <w:vMerge w:val="restart"/>
            <w:tcBorders>
              <w:top w:val="single" w:sz="4" w:space="0" w:color="000000"/>
              <w:left w:val="single" w:sz="4" w:space="0" w:color="000000"/>
              <w:right w:val="single" w:sz="4" w:space="0" w:color="000000"/>
            </w:tcBorders>
          </w:tcPr>
          <w:p w14:paraId="1B10B991" w14:textId="77777777" w:rsidR="00A50BA4" w:rsidRPr="00175E32" w:rsidRDefault="00A50BA4" w:rsidP="00C13E7E">
            <w:pPr>
              <w:ind w:firstLine="0"/>
              <w:jc w:val="center"/>
              <w:rPr>
                <w:szCs w:val="24"/>
              </w:rPr>
            </w:pPr>
            <w:r w:rsidRPr="00175E32">
              <w:rPr>
                <w:szCs w:val="24"/>
              </w:rPr>
              <w:t>Ед</w:t>
            </w:r>
            <w:r w:rsidR="005D4E71" w:rsidRPr="00175E32">
              <w:rPr>
                <w:szCs w:val="24"/>
              </w:rPr>
              <w:t>иница</w:t>
            </w:r>
            <w:r w:rsidRPr="00175E32">
              <w:rPr>
                <w:szCs w:val="24"/>
              </w:rPr>
              <w:t xml:space="preserve"> измерения</w:t>
            </w:r>
          </w:p>
        </w:tc>
        <w:tc>
          <w:tcPr>
            <w:tcW w:w="2268" w:type="dxa"/>
            <w:gridSpan w:val="2"/>
            <w:tcBorders>
              <w:top w:val="single" w:sz="4" w:space="0" w:color="000000"/>
              <w:left w:val="single" w:sz="4" w:space="0" w:color="000000"/>
              <w:bottom w:val="single" w:sz="4" w:space="0" w:color="000000"/>
            </w:tcBorders>
            <w:vAlign w:val="center"/>
          </w:tcPr>
          <w:p w14:paraId="6BABA6E5" w14:textId="77777777" w:rsidR="00A50BA4" w:rsidRPr="00175E32" w:rsidRDefault="001B56FC" w:rsidP="00C13E7E">
            <w:pPr>
              <w:ind w:left="34" w:firstLine="34"/>
              <w:jc w:val="center"/>
              <w:rPr>
                <w:szCs w:val="24"/>
              </w:rPr>
            </w:pPr>
            <w:r w:rsidRPr="00175E32">
              <w:rPr>
                <w:szCs w:val="24"/>
              </w:rPr>
              <w:t>201</w:t>
            </w:r>
            <w:r w:rsidR="000C5517" w:rsidRPr="00175E32">
              <w:rPr>
                <w:szCs w:val="24"/>
              </w:rPr>
              <w:t>9</w:t>
            </w:r>
            <w:r w:rsidRPr="00175E32">
              <w:rPr>
                <w:szCs w:val="24"/>
              </w:rPr>
              <w:t xml:space="preserve"> г.</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14:paraId="332E9A60" w14:textId="77777777" w:rsidR="00A50BA4" w:rsidRPr="00175E32" w:rsidRDefault="00A50BA4" w:rsidP="00C13E7E">
            <w:pPr>
              <w:ind w:left="34" w:firstLine="34"/>
              <w:jc w:val="center"/>
              <w:rPr>
                <w:szCs w:val="24"/>
                <w:shd w:val="clear" w:color="auto" w:fill="FFFF00"/>
              </w:rPr>
            </w:pPr>
            <w:r w:rsidRPr="00175E32">
              <w:rPr>
                <w:szCs w:val="24"/>
              </w:rPr>
              <w:t>20</w:t>
            </w:r>
            <w:r w:rsidR="000C5517" w:rsidRPr="00175E32">
              <w:rPr>
                <w:szCs w:val="24"/>
              </w:rPr>
              <w:t>20</w:t>
            </w:r>
            <w:r w:rsidR="00EC2E92" w:rsidRPr="00175E32">
              <w:rPr>
                <w:szCs w:val="24"/>
              </w:rPr>
              <w:t xml:space="preserve"> </w:t>
            </w:r>
            <w:r w:rsidR="0090607E" w:rsidRPr="00175E32">
              <w:rPr>
                <w:szCs w:val="24"/>
              </w:rPr>
              <w:t>г.</w:t>
            </w:r>
          </w:p>
        </w:tc>
      </w:tr>
      <w:tr w:rsidR="00A50BA4" w:rsidRPr="00175E32" w14:paraId="4697E041" w14:textId="77777777" w:rsidTr="00FD681A">
        <w:trPr>
          <w:tblHeader/>
        </w:trPr>
        <w:tc>
          <w:tcPr>
            <w:tcW w:w="3261" w:type="dxa"/>
            <w:vMerge/>
            <w:tcBorders>
              <w:top w:val="single" w:sz="4" w:space="0" w:color="000000"/>
              <w:left w:val="single" w:sz="4" w:space="0" w:color="000000"/>
              <w:bottom w:val="single" w:sz="4" w:space="0" w:color="000000"/>
            </w:tcBorders>
          </w:tcPr>
          <w:p w14:paraId="7A0A8D7F" w14:textId="77777777" w:rsidR="00A50BA4" w:rsidRPr="00175E32" w:rsidRDefault="00A50BA4" w:rsidP="00443EE9">
            <w:pPr>
              <w:snapToGrid w:val="0"/>
              <w:spacing w:line="276" w:lineRule="auto"/>
              <w:rPr>
                <w:szCs w:val="24"/>
                <w:shd w:val="clear" w:color="auto" w:fill="FFFF00"/>
              </w:rPr>
            </w:pPr>
          </w:p>
        </w:tc>
        <w:tc>
          <w:tcPr>
            <w:tcW w:w="1417" w:type="dxa"/>
            <w:vMerge/>
            <w:tcBorders>
              <w:left w:val="single" w:sz="4" w:space="0" w:color="000000"/>
              <w:bottom w:val="single" w:sz="4" w:space="0" w:color="000000"/>
              <w:right w:val="single" w:sz="4" w:space="0" w:color="000000"/>
            </w:tcBorders>
          </w:tcPr>
          <w:p w14:paraId="01E342FE" w14:textId="77777777" w:rsidR="00A50BA4" w:rsidRPr="00175E32" w:rsidRDefault="00A50BA4" w:rsidP="00443EE9">
            <w:pPr>
              <w:jc w:val="center"/>
              <w:rPr>
                <w:szCs w:val="24"/>
              </w:rPr>
            </w:pPr>
          </w:p>
        </w:tc>
        <w:tc>
          <w:tcPr>
            <w:tcW w:w="1134" w:type="dxa"/>
            <w:tcBorders>
              <w:top w:val="single" w:sz="4" w:space="0" w:color="000000"/>
              <w:left w:val="single" w:sz="4" w:space="0" w:color="000000"/>
              <w:bottom w:val="single" w:sz="4" w:space="0" w:color="000000"/>
            </w:tcBorders>
            <w:vAlign w:val="center"/>
          </w:tcPr>
          <w:p w14:paraId="068DB583" w14:textId="77777777" w:rsidR="00A50BA4" w:rsidRPr="00175E32" w:rsidRDefault="00A50BA4" w:rsidP="00C13E7E">
            <w:pPr>
              <w:ind w:firstLine="0"/>
              <w:jc w:val="center"/>
              <w:rPr>
                <w:szCs w:val="24"/>
              </w:rPr>
            </w:pPr>
            <w:r w:rsidRPr="00175E32">
              <w:rPr>
                <w:szCs w:val="24"/>
              </w:rPr>
              <w:t>январь-июнь</w:t>
            </w:r>
          </w:p>
        </w:tc>
        <w:tc>
          <w:tcPr>
            <w:tcW w:w="1134" w:type="dxa"/>
            <w:tcBorders>
              <w:top w:val="single" w:sz="4" w:space="0" w:color="000000"/>
              <w:left w:val="single" w:sz="4" w:space="0" w:color="000000"/>
              <w:bottom w:val="single" w:sz="4" w:space="0" w:color="000000"/>
            </w:tcBorders>
            <w:vAlign w:val="center"/>
          </w:tcPr>
          <w:p w14:paraId="05790EA7" w14:textId="77777777" w:rsidR="00A50BA4" w:rsidRPr="00175E32" w:rsidRDefault="00A50BA4" w:rsidP="00C13E7E">
            <w:pPr>
              <w:ind w:left="34" w:firstLine="34"/>
              <w:jc w:val="center"/>
              <w:rPr>
                <w:szCs w:val="24"/>
              </w:rPr>
            </w:pPr>
            <w:r w:rsidRPr="00175E32">
              <w:rPr>
                <w:szCs w:val="24"/>
              </w:rPr>
              <w:t>год</w:t>
            </w:r>
          </w:p>
        </w:tc>
        <w:tc>
          <w:tcPr>
            <w:tcW w:w="1134" w:type="dxa"/>
            <w:tcBorders>
              <w:top w:val="single" w:sz="4" w:space="0" w:color="000000"/>
              <w:left w:val="single" w:sz="4" w:space="0" w:color="000000"/>
              <w:bottom w:val="single" w:sz="4" w:space="0" w:color="000000"/>
            </w:tcBorders>
            <w:vAlign w:val="center"/>
          </w:tcPr>
          <w:p w14:paraId="1033DFA6" w14:textId="77777777" w:rsidR="00A50BA4" w:rsidRPr="00175E32" w:rsidRDefault="00A50BA4" w:rsidP="00C13E7E">
            <w:pPr>
              <w:ind w:left="34" w:firstLine="34"/>
              <w:jc w:val="center"/>
              <w:rPr>
                <w:szCs w:val="24"/>
              </w:rPr>
            </w:pPr>
            <w:r w:rsidRPr="00175E32">
              <w:rPr>
                <w:szCs w:val="24"/>
              </w:rPr>
              <w:t>январь-июнь</w:t>
            </w:r>
          </w:p>
        </w:tc>
        <w:tc>
          <w:tcPr>
            <w:tcW w:w="1276" w:type="dxa"/>
            <w:tcBorders>
              <w:top w:val="single" w:sz="4" w:space="0" w:color="000000"/>
              <w:left w:val="single" w:sz="4" w:space="0" w:color="000000"/>
              <w:bottom w:val="single" w:sz="4" w:space="0" w:color="000000"/>
              <w:right w:val="single" w:sz="4" w:space="0" w:color="000000"/>
            </w:tcBorders>
            <w:vAlign w:val="center"/>
          </w:tcPr>
          <w:p w14:paraId="3117965C" w14:textId="77777777" w:rsidR="00A50BA4" w:rsidRPr="00175E32" w:rsidRDefault="00A50BA4" w:rsidP="00C13E7E">
            <w:pPr>
              <w:ind w:left="34" w:firstLine="34"/>
              <w:jc w:val="center"/>
              <w:rPr>
                <w:szCs w:val="24"/>
              </w:rPr>
            </w:pPr>
            <w:r w:rsidRPr="00175E32">
              <w:rPr>
                <w:szCs w:val="24"/>
              </w:rPr>
              <w:t>год</w:t>
            </w:r>
          </w:p>
          <w:p w14:paraId="70F01D10" w14:textId="77777777" w:rsidR="00A50BA4" w:rsidRPr="00175E32" w:rsidRDefault="00A50BA4" w:rsidP="00C13E7E">
            <w:pPr>
              <w:ind w:left="34" w:firstLine="34"/>
              <w:jc w:val="center"/>
              <w:rPr>
                <w:szCs w:val="24"/>
              </w:rPr>
            </w:pPr>
            <w:r w:rsidRPr="00175E32">
              <w:rPr>
                <w:szCs w:val="24"/>
              </w:rPr>
              <w:t>(оценка)</w:t>
            </w:r>
          </w:p>
        </w:tc>
      </w:tr>
      <w:tr w:rsidR="00A50BA4" w:rsidRPr="00175E32" w14:paraId="51D52D49" w14:textId="77777777" w:rsidTr="00FD681A">
        <w:tc>
          <w:tcPr>
            <w:tcW w:w="3261" w:type="dxa"/>
            <w:tcBorders>
              <w:top w:val="single" w:sz="4" w:space="0" w:color="000000"/>
              <w:left w:val="single" w:sz="4" w:space="0" w:color="000000"/>
              <w:bottom w:val="single" w:sz="4" w:space="0" w:color="000000"/>
            </w:tcBorders>
          </w:tcPr>
          <w:p w14:paraId="4B82F7C0" w14:textId="77777777" w:rsidR="00A50BA4" w:rsidRPr="00175E32" w:rsidRDefault="00A50BA4" w:rsidP="0048723E">
            <w:pPr>
              <w:snapToGrid w:val="0"/>
              <w:ind w:firstLine="0"/>
              <w:rPr>
                <w:szCs w:val="24"/>
              </w:rPr>
            </w:pPr>
            <w:r w:rsidRPr="00175E32">
              <w:rPr>
                <w:szCs w:val="24"/>
              </w:rPr>
              <w:t xml:space="preserve">Объем отгруженной промышленной продукции собственного производства (по разделам </w:t>
            </w:r>
            <w:r w:rsidR="00E55EDC" w:rsidRPr="00175E32">
              <w:rPr>
                <w:szCs w:val="24"/>
                <w:lang w:val="en-US"/>
              </w:rPr>
              <w:t>C</w:t>
            </w:r>
            <w:r w:rsidR="00E55EDC" w:rsidRPr="00175E32">
              <w:rPr>
                <w:szCs w:val="24"/>
              </w:rPr>
              <w:t>,</w:t>
            </w:r>
            <w:r w:rsidR="00ED63FC" w:rsidRPr="00175E32">
              <w:rPr>
                <w:szCs w:val="24"/>
              </w:rPr>
              <w:t xml:space="preserve"> </w:t>
            </w:r>
            <w:r w:rsidRPr="00175E32">
              <w:rPr>
                <w:szCs w:val="24"/>
              </w:rPr>
              <w:t>D,</w:t>
            </w:r>
            <w:r w:rsidR="00ED63FC" w:rsidRPr="00175E32">
              <w:rPr>
                <w:szCs w:val="24"/>
              </w:rPr>
              <w:t xml:space="preserve"> </w:t>
            </w:r>
            <w:r w:rsidRPr="00175E32">
              <w:rPr>
                <w:szCs w:val="24"/>
              </w:rPr>
              <w:t>E)</w:t>
            </w:r>
            <w:r w:rsidR="00700331" w:rsidRPr="00175E32">
              <w:rPr>
                <w:szCs w:val="24"/>
                <w:vertAlign w:val="superscript"/>
              </w:rPr>
              <w:t>1</w:t>
            </w:r>
            <w:r w:rsidRPr="00175E32">
              <w:rPr>
                <w:szCs w:val="24"/>
              </w:rPr>
              <w:t xml:space="preserve"> </w:t>
            </w:r>
          </w:p>
        </w:tc>
        <w:tc>
          <w:tcPr>
            <w:tcW w:w="1417" w:type="dxa"/>
            <w:tcBorders>
              <w:top w:val="single" w:sz="4" w:space="0" w:color="000000"/>
              <w:left w:val="single" w:sz="4" w:space="0" w:color="000000"/>
              <w:bottom w:val="single" w:sz="4" w:space="0" w:color="000000"/>
              <w:right w:val="single" w:sz="4" w:space="0" w:color="000000"/>
            </w:tcBorders>
            <w:vAlign w:val="center"/>
          </w:tcPr>
          <w:p w14:paraId="7A676E4B" w14:textId="77777777" w:rsidR="00A50BA4" w:rsidRPr="00175E32" w:rsidRDefault="00B66BBC" w:rsidP="0048723E">
            <w:pPr>
              <w:ind w:firstLine="0"/>
              <w:jc w:val="center"/>
              <w:rPr>
                <w:szCs w:val="24"/>
              </w:rPr>
            </w:pPr>
            <w:r w:rsidRPr="00175E32">
              <w:rPr>
                <w:szCs w:val="24"/>
              </w:rPr>
              <w:t>млрд. рублей</w:t>
            </w:r>
          </w:p>
        </w:tc>
        <w:tc>
          <w:tcPr>
            <w:tcW w:w="1134" w:type="dxa"/>
            <w:tcBorders>
              <w:top w:val="single" w:sz="4" w:space="0" w:color="000000"/>
              <w:left w:val="single" w:sz="4" w:space="0" w:color="000000"/>
              <w:bottom w:val="single" w:sz="4" w:space="0" w:color="000000"/>
            </w:tcBorders>
            <w:vAlign w:val="center"/>
          </w:tcPr>
          <w:p w14:paraId="6CFF2283" w14:textId="77777777" w:rsidR="00A50BA4" w:rsidRPr="00175E32" w:rsidRDefault="00AC7FC1" w:rsidP="0048723E">
            <w:pPr>
              <w:ind w:firstLine="0"/>
              <w:jc w:val="center"/>
              <w:rPr>
                <w:szCs w:val="24"/>
              </w:rPr>
            </w:pPr>
            <w:r w:rsidRPr="00175E32">
              <w:rPr>
                <w:szCs w:val="24"/>
              </w:rPr>
              <w:t>274,7</w:t>
            </w:r>
          </w:p>
        </w:tc>
        <w:tc>
          <w:tcPr>
            <w:tcW w:w="1134" w:type="dxa"/>
            <w:tcBorders>
              <w:top w:val="single" w:sz="4" w:space="0" w:color="000000"/>
              <w:left w:val="single" w:sz="4" w:space="0" w:color="000000"/>
              <w:bottom w:val="single" w:sz="4" w:space="0" w:color="000000"/>
            </w:tcBorders>
            <w:shd w:val="clear" w:color="auto" w:fill="auto"/>
            <w:vAlign w:val="center"/>
          </w:tcPr>
          <w:p w14:paraId="12DBF1C1" w14:textId="77777777" w:rsidR="00A50BA4" w:rsidRPr="00175E32" w:rsidRDefault="00AC7FC1" w:rsidP="0048723E">
            <w:pPr>
              <w:ind w:firstLine="0"/>
              <w:jc w:val="center"/>
              <w:rPr>
                <w:szCs w:val="24"/>
              </w:rPr>
            </w:pPr>
            <w:r w:rsidRPr="00175E32">
              <w:rPr>
                <w:szCs w:val="24"/>
              </w:rPr>
              <w:t>548,1</w:t>
            </w:r>
          </w:p>
        </w:tc>
        <w:tc>
          <w:tcPr>
            <w:tcW w:w="1134" w:type="dxa"/>
            <w:tcBorders>
              <w:top w:val="single" w:sz="4" w:space="0" w:color="000000"/>
              <w:left w:val="single" w:sz="4" w:space="0" w:color="000000"/>
              <w:bottom w:val="single" w:sz="4" w:space="0" w:color="000000"/>
            </w:tcBorders>
            <w:vAlign w:val="center"/>
          </w:tcPr>
          <w:p w14:paraId="1AD63DD3" w14:textId="77777777" w:rsidR="00A50BA4" w:rsidRPr="00175E32" w:rsidRDefault="00AC7FC1" w:rsidP="0048723E">
            <w:pPr>
              <w:ind w:firstLine="0"/>
              <w:jc w:val="center"/>
              <w:rPr>
                <w:szCs w:val="24"/>
                <w:lang w:val="en-US"/>
              </w:rPr>
            </w:pPr>
            <w:r w:rsidRPr="00175E32">
              <w:rPr>
                <w:szCs w:val="24"/>
              </w:rPr>
              <w:t>213,6</w:t>
            </w:r>
          </w:p>
        </w:tc>
        <w:tc>
          <w:tcPr>
            <w:tcW w:w="1276" w:type="dxa"/>
            <w:tcBorders>
              <w:top w:val="single" w:sz="4" w:space="0" w:color="000000"/>
              <w:left w:val="single" w:sz="4" w:space="0" w:color="000000"/>
              <w:bottom w:val="single" w:sz="4" w:space="0" w:color="000000"/>
              <w:right w:val="single" w:sz="4" w:space="0" w:color="000000"/>
            </w:tcBorders>
            <w:vAlign w:val="center"/>
          </w:tcPr>
          <w:p w14:paraId="280E90C9" w14:textId="77777777" w:rsidR="00A50BA4" w:rsidRPr="00175E32" w:rsidRDefault="00AC7FC1" w:rsidP="0048723E">
            <w:pPr>
              <w:ind w:firstLine="0"/>
              <w:jc w:val="center"/>
              <w:rPr>
                <w:szCs w:val="24"/>
              </w:rPr>
            </w:pPr>
            <w:r w:rsidRPr="00175E32">
              <w:rPr>
                <w:szCs w:val="24"/>
              </w:rPr>
              <w:t>506,5</w:t>
            </w:r>
          </w:p>
        </w:tc>
      </w:tr>
      <w:tr w:rsidR="00A50BA4" w:rsidRPr="00175E32" w14:paraId="2C034F45" w14:textId="77777777" w:rsidTr="00FD681A">
        <w:tc>
          <w:tcPr>
            <w:tcW w:w="3261" w:type="dxa"/>
            <w:tcBorders>
              <w:top w:val="single" w:sz="4" w:space="0" w:color="000000"/>
              <w:left w:val="single" w:sz="4" w:space="0" w:color="000000"/>
              <w:bottom w:val="single" w:sz="4" w:space="0" w:color="000000"/>
            </w:tcBorders>
          </w:tcPr>
          <w:p w14:paraId="7A37212F" w14:textId="77777777" w:rsidR="00A50BA4" w:rsidRPr="00175E32" w:rsidRDefault="00A50BA4" w:rsidP="0048723E">
            <w:pPr>
              <w:ind w:firstLine="0"/>
              <w:rPr>
                <w:szCs w:val="24"/>
              </w:rPr>
            </w:pPr>
            <w:r w:rsidRPr="00175E32">
              <w:rPr>
                <w:szCs w:val="24"/>
              </w:rPr>
              <w:t>Индекс промышленного производства</w:t>
            </w:r>
            <w:r w:rsidR="00700331" w:rsidRPr="00175E32">
              <w:rPr>
                <w:szCs w:val="24"/>
                <w:vertAlign w:val="superscript"/>
              </w:rPr>
              <w:t>1</w:t>
            </w:r>
          </w:p>
        </w:tc>
        <w:tc>
          <w:tcPr>
            <w:tcW w:w="1417" w:type="dxa"/>
            <w:tcBorders>
              <w:top w:val="single" w:sz="4" w:space="0" w:color="000000"/>
              <w:left w:val="single" w:sz="4" w:space="0" w:color="000000"/>
              <w:bottom w:val="single" w:sz="4" w:space="0" w:color="000000"/>
              <w:right w:val="single" w:sz="4" w:space="0" w:color="000000"/>
            </w:tcBorders>
            <w:vAlign w:val="center"/>
          </w:tcPr>
          <w:p w14:paraId="3000F5D8" w14:textId="77777777" w:rsidR="00A50BA4" w:rsidRPr="00175E32" w:rsidRDefault="00A50BA4" w:rsidP="0048723E">
            <w:pPr>
              <w:ind w:firstLine="0"/>
              <w:jc w:val="center"/>
              <w:rPr>
                <w:szCs w:val="24"/>
              </w:rPr>
            </w:pPr>
            <w:r w:rsidRPr="00175E32">
              <w:rPr>
                <w:szCs w:val="24"/>
              </w:rPr>
              <w:t>%</w:t>
            </w:r>
          </w:p>
        </w:tc>
        <w:tc>
          <w:tcPr>
            <w:tcW w:w="1134" w:type="dxa"/>
            <w:tcBorders>
              <w:top w:val="single" w:sz="4" w:space="0" w:color="000000"/>
              <w:left w:val="single" w:sz="4" w:space="0" w:color="000000"/>
              <w:bottom w:val="single" w:sz="4" w:space="0" w:color="000000"/>
            </w:tcBorders>
            <w:vAlign w:val="center"/>
          </w:tcPr>
          <w:p w14:paraId="2FE43D5B" w14:textId="77777777" w:rsidR="00A50BA4" w:rsidRPr="00175E32" w:rsidRDefault="00AC7FC1" w:rsidP="0048723E">
            <w:pPr>
              <w:ind w:firstLine="0"/>
              <w:jc w:val="center"/>
              <w:rPr>
                <w:szCs w:val="24"/>
              </w:rPr>
            </w:pPr>
            <w:r w:rsidRPr="00175E32">
              <w:rPr>
                <w:szCs w:val="24"/>
              </w:rPr>
              <w:t>99,8</w:t>
            </w:r>
          </w:p>
        </w:tc>
        <w:tc>
          <w:tcPr>
            <w:tcW w:w="1134" w:type="dxa"/>
            <w:tcBorders>
              <w:top w:val="single" w:sz="4" w:space="0" w:color="000000"/>
              <w:left w:val="single" w:sz="4" w:space="0" w:color="000000"/>
              <w:bottom w:val="single" w:sz="4" w:space="0" w:color="000000"/>
            </w:tcBorders>
            <w:vAlign w:val="center"/>
          </w:tcPr>
          <w:p w14:paraId="62129663" w14:textId="77777777" w:rsidR="00A50BA4" w:rsidRPr="00175E32" w:rsidRDefault="00AC7FC1" w:rsidP="0048723E">
            <w:pPr>
              <w:ind w:firstLine="0"/>
              <w:jc w:val="center"/>
              <w:rPr>
                <w:szCs w:val="24"/>
              </w:rPr>
            </w:pPr>
            <w:r w:rsidRPr="00175E32">
              <w:rPr>
                <w:szCs w:val="24"/>
              </w:rPr>
              <w:t>99,4</w:t>
            </w:r>
          </w:p>
        </w:tc>
        <w:tc>
          <w:tcPr>
            <w:tcW w:w="1134" w:type="dxa"/>
            <w:tcBorders>
              <w:top w:val="single" w:sz="4" w:space="0" w:color="000000"/>
              <w:left w:val="single" w:sz="4" w:space="0" w:color="000000"/>
              <w:bottom w:val="single" w:sz="4" w:space="0" w:color="000000"/>
            </w:tcBorders>
            <w:vAlign w:val="center"/>
          </w:tcPr>
          <w:p w14:paraId="7E2034FE" w14:textId="77777777" w:rsidR="00A50BA4" w:rsidRPr="00175E32" w:rsidRDefault="00AC7FC1" w:rsidP="0048723E">
            <w:pPr>
              <w:ind w:firstLine="0"/>
              <w:jc w:val="center"/>
              <w:rPr>
                <w:szCs w:val="24"/>
              </w:rPr>
            </w:pPr>
            <w:r w:rsidRPr="00175E32">
              <w:rPr>
                <w:szCs w:val="24"/>
              </w:rPr>
              <w:t>84,5</w:t>
            </w:r>
          </w:p>
        </w:tc>
        <w:tc>
          <w:tcPr>
            <w:tcW w:w="1276" w:type="dxa"/>
            <w:tcBorders>
              <w:top w:val="single" w:sz="4" w:space="0" w:color="000000"/>
              <w:left w:val="single" w:sz="4" w:space="0" w:color="000000"/>
              <w:bottom w:val="single" w:sz="4" w:space="0" w:color="000000"/>
              <w:right w:val="single" w:sz="4" w:space="0" w:color="000000"/>
            </w:tcBorders>
            <w:vAlign w:val="center"/>
          </w:tcPr>
          <w:p w14:paraId="349DFD18" w14:textId="77777777" w:rsidR="00A50BA4" w:rsidRPr="00175E32" w:rsidRDefault="00AC7FC1" w:rsidP="0048723E">
            <w:pPr>
              <w:ind w:firstLine="0"/>
              <w:jc w:val="center"/>
              <w:rPr>
                <w:szCs w:val="24"/>
              </w:rPr>
            </w:pPr>
            <w:r w:rsidRPr="00175E32">
              <w:rPr>
                <w:szCs w:val="24"/>
              </w:rPr>
              <w:t>90,4</w:t>
            </w:r>
          </w:p>
        </w:tc>
      </w:tr>
      <w:tr w:rsidR="00B07CA0" w:rsidRPr="00175E32" w14:paraId="17ED09C0" w14:textId="77777777" w:rsidTr="00FD681A">
        <w:tc>
          <w:tcPr>
            <w:tcW w:w="3261" w:type="dxa"/>
            <w:tcBorders>
              <w:top w:val="single" w:sz="4" w:space="0" w:color="000000"/>
              <w:left w:val="single" w:sz="4" w:space="0" w:color="000000"/>
              <w:bottom w:val="single" w:sz="4" w:space="0" w:color="000000"/>
            </w:tcBorders>
          </w:tcPr>
          <w:p w14:paraId="1604E3D5" w14:textId="77777777" w:rsidR="00B07CA0" w:rsidRPr="00175E32" w:rsidRDefault="00B07CA0" w:rsidP="0048723E">
            <w:pPr>
              <w:ind w:firstLine="0"/>
              <w:rPr>
                <w:szCs w:val="24"/>
              </w:rPr>
            </w:pPr>
            <w:r w:rsidRPr="00175E32">
              <w:rPr>
                <w:szCs w:val="24"/>
              </w:rPr>
              <w:t>Инвестиции в основной капитал</w:t>
            </w:r>
          </w:p>
        </w:tc>
        <w:tc>
          <w:tcPr>
            <w:tcW w:w="1417" w:type="dxa"/>
            <w:tcBorders>
              <w:top w:val="single" w:sz="4" w:space="0" w:color="000000"/>
              <w:left w:val="single" w:sz="4" w:space="0" w:color="000000"/>
              <w:bottom w:val="single" w:sz="4" w:space="0" w:color="000000"/>
              <w:right w:val="single" w:sz="4" w:space="0" w:color="000000"/>
            </w:tcBorders>
            <w:vAlign w:val="center"/>
          </w:tcPr>
          <w:p w14:paraId="54A52D15" w14:textId="77777777" w:rsidR="00B07CA0" w:rsidRPr="00175E32" w:rsidRDefault="00B07CA0" w:rsidP="0048723E">
            <w:pPr>
              <w:ind w:firstLine="0"/>
              <w:jc w:val="center"/>
              <w:rPr>
                <w:szCs w:val="24"/>
              </w:rPr>
            </w:pPr>
            <w:r w:rsidRPr="00175E32">
              <w:rPr>
                <w:szCs w:val="24"/>
              </w:rPr>
              <w:t>млрд. рублей</w:t>
            </w:r>
          </w:p>
        </w:tc>
        <w:tc>
          <w:tcPr>
            <w:tcW w:w="1134" w:type="dxa"/>
            <w:tcBorders>
              <w:top w:val="single" w:sz="4" w:space="0" w:color="000000"/>
              <w:left w:val="single" w:sz="4" w:space="0" w:color="000000"/>
              <w:bottom w:val="single" w:sz="4" w:space="0" w:color="000000"/>
            </w:tcBorders>
            <w:vAlign w:val="center"/>
          </w:tcPr>
          <w:p w14:paraId="5FBF5C23" w14:textId="77777777" w:rsidR="00B07CA0" w:rsidRPr="00175E32" w:rsidRDefault="00B07CA0" w:rsidP="0048723E">
            <w:pPr>
              <w:ind w:firstLine="0"/>
              <w:jc w:val="center"/>
              <w:rPr>
                <w:szCs w:val="24"/>
              </w:rPr>
            </w:pPr>
            <w:r w:rsidRPr="00175E32">
              <w:rPr>
                <w:szCs w:val="24"/>
              </w:rPr>
              <w:t>9,9</w:t>
            </w:r>
            <w:r w:rsidRPr="00175E32">
              <w:rPr>
                <w:szCs w:val="24"/>
                <w:vertAlign w:val="superscript"/>
              </w:rPr>
              <w:t>1</w:t>
            </w:r>
          </w:p>
        </w:tc>
        <w:tc>
          <w:tcPr>
            <w:tcW w:w="1134" w:type="dxa"/>
            <w:tcBorders>
              <w:top w:val="single" w:sz="4" w:space="0" w:color="000000"/>
              <w:left w:val="single" w:sz="4" w:space="0" w:color="000000"/>
              <w:bottom w:val="single" w:sz="4" w:space="0" w:color="000000"/>
            </w:tcBorders>
            <w:vAlign w:val="center"/>
          </w:tcPr>
          <w:p w14:paraId="4B3E9EEE" w14:textId="77777777" w:rsidR="00B07CA0" w:rsidRPr="00175E32" w:rsidRDefault="00B07CA0" w:rsidP="0048723E">
            <w:pPr>
              <w:ind w:firstLine="0"/>
              <w:jc w:val="center"/>
              <w:rPr>
                <w:szCs w:val="24"/>
              </w:rPr>
            </w:pPr>
            <w:r w:rsidRPr="00175E32">
              <w:rPr>
                <w:szCs w:val="24"/>
              </w:rPr>
              <w:t>35,0</w:t>
            </w:r>
            <w:r w:rsidRPr="00175E32">
              <w:rPr>
                <w:szCs w:val="24"/>
                <w:vertAlign w:val="superscript"/>
              </w:rPr>
              <w:t>2</w:t>
            </w:r>
          </w:p>
        </w:tc>
        <w:tc>
          <w:tcPr>
            <w:tcW w:w="1134" w:type="dxa"/>
            <w:tcBorders>
              <w:top w:val="single" w:sz="4" w:space="0" w:color="000000"/>
              <w:left w:val="single" w:sz="4" w:space="0" w:color="000000"/>
              <w:bottom w:val="single" w:sz="4" w:space="0" w:color="000000"/>
            </w:tcBorders>
            <w:vAlign w:val="center"/>
          </w:tcPr>
          <w:p w14:paraId="3C63DFBC" w14:textId="77777777" w:rsidR="00B07CA0" w:rsidRPr="00175E32" w:rsidRDefault="00B07CA0" w:rsidP="0048723E">
            <w:pPr>
              <w:ind w:firstLine="0"/>
              <w:jc w:val="center"/>
              <w:rPr>
                <w:szCs w:val="24"/>
              </w:rPr>
            </w:pPr>
            <w:r w:rsidRPr="00175E32">
              <w:rPr>
                <w:szCs w:val="24"/>
              </w:rPr>
              <w:t>13,5</w:t>
            </w:r>
            <w:r w:rsidRPr="00175E32">
              <w:rPr>
                <w:szCs w:val="24"/>
                <w:vertAlign w:val="superscript"/>
              </w:rPr>
              <w:t>1</w:t>
            </w:r>
          </w:p>
        </w:tc>
        <w:tc>
          <w:tcPr>
            <w:tcW w:w="1276" w:type="dxa"/>
            <w:tcBorders>
              <w:top w:val="single" w:sz="4" w:space="0" w:color="000000"/>
              <w:left w:val="single" w:sz="4" w:space="0" w:color="000000"/>
              <w:bottom w:val="single" w:sz="4" w:space="0" w:color="000000"/>
              <w:right w:val="single" w:sz="4" w:space="0" w:color="000000"/>
            </w:tcBorders>
            <w:vAlign w:val="center"/>
          </w:tcPr>
          <w:p w14:paraId="5E8B0FE1" w14:textId="77777777" w:rsidR="00B07CA0" w:rsidRPr="00175E32" w:rsidRDefault="00B07CA0" w:rsidP="0048723E">
            <w:pPr>
              <w:ind w:firstLine="0"/>
              <w:jc w:val="center"/>
              <w:rPr>
                <w:szCs w:val="24"/>
              </w:rPr>
            </w:pPr>
            <w:r w:rsidRPr="00175E32">
              <w:rPr>
                <w:szCs w:val="24"/>
              </w:rPr>
              <w:t>40,1</w:t>
            </w:r>
            <w:r w:rsidRPr="00175E32">
              <w:rPr>
                <w:szCs w:val="24"/>
                <w:vertAlign w:val="superscript"/>
              </w:rPr>
              <w:t>2</w:t>
            </w:r>
          </w:p>
        </w:tc>
      </w:tr>
      <w:tr w:rsidR="00B07CA0" w:rsidRPr="00175E32" w14:paraId="3B4683FB" w14:textId="77777777" w:rsidTr="00FD681A">
        <w:tc>
          <w:tcPr>
            <w:tcW w:w="3261" w:type="dxa"/>
            <w:tcBorders>
              <w:top w:val="single" w:sz="4" w:space="0" w:color="000000"/>
              <w:left w:val="single" w:sz="4" w:space="0" w:color="000000"/>
              <w:bottom w:val="single" w:sz="4" w:space="0" w:color="000000"/>
            </w:tcBorders>
          </w:tcPr>
          <w:p w14:paraId="7B9BCA83" w14:textId="77777777" w:rsidR="00B07CA0" w:rsidRPr="00175E32" w:rsidRDefault="00B07CA0" w:rsidP="0048723E">
            <w:pPr>
              <w:ind w:firstLine="0"/>
              <w:rPr>
                <w:szCs w:val="24"/>
              </w:rPr>
            </w:pPr>
            <w:r w:rsidRPr="00175E32">
              <w:rPr>
                <w:szCs w:val="24"/>
              </w:rPr>
              <w:t>Прибыль прибыльных организаций до налогообложения</w:t>
            </w:r>
            <w:r w:rsidRPr="00175E32">
              <w:rPr>
                <w:szCs w:val="24"/>
                <w:vertAlign w:val="superscript"/>
              </w:rPr>
              <w:t>1</w:t>
            </w:r>
          </w:p>
        </w:tc>
        <w:tc>
          <w:tcPr>
            <w:tcW w:w="1417" w:type="dxa"/>
            <w:tcBorders>
              <w:top w:val="single" w:sz="4" w:space="0" w:color="000000"/>
              <w:left w:val="single" w:sz="4" w:space="0" w:color="000000"/>
              <w:bottom w:val="single" w:sz="4" w:space="0" w:color="000000"/>
              <w:right w:val="single" w:sz="4" w:space="0" w:color="000000"/>
            </w:tcBorders>
            <w:vAlign w:val="center"/>
          </w:tcPr>
          <w:p w14:paraId="22B4F389" w14:textId="77777777" w:rsidR="00B07CA0" w:rsidRPr="00175E32" w:rsidRDefault="00B07CA0" w:rsidP="0048723E">
            <w:pPr>
              <w:ind w:firstLine="0"/>
              <w:jc w:val="center"/>
              <w:rPr>
                <w:szCs w:val="24"/>
              </w:rPr>
            </w:pPr>
            <w:r w:rsidRPr="00175E32">
              <w:rPr>
                <w:szCs w:val="24"/>
              </w:rPr>
              <w:t>млрд. рублей</w:t>
            </w:r>
          </w:p>
        </w:tc>
        <w:tc>
          <w:tcPr>
            <w:tcW w:w="1134" w:type="dxa"/>
            <w:tcBorders>
              <w:top w:val="single" w:sz="4" w:space="0" w:color="000000"/>
              <w:left w:val="single" w:sz="4" w:space="0" w:color="000000"/>
              <w:bottom w:val="single" w:sz="4" w:space="0" w:color="000000"/>
            </w:tcBorders>
            <w:vAlign w:val="center"/>
          </w:tcPr>
          <w:p w14:paraId="12EF90A2" w14:textId="77777777" w:rsidR="00B07CA0" w:rsidRPr="00175E32" w:rsidRDefault="00E512D0" w:rsidP="0048723E">
            <w:pPr>
              <w:ind w:firstLine="0"/>
              <w:jc w:val="center"/>
              <w:rPr>
                <w:szCs w:val="24"/>
              </w:rPr>
            </w:pPr>
            <w:r w:rsidRPr="00175E32">
              <w:rPr>
                <w:szCs w:val="24"/>
              </w:rPr>
              <w:t>20,7</w:t>
            </w:r>
          </w:p>
        </w:tc>
        <w:tc>
          <w:tcPr>
            <w:tcW w:w="1134" w:type="dxa"/>
            <w:tcBorders>
              <w:top w:val="single" w:sz="4" w:space="0" w:color="000000"/>
              <w:left w:val="single" w:sz="4" w:space="0" w:color="000000"/>
              <w:bottom w:val="single" w:sz="4" w:space="0" w:color="000000"/>
            </w:tcBorders>
            <w:vAlign w:val="center"/>
          </w:tcPr>
          <w:p w14:paraId="0B8C63BB" w14:textId="77777777" w:rsidR="00B07CA0" w:rsidRPr="00175E32" w:rsidRDefault="00AC7FC1" w:rsidP="0048723E">
            <w:pPr>
              <w:ind w:firstLine="0"/>
              <w:jc w:val="center"/>
              <w:rPr>
                <w:szCs w:val="24"/>
              </w:rPr>
            </w:pPr>
            <w:r w:rsidRPr="00175E32">
              <w:rPr>
                <w:szCs w:val="24"/>
              </w:rPr>
              <w:t>32,1</w:t>
            </w:r>
          </w:p>
        </w:tc>
        <w:tc>
          <w:tcPr>
            <w:tcW w:w="1134" w:type="dxa"/>
            <w:tcBorders>
              <w:top w:val="single" w:sz="4" w:space="0" w:color="000000"/>
              <w:left w:val="single" w:sz="4" w:space="0" w:color="000000"/>
              <w:bottom w:val="single" w:sz="4" w:space="0" w:color="000000"/>
            </w:tcBorders>
            <w:shd w:val="clear" w:color="auto" w:fill="FFFFFF" w:themeFill="background1"/>
            <w:vAlign w:val="center"/>
          </w:tcPr>
          <w:p w14:paraId="23DABE59" w14:textId="77777777" w:rsidR="00B07CA0" w:rsidRPr="00175E32" w:rsidRDefault="00AC7FC1" w:rsidP="0048723E">
            <w:pPr>
              <w:ind w:firstLine="0"/>
              <w:jc w:val="center"/>
              <w:rPr>
                <w:szCs w:val="24"/>
              </w:rPr>
            </w:pPr>
            <w:r w:rsidRPr="00175E32">
              <w:rPr>
                <w:szCs w:val="24"/>
              </w:rPr>
              <w:t>10,9</w:t>
            </w:r>
          </w:p>
        </w:tc>
        <w:tc>
          <w:tcPr>
            <w:tcW w:w="1276" w:type="dxa"/>
            <w:tcBorders>
              <w:top w:val="single" w:sz="4" w:space="0" w:color="000000"/>
              <w:left w:val="single" w:sz="4" w:space="0" w:color="000000"/>
              <w:bottom w:val="single" w:sz="4" w:space="0" w:color="000000"/>
              <w:right w:val="single" w:sz="4" w:space="0" w:color="000000"/>
            </w:tcBorders>
            <w:vAlign w:val="center"/>
          </w:tcPr>
          <w:p w14:paraId="19C525C4" w14:textId="77777777" w:rsidR="00B07CA0" w:rsidRPr="00595D6B" w:rsidRDefault="00FD681A" w:rsidP="0048723E">
            <w:pPr>
              <w:ind w:firstLine="0"/>
              <w:jc w:val="center"/>
              <w:rPr>
                <w:szCs w:val="24"/>
              </w:rPr>
            </w:pPr>
            <w:r w:rsidRPr="00595D6B">
              <w:rPr>
                <w:szCs w:val="24"/>
              </w:rPr>
              <w:t>16,9</w:t>
            </w:r>
          </w:p>
        </w:tc>
      </w:tr>
      <w:tr w:rsidR="00B07CA0" w:rsidRPr="00175E32" w14:paraId="5A9A605F" w14:textId="77777777" w:rsidTr="00FD681A">
        <w:tc>
          <w:tcPr>
            <w:tcW w:w="3261" w:type="dxa"/>
            <w:tcBorders>
              <w:top w:val="single" w:sz="4" w:space="0" w:color="000000"/>
              <w:left w:val="single" w:sz="4" w:space="0" w:color="000000"/>
              <w:bottom w:val="single" w:sz="4" w:space="0" w:color="000000"/>
            </w:tcBorders>
          </w:tcPr>
          <w:p w14:paraId="1B41FB5E" w14:textId="77777777" w:rsidR="00B07CA0" w:rsidRPr="00175E32" w:rsidRDefault="00B07CA0" w:rsidP="0048723E">
            <w:pPr>
              <w:ind w:firstLine="0"/>
              <w:rPr>
                <w:szCs w:val="24"/>
              </w:rPr>
            </w:pPr>
            <w:r w:rsidRPr="00175E32">
              <w:rPr>
                <w:szCs w:val="24"/>
              </w:rPr>
              <w:t>Ввод в действие жилых домов (квартир)</w:t>
            </w:r>
          </w:p>
        </w:tc>
        <w:tc>
          <w:tcPr>
            <w:tcW w:w="1417" w:type="dxa"/>
            <w:tcBorders>
              <w:top w:val="single" w:sz="4" w:space="0" w:color="000000"/>
              <w:left w:val="single" w:sz="4" w:space="0" w:color="000000"/>
              <w:bottom w:val="single" w:sz="4" w:space="0" w:color="000000"/>
              <w:right w:val="single" w:sz="4" w:space="0" w:color="000000"/>
            </w:tcBorders>
            <w:vAlign w:val="center"/>
          </w:tcPr>
          <w:p w14:paraId="4D550E0E" w14:textId="77777777" w:rsidR="00B07CA0" w:rsidRPr="00175E32" w:rsidRDefault="00B07CA0" w:rsidP="0048723E">
            <w:pPr>
              <w:ind w:firstLine="0"/>
              <w:jc w:val="center"/>
              <w:rPr>
                <w:szCs w:val="24"/>
              </w:rPr>
            </w:pPr>
            <w:r w:rsidRPr="00175E32">
              <w:rPr>
                <w:szCs w:val="24"/>
              </w:rPr>
              <w:t>тыс. кв. м</w:t>
            </w:r>
          </w:p>
        </w:tc>
        <w:tc>
          <w:tcPr>
            <w:tcW w:w="1134" w:type="dxa"/>
            <w:tcBorders>
              <w:top w:val="single" w:sz="4" w:space="0" w:color="000000"/>
              <w:left w:val="single" w:sz="4" w:space="0" w:color="000000"/>
              <w:bottom w:val="single" w:sz="4" w:space="0" w:color="000000"/>
            </w:tcBorders>
            <w:vAlign w:val="center"/>
          </w:tcPr>
          <w:p w14:paraId="5308FECF" w14:textId="77777777" w:rsidR="00B07CA0" w:rsidRPr="00175E32" w:rsidRDefault="00EC2E92" w:rsidP="0048723E">
            <w:pPr>
              <w:ind w:firstLine="0"/>
              <w:jc w:val="center"/>
              <w:rPr>
                <w:szCs w:val="24"/>
              </w:rPr>
            </w:pPr>
            <w:r w:rsidRPr="00175E32">
              <w:rPr>
                <w:szCs w:val="24"/>
              </w:rPr>
              <w:t>26,6</w:t>
            </w:r>
          </w:p>
        </w:tc>
        <w:tc>
          <w:tcPr>
            <w:tcW w:w="1134" w:type="dxa"/>
            <w:tcBorders>
              <w:top w:val="single" w:sz="4" w:space="0" w:color="000000"/>
              <w:left w:val="single" w:sz="4" w:space="0" w:color="000000"/>
              <w:bottom w:val="single" w:sz="4" w:space="0" w:color="000000"/>
            </w:tcBorders>
            <w:vAlign w:val="center"/>
          </w:tcPr>
          <w:p w14:paraId="1B242F3B" w14:textId="77777777" w:rsidR="00B07CA0" w:rsidRPr="00175E32" w:rsidRDefault="00EC2E92" w:rsidP="0048723E">
            <w:pPr>
              <w:ind w:firstLine="0"/>
              <w:jc w:val="center"/>
              <w:rPr>
                <w:szCs w:val="24"/>
              </w:rPr>
            </w:pPr>
            <w:r w:rsidRPr="00175E32">
              <w:rPr>
                <w:szCs w:val="24"/>
              </w:rPr>
              <w:t>176,4</w:t>
            </w:r>
          </w:p>
        </w:tc>
        <w:tc>
          <w:tcPr>
            <w:tcW w:w="1134" w:type="dxa"/>
            <w:tcBorders>
              <w:top w:val="single" w:sz="4" w:space="0" w:color="000000"/>
              <w:left w:val="single" w:sz="4" w:space="0" w:color="000000"/>
              <w:bottom w:val="single" w:sz="4" w:space="0" w:color="000000"/>
            </w:tcBorders>
            <w:vAlign w:val="center"/>
          </w:tcPr>
          <w:p w14:paraId="5634B0B7" w14:textId="77777777" w:rsidR="00B07CA0" w:rsidRPr="00175E32" w:rsidRDefault="00EC2E92" w:rsidP="0048723E">
            <w:pPr>
              <w:ind w:firstLine="0"/>
              <w:jc w:val="center"/>
              <w:rPr>
                <w:szCs w:val="24"/>
              </w:rPr>
            </w:pPr>
            <w:r w:rsidRPr="00175E32">
              <w:rPr>
                <w:szCs w:val="24"/>
              </w:rPr>
              <w:t>31,9</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C44DB" w14:textId="77777777" w:rsidR="00B07CA0" w:rsidRPr="00595D6B" w:rsidRDefault="00EC2E92" w:rsidP="0048723E">
            <w:pPr>
              <w:ind w:firstLine="0"/>
              <w:jc w:val="center"/>
              <w:rPr>
                <w:szCs w:val="24"/>
              </w:rPr>
            </w:pPr>
            <w:r w:rsidRPr="00595D6B">
              <w:rPr>
                <w:szCs w:val="24"/>
              </w:rPr>
              <w:t>108,4</w:t>
            </w:r>
          </w:p>
        </w:tc>
      </w:tr>
      <w:tr w:rsidR="00E72F82" w:rsidRPr="00175E32" w14:paraId="5217F183" w14:textId="77777777" w:rsidTr="00FD681A">
        <w:tc>
          <w:tcPr>
            <w:tcW w:w="3261" w:type="dxa"/>
            <w:tcBorders>
              <w:top w:val="single" w:sz="4" w:space="0" w:color="000000"/>
              <w:left w:val="single" w:sz="4" w:space="0" w:color="000000"/>
              <w:bottom w:val="single" w:sz="4" w:space="0" w:color="000000"/>
            </w:tcBorders>
          </w:tcPr>
          <w:p w14:paraId="6F6FFC0B" w14:textId="77777777" w:rsidR="00E72F82" w:rsidRPr="00175E32" w:rsidRDefault="00E72F82" w:rsidP="0048723E">
            <w:pPr>
              <w:ind w:firstLine="0"/>
              <w:rPr>
                <w:szCs w:val="24"/>
              </w:rPr>
            </w:pPr>
            <w:r w:rsidRPr="00175E32">
              <w:rPr>
                <w:szCs w:val="24"/>
              </w:rPr>
              <w:t>Уровень официальной безработицы относительно населения в трудоспособном возрасте (среднегодовой)</w:t>
            </w:r>
          </w:p>
        </w:tc>
        <w:tc>
          <w:tcPr>
            <w:tcW w:w="1417" w:type="dxa"/>
            <w:tcBorders>
              <w:top w:val="single" w:sz="4" w:space="0" w:color="000000"/>
              <w:left w:val="single" w:sz="4" w:space="0" w:color="000000"/>
              <w:bottom w:val="single" w:sz="4" w:space="0" w:color="000000"/>
              <w:right w:val="single" w:sz="4" w:space="0" w:color="000000"/>
            </w:tcBorders>
            <w:vAlign w:val="center"/>
          </w:tcPr>
          <w:p w14:paraId="3625228A" w14:textId="77777777" w:rsidR="00E72F82" w:rsidRPr="00175E32" w:rsidRDefault="00E72F82" w:rsidP="0048723E">
            <w:pPr>
              <w:ind w:firstLine="0"/>
              <w:jc w:val="center"/>
              <w:rPr>
                <w:szCs w:val="24"/>
              </w:rPr>
            </w:pPr>
            <w:r w:rsidRPr="00175E32">
              <w:rPr>
                <w:szCs w:val="24"/>
              </w:rPr>
              <w:t>%</w:t>
            </w:r>
          </w:p>
        </w:tc>
        <w:tc>
          <w:tcPr>
            <w:tcW w:w="1134" w:type="dxa"/>
            <w:tcBorders>
              <w:top w:val="single" w:sz="4" w:space="0" w:color="000000"/>
              <w:left w:val="single" w:sz="4" w:space="0" w:color="000000"/>
              <w:bottom w:val="single" w:sz="4" w:space="0" w:color="000000"/>
            </w:tcBorders>
            <w:vAlign w:val="center"/>
          </w:tcPr>
          <w:p w14:paraId="49AADB61" w14:textId="77777777" w:rsidR="00E72F82" w:rsidRPr="00175E32" w:rsidRDefault="00E72F82" w:rsidP="00E72F82">
            <w:pPr>
              <w:ind w:firstLine="0"/>
              <w:jc w:val="center"/>
              <w:rPr>
                <w:szCs w:val="24"/>
              </w:rPr>
            </w:pPr>
            <w:r w:rsidRPr="00175E32">
              <w:rPr>
                <w:szCs w:val="24"/>
              </w:rPr>
              <w:t>0,90</w:t>
            </w:r>
          </w:p>
        </w:tc>
        <w:tc>
          <w:tcPr>
            <w:tcW w:w="1134" w:type="dxa"/>
            <w:tcBorders>
              <w:top w:val="single" w:sz="4" w:space="0" w:color="000000"/>
              <w:left w:val="single" w:sz="4" w:space="0" w:color="000000"/>
              <w:bottom w:val="single" w:sz="4" w:space="0" w:color="000000"/>
            </w:tcBorders>
            <w:vAlign w:val="center"/>
          </w:tcPr>
          <w:p w14:paraId="3AAEEA83" w14:textId="77777777" w:rsidR="00E72F82" w:rsidRPr="00175E32" w:rsidRDefault="00E72F82" w:rsidP="00E72F82">
            <w:pPr>
              <w:ind w:firstLine="0"/>
              <w:jc w:val="center"/>
              <w:rPr>
                <w:szCs w:val="24"/>
              </w:rPr>
            </w:pPr>
            <w:r w:rsidRPr="00175E32">
              <w:rPr>
                <w:szCs w:val="24"/>
              </w:rPr>
              <w:t>0,92</w:t>
            </w:r>
          </w:p>
        </w:tc>
        <w:tc>
          <w:tcPr>
            <w:tcW w:w="1134" w:type="dxa"/>
            <w:tcBorders>
              <w:top w:val="single" w:sz="4" w:space="0" w:color="000000"/>
              <w:left w:val="single" w:sz="4" w:space="0" w:color="000000"/>
              <w:bottom w:val="single" w:sz="4" w:space="0" w:color="000000"/>
            </w:tcBorders>
            <w:vAlign w:val="center"/>
          </w:tcPr>
          <w:p w14:paraId="636767FF" w14:textId="77777777" w:rsidR="00E72F82" w:rsidRPr="00595D6B" w:rsidRDefault="00312DF1" w:rsidP="00E72F82">
            <w:pPr>
              <w:ind w:firstLine="0"/>
              <w:jc w:val="center"/>
              <w:rPr>
                <w:szCs w:val="24"/>
                <w:highlight w:val="yellow"/>
              </w:rPr>
            </w:pPr>
            <w:r w:rsidRPr="007E5C09">
              <w:rPr>
                <w:szCs w:val="24"/>
              </w:rPr>
              <w:t>1,6</w:t>
            </w:r>
          </w:p>
        </w:tc>
        <w:tc>
          <w:tcPr>
            <w:tcW w:w="1276" w:type="dxa"/>
            <w:tcBorders>
              <w:top w:val="single" w:sz="4" w:space="0" w:color="000000"/>
              <w:left w:val="single" w:sz="4" w:space="0" w:color="000000"/>
              <w:bottom w:val="single" w:sz="4" w:space="0" w:color="000000"/>
              <w:right w:val="single" w:sz="4" w:space="0" w:color="000000"/>
            </w:tcBorders>
            <w:vAlign w:val="center"/>
          </w:tcPr>
          <w:p w14:paraId="110D9BA0" w14:textId="77777777" w:rsidR="00E72F82" w:rsidRPr="00595D6B" w:rsidRDefault="00E56CDB" w:rsidP="00E72F82">
            <w:pPr>
              <w:ind w:firstLine="0"/>
              <w:jc w:val="center"/>
              <w:rPr>
                <w:szCs w:val="24"/>
                <w:highlight w:val="yellow"/>
              </w:rPr>
            </w:pPr>
            <w:r w:rsidRPr="00E56CDB">
              <w:rPr>
                <w:szCs w:val="24"/>
              </w:rPr>
              <w:t>3,14</w:t>
            </w:r>
          </w:p>
        </w:tc>
      </w:tr>
      <w:tr w:rsidR="00E72F82" w:rsidRPr="00175E32" w14:paraId="156C4ACB" w14:textId="77777777" w:rsidTr="00FD681A">
        <w:tc>
          <w:tcPr>
            <w:tcW w:w="3261" w:type="dxa"/>
            <w:tcBorders>
              <w:top w:val="single" w:sz="4" w:space="0" w:color="000000"/>
              <w:left w:val="single" w:sz="4" w:space="0" w:color="000000"/>
              <w:bottom w:val="single" w:sz="4" w:space="0" w:color="000000"/>
            </w:tcBorders>
          </w:tcPr>
          <w:p w14:paraId="7B9904C1" w14:textId="77777777" w:rsidR="00E72F82" w:rsidRPr="00175E32" w:rsidRDefault="00E72F82" w:rsidP="0048723E">
            <w:pPr>
              <w:ind w:firstLine="0"/>
              <w:rPr>
                <w:szCs w:val="24"/>
              </w:rPr>
            </w:pPr>
            <w:r w:rsidRPr="00175E32">
              <w:rPr>
                <w:szCs w:val="24"/>
              </w:rPr>
              <w:t>Среднемесячная номинальная начисленная заработная плата работников организаций</w:t>
            </w:r>
            <w:r w:rsidRPr="00175E32">
              <w:rPr>
                <w:szCs w:val="24"/>
                <w:vertAlign w:val="superscript"/>
              </w:rPr>
              <w:t>1</w:t>
            </w:r>
          </w:p>
        </w:tc>
        <w:tc>
          <w:tcPr>
            <w:tcW w:w="1417" w:type="dxa"/>
            <w:tcBorders>
              <w:top w:val="single" w:sz="4" w:space="0" w:color="000000"/>
              <w:left w:val="single" w:sz="4" w:space="0" w:color="000000"/>
              <w:bottom w:val="single" w:sz="4" w:space="0" w:color="000000"/>
              <w:right w:val="single" w:sz="4" w:space="0" w:color="000000"/>
            </w:tcBorders>
            <w:vAlign w:val="center"/>
          </w:tcPr>
          <w:p w14:paraId="38585BF8" w14:textId="77777777" w:rsidR="00E72F82" w:rsidRPr="00175E32" w:rsidRDefault="00E72F82" w:rsidP="0048723E">
            <w:pPr>
              <w:ind w:firstLine="0"/>
              <w:jc w:val="center"/>
              <w:rPr>
                <w:szCs w:val="24"/>
              </w:rPr>
            </w:pPr>
            <w:r w:rsidRPr="00175E32">
              <w:rPr>
                <w:szCs w:val="24"/>
              </w:rPr>
              <w:t>рублей</w:t>
            </w:r>
          </w:p>
        </w:tc>
        <w:tc>
          <w:tcPr>
            <w:tcW w:w="1134" w:type="dxa"/>
            <w:tcBorders>
              <w:top w:val="single" w:sz="4" w:space="0" w:color="000000"/>
              <w:left w:val="single" w:sz="4" w:space="0" w:color="000000"/>
              <w:bottom w:val="single" w:sz="4" w:space="0" w:color="000000"/>
            </w:tcBorders>
            <w:vAlign w:val="center"/>
          </w:tcPr>
          <w:p w14:paraId="30CD1CAD" w14:textId="77777777" w:rsidR="00E72F82" w:rsidRPr="00175E32" w:rsidRDefault="00E72F82" w:rsidP="00E72F82">
            <w:pPr>
              <w:ind w:firstLine="0"/>
              <w:jc w:val="center"/>
              <w:rPr>
                <w:szCs w:val="24"/>
              </w:rPr>
            </w:pPr>
            <w:r w:rsidRPr="00175E32">
              <w:rPr>
                <w:szCs w:val="24"/>
              </w:rPr>
              <w:t>38724</w:t>
            </w:r>
          </w:p>
        </w:tc>
        <w:tc>
          <w:tcPr>
            <w:tcW w:w="1134" w:type="dxa"/>
            <w:tcBorders>
              <w:top w:val="single" w:sz="4" w:space="0" w:color="000000"/>
              <w:left w:val="single" w:sz="4" w:space="0" w:color="000000"/>
              <w:bottom w:val="single" w:sz="4" w:space="0" w:color="000000"/>
            </w:tcBorders>
            <w:vAlign w:val="center"/>
          </w:tcPr>
          <w:p w14:paraId="47D1DBAF" w14:textId="77777777" w:rsidR="00E72F82" w:rsidRPr="00175E32" w:rsidRDefault="00E72F82" w:rsidP="00E72F82">
            <w:pPr>
              <w:ind w:firstLine="0"/>
              <w:jc w:val="center"/>
              <w:rPr>
                <w:szCs w:val="24"/>
              </w:rPr>
            </w:pPr>
            <w:r w:rsidRPr="00175E32">
              <w:rPr>
                <w:szCs w:val="24"/>
              </w:rPr>
              <w:t>40074</w:t>
            </w:r>
          </w:p>
        </w:tc>
        <w:tc>
          <w:tcPr>
            <w:tcW w:w="1134" w:type="dxa"/>
            <w:tcBorders>
              <w:top w:val="single" w:sz="4" w:space="0" w:color="000000"/>
              <w:left w:val="single" w:sz="4" w:space="0" w:color="000000"/>
              <w:bottom w:val="single" w:sz="4" w:space="0" w:color="000000"/>
            </w:tcBorders>
            <w:vAlign w:val="center"/>
          </w:tcPr>
          <w:p w14:paraId="58E5A350" w14:textId="77777777" w:rsidR="00E72F82" w:rsidRPr="00175E32" w:rsidRDefault="00E72F82" w:rsidP="00E72F82">
            <w:pPr>
              <w:ind w:firstLine="0"/>
              <w:jc w:val="center"/>
              <w:rPr>
                <w:szCs w:val="24"/>
              </w:rPr>
            </w:pPr>
            <w:r w:rsidRPr="00175E32">
              <w:rPr>
                <w:szCs w:val="24"/>
              </w:rPr>
              <w:t>40436</w:t>
            </w:r>
          </w:p>
        </w:tc>
        <w:tc>
          <w:tcPr>
            <w:tcW w:w="1276" w:type="dxa"/>
            <w:tcBorders>
              <w:top w:val="single" w:sz="4" w:space="0" w:color="000000"/>
              <w:left w:val="single" w:sz="4" w:space="0" w:color="000000"/>
              <w:bottom w:val="single" w:sz="4" w:space="0" w:color="000000"/>
              <w:right w:val="single" w:sz="4" w:space="0" w:color="000000"/>
            </w:tcBorders>
            <w:vAlign w:val="center"/>
          </w:tcPr>
          <w:p w14:paraId="7CB70CA0" w14:textId="77777777" w:rsidR="00E72F82" w:rsidRPr="00175E32" w:rsidRDefault="00E72F82" w:rsidP="00E72F82">
            <w:pPr>
              <w:ind w:firstLine="0"/>
              <w:jc w:val="center"/>
              <w:rPr>
                <w:szCs w:val="24"/>
              </w:rPr>
            </w:pPr>
            <w:r w:rsidRPr="00175E32">
              <w:rPr>
                <w:szCs w:val="24"/>
              </w:rPr>
              <w:t>41750</w:t>
            </w:r>
          </w:p>
        </w:tc>
      </w:tr>
      <w:tr w:rsidR="00B07CA0" w:rsidRPr="00175E32" w14:paraId="58AABC13" w14:textId="77777777" w:rsidTr="00FD681A">
        <w:tc>
          <w:tcPr>
            <w:tcW w:w="3261" w:type="dxa"/>
            <w:tcBorders>
              <w:top w:val="single" w:sz="4" w:space="0" w:color="000000"/>
              <w:left w:val="single" w:sz="4" w:space="0" w:color="000000"/>
              <w:bottom w:val="single" w:sz="4" w:space="0" w:color="000000"/>
            </w:tcBorders>
          </w:tcPr>
          <w:p w14:paraId="767DFA2D" w14:textId="77777777" w:rsidR="00B07CA0" w:rsidRPr="00175E32" w:rsidRDefault="00B07CA0" w:rsidP="0048723E">
            <w:pPr>
              <w:ind w:firstLine="0"/>
              <w:rPr>
                <w:szCs w:val="24"/>
              </w:rPr>
            </w:pPr>
            <w:r w:rsidRPr="00175E32">
              <w:rPr>
                <w:szCs w:val="24"/>
              </w:rPr>
              <w:t>Оборот розничной торговли</w:t>
            </w:r>
            <w:r w:rsidRPr="00175E32">
              <w:rPr>
                <w:szCs w:val="24"/>
                <w:vertAlign w:val="superscript"/>
              </w:rPr>
              <w:t>3</w:t>
            </w:r>
          </w:p>
        </w:tc>
        <w:tc>
          <w:tcPr>
            <w:tcW w:w="1417" w:type="dxa"/>
            <w:tcBorders>
              <w:top w:val="single" w:sz="4" w:space="0" w:color="000000"/>
              <w:left w:val="single" w:sz="4" w:space="0" w:color="000000"/>
              <w:bottom w:val="single" w:sz="4" w:space="0" w:color="000000"/>
              <w:right w:val="single" w:sz="4" w:space="0" w:color="000000"/>
            </w:tcBorders>
            <w:vAlign w:val="center"/>
          </w:tcPr>
          <w:p w14:paraId="59F38589" w14:textId="77777777" w:rsidR="00B07CA0" w:rsidRPr="00175E32" w:rsidRDefault="00B07CA0" w:rsidP="0048723E">
            <w:pPr>
              <w:ind w:firstLine="0"/>
              <w:jc w:val="center"/>
              <w:rPr>
                <w:szCs w:val="24"/>
              </w:rPr>
            </w:pPr>
            <w:r w:rsidRPr="00175E32">
              <w:rPr>
                <w:szCs w:val="24"/>
              </w:rPr>
              <w:t>млрд. рублей</w:t>
            </w:r>
          </w:p>
        </w:tc>
        <w:tc>
          <w:tcPr>
            <w:tcW w:w="1134" w:type="dxa"/>
            <w:tcBorders>
              <w:top w:val="single" w:sz="4" w:space="0" w:color="000000"/>
              <w:left w:val="single" w:sz="4" w:space="0" w:color="000000"/>
              <w:bottom w:val="single" w:sz="4" w:space="0" w:color="000000"/>
            </w:tcBorders>
            <w:vAlign w:val="center"/>
          </w:tcPr>
          <w:p w14:paraId="6E56B5E7" w14:textId="77777777" w:rsidR="00B07CA0" w:rsidRPr="00175E32" w:rsidRDefault="00EC2E92" w:rsidP="0048723E">
            <w:pPr>
              <w:ind w:firstLine="0"/>
              <w:jc w:val="center"/>
              <w:rPr>
                <w:szCs w:val="24"/>
              </w:rPr>
            </w:pPr>
            <w:r w:rsidRPr="00175E32">
              <w:rPr>
                <w:szCs w:val="24"/>
              </w:rPr>
              <w:t>89,7</w:t>
            </w:r>
          </w:p>
        </w:tc>
        <w:tc>
          <w:tcPr>
            <w:tcW w:w="1134" w:type="dxa"/>
            <w:tcBorders>
              <w:top w:val="single" w:sz="4" w:space="0" w:color="000000"/>
              <w:left w:val="single" w:sz="4" w:space="0" w:color="000000"/>
              <w:bottom w:val="single" w:sz="4" w:space="0" w:color="000000"/>
            </w:tcBorders>
            <w:vAlign w:val="center"/>
          </w:tcPr>
          <w:p w14:paraId="0F8D56A8" w14:textId="77777777" w:rsidR="00B07CA0" w:rsidRPr="00175E32" w:rsidRDefault="00EC2E92" w:rsidP="0048723E">
            <w:pPr>
              <w:ind w:firstLine="0"/>
              <w:jc w:val="center"/>
              <w:rPr>
                <w:szCs w:val="24"/>
              </w:rPr>
            </w:pPr>
            <w:r w:rsidRPr="00175E32">
              <w:rPr>
                <w:szCs w:val="24"/>
              </w:rPr>
              <w:t>184,7</w:t>
            </w:r>
          </w:p>
        </w:tc>
        <w:tc>
          <w:tcPr>
            <w:tcW w:w="1134" w:type="dxa"/>
            <w:tcBorders>
              <w:top w:val="single" w:sz="4" w:space="0" w:color="000000"/>
              <w:left w:val="single" w:sz="4" w:space="0" w:color="000000"/>
              <w:bottom w:val="single" w:sz="4" w:space="0" w:color="000000"/>
            </w:tcBorders>
            <w:shd w:val="clear" w:color="auto" w:fill="auto"/>
            <w:vAlign w:val="center"/>
          </w:tcPr>
          <w:p w14:paraId="3C4228B3" w14:textId="77777777" w:rsidR="00B07CA0" w:rsidRPr="00175E32" w:rsidRDefault="00EC2E92" w:rsidP="0048723E">
            <w:pPr>
              <w:ind w:firstLine="0"/>
              <w:jc w:val="center"/>
              <w:rPr>
                <w:szCs w:val="24"/>
              </w:rPr>
            </w:pPr>
            <w:r w:rsidRPr="00175E32">
              <w:rPr>
                <w:szCs w:val="24"/>
              </w:rPr>
              <w:t>87,0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20214F" w14:textId="77777777" w:rsidR="00B07CA0" w:rsidRPr="00175E32" w:rsidRDefault="00EC2E92" w:rsidP="0048723E">
            <w:pPr>
              <w:ind w:firstLine="0"/>
              <w:jc w:val="center"/>
              <w:rPr>
                <w:szCs w:val="24"/>
              </w:rPr>
            </w:pPr>
            <w:r w:rsidRPr="00175E32">
              <w:rPr>
                <w:szCs w:val="24"/>
              </w:rPr>
              <w:t>179,0</w:t>
            </w:r>
          </w:p>
        </w:tc>
      </w:tr>
    </w:tbl>
    <w:p w14:paraId="28FDFFB8" w14:textId="77777777" w:rsidR="00700331" w:rsidRPr="00175E32" w:rsidRDefault="00700331" w:rsidP="00C90084">
      <w:pPr>
        <w:pStyle w:val="afb"/>
        <w:widowControl w:val="0"/>
        <w:numPr>
          <w:ilvl w:val="0"/>
          <w:numId w:val="3"/>
        </w:numPr>
        <w:suppressAutoHyphens w:val="0"/>
        <w:spacing w:line="276" w:lineRule="auto"/>
        <w:ind w:left="0" w:firstLine="0"/>
        <w:rPr>
          <w:sz w:val="20"/>
          <w:shd w:val="clear" w:color="auto" w:fill="FFFFFF"/>
        </w:rPr>
      </w:pPr>
      <w:r w:rsidRPr="00175E32">
        <w:rPr>
          <w:sz w:val="20"/>
          <w:shd w:val="clear" w:color="auto" w:fill="FFFFFF"/>
          <w:vertAlign w:val="superscript"/>
        </w:rPr>
        <w:t xml:space="preserve">1 </w:t>
      </w:r>
      <w:r w:rsidRPr="00175E32">
        <w:rPr>
          <w:sz w:val="20"/>
          <w:shd w:val="clear" w:color="auto" w:fill="FFFFFF"/>
        </w:rPr>
        <w:t>– по организациям, не относящимся к субъектам малого предпринимательства;</w:t>
      </w:r>
    </w:p>
    <w:p w14:paraId="3347EF04" w14:textId="77777777" w:rsidR="00D401F2" w:rsidRPr="00175E32" w:rsidRDefault="00700331" w:rsidP="00C90084">
      <w:pPr>
        <w:pStyle w:val="afb"/>
        <w:widowControl w:val="0"/>
        <w:numPr>
          <w:ilvl w:val="0"/>
          <w:numId w:val="3"/>
        </w:numPr>
        <w:suppressAutoHyphens w:val="0"/>
        <w:spacing w:line="276" w:lineRule="auto"/>
        <w:ind w:left="0" w:firstLine="0"/>
        <w:rPr>
          <w:sz w:val="20"/>
          <w:shd w:val="clear" w:color="auto" w:fill="FFFFFF"/>
        </w:rPr>
      </w:pPr>
      <w:r w:rsidRPr="00175E32">
        <w:rPr>
          <w:sz w:val="20"/>
          <w:shd w:val="clear" w:color="auto" w:fill="FFFFFF"/>
          <w:vertAlign w:val="superscript"/>
        </w:rPr>
        <w:t>2</w:t>
      </w:r>
      <w:r w:rsidRPr="00175E32">
        <w:rPr>
          <w:sz w:val="20"/>
          <w:shd w:val="clear" w:color="auto" w:fill="FFFFFF"/>
        </w:rPr>
        <w:t xml:space="preserve"> –</w:t>
      </w:r>
      <w:r w:rsidR="00D401F2" w:rsidRPr="00175E32">
        <w:rPr>
          <w:sz w:val="20"/>
          <w:shd w:val="clear" w:color="auto" w:fill="FFFFFF"/>
        </w:rPr>
        <w:t xml:space="preserve"> </w:t>
      </w:r>
      <w:r w:rsidR="00261A6E" w:rsidRPr="00175E32">
        <w:rPr>
          <w:sz w:val="20"/>
          <w:shd w:val="clear" w:color="auto" w:fill="FFFFFF"/>
        </w:rPr>
        <w:t>с учетом инвестиций резидентов ТОСЭР «Тольятти»</w:t>
      </w:r>
      <w:r w:rsidR="00D401F2" w:rsidRPr="00175E32">
        <w:rPr>
          <w:sz w:val="20"/>
          <w:shd w:val="clear" w:color="auto" w:fill="FFFFFF"/>
        </w:rPr>
        <w:t>;</w:t>
      </w:r>
      <w:r w:rsidR="00493FC3" w:rsidRPr="00175E32">
        <w:rPr>
          <w:sz w:val="20"/>
          <w:shd w:val="clear" w:color="auto" w:fill="FFFFFF"/>
        </w:rPr>
        <w:t xml:space="preserve"> </w:t>
      </w:r>
    </w:p>
    <w:p w14:paraId="69A936A1" w14:textId="77777777" w:rsidR="00C90084" w:rsidRPr="00175E32" w:rsidRDefault="001D3079" w:rsidP="00C90084">
      <w:pPr>
        <w:pStyle w:val="afb"/>
        <w:widowControl w:val="0"/>
        <w:numPr>
          <w:ilvl w:val="0"/>
          <w:numId w:val="3"/>
        </w:numPr>
        <w:suppressAutoHyphens w:val="0"/>
        <w:spacing w:line="276" w:lineRule="auto"/>
        <w:ind w:left="0" w:firstLine="0"/>
        <w:rPr>
          <w:sz w:val="20"/>
          <w:shd w:val="clear" w:color="auto" w:fill="FFFFFF"/>
        </w:rPr>
      </w:pPr>
      <w:r w:rsidRPr="00175E32">
        <w:rPr>
          <w:sz w:val="20"/>
          <w:shd w:val="clear" w:color="auto" w:fill="FFFFFF"/>
          <w:vertAlign w:val="superscript"/>
        </w:rPr>
        <w:t>3</w:t>
      </w:r>
      <w:r w:rsidR="00C90084" w:rsidRPr="00175E32">
        <w:rPr>
          <w:sz w:val="20"/>
          <w:shd w:val="clear" w:color="auto" w:fill="FFFFFF"/>
        </w:rPr>
        <w:t xml:space="preserve"> – по полному кругу организаций.</w:t>
      </w:r>
    </w:p>
    <w:p w14:paraId="1BA1B7F3" w14:textId="77777777" w:rsidR="00B43D7D" w:rsidRPr="00175E32" w:rsidRDefault="00B43D7D" w:rsidP="006C4A01">
      <w:pPr>
        <w:spacing w:line="276" w:lineRule="auto"/>
        <w:jc w:val="center"/>
        <w:rPr>
          <w:b/>
          <w:szCs w:val="24"/>
        </w:rPr>
      </w:pPr>
    </w:p>
    <w:p w14:paraId="261AA99D" w14:textId="77777777" w:rsidR="00262AC7" w:rsidRDefault="00262AC7" w:rsidP="006C4A01">
      <w:pPr>
        <w:spacing w:line="276" w:lineRule="auto"/>
        <w:jc w:val="center"/>
        <w:rPr>
          <w:b/>
          <w:szCs w:val="24"/>
        </w:rPr>
      </w:pPr>
    </w:p>
    <w:p w14:paraId="67E9B8AF" w14:textId="77777777" w:rsidR="00974690" w:rsidRDefault="00974690" w:rsidP="006C4A01">
      <w:pPr>
        <w:spacing w:line="276" w:lineRule="auto"/>
        <w:jc w:val="center"/>
        <w:rPr>
          <w:b/>
          <w:szCs w:val="24"/>
        </w:rPr>
      </w:pPr>
    </w:p>
    <w:p w14:paraId="0C5F0AD0" w14:textId="77777777" w:rsidR="00974690" w:rsidRDefault="00974690" w:rsidP="006C4A01">
      <w:pPr>
        <w:spacing w:line="276" w:lineRule="auto"/>
        <w:jc w:val="center"/>
        <w:rPr>
          <w:b/>
          <w:szCs w:val="24"/>
        </w:rPr>
      </w:pPr>
    </w:p>
    <w:p w14:paraId="352E7CFE" w14:textId="77777777" w:rsidR="00974690" w:rsidRPr="00175E32" w:rsidRDefault="00974690" w:rsidP="006C4A01">
      <w:pPr>
        <w:spacing w:line="276" w:lineRule="auto"/>
        <w:jc w:val="center"/>
        <w:rPr>
          <w:b/>
          <w:szCs w:val="24"/>
        </w:rPr>
      </w:pPr>
    </w:p>
    <w:p w14:paraId="537DF54A" w14:textId="77777777" w:rsidR="006C4A01" w:rsidRPr="00175E32" w:rsidRDefault="006C4A01" w:rsidP="00974690">
      <w:pPr>
        <w:keepNext/>
        <w:spacing w:line="276" w:lineRule="auto"/>
        <w:jc w:val="center"/>
        <w:rPr>
          <w:b/>
          <w:szCs w:val="24"/>
        </w:rPr>
      </w:pPr>
      <w:r w:rsidRPr="00175E32">
        <w:rPr>
          <w:b/>
          <w:szCs w:val="24"/>
        </w:rPr>
        <w:lastRenderedPageBreak/>
        <w:t>Индекс потребительских цен</w:t>
      </w:r>
    </w:p>
    <w:p w14:paraId="2237E9A2" w14:textId="77777777" w:rsidR="00B43D7D" w:rsidRPr="00175E32" w:rsidRDefault="00B43D7D" w:rsidP="00974690">
      <w:pPr>
        <w:keepNext/>
        <w:spacing w:line="276" w:lineRule="auto"/>
        <w:jc w:val="center"/>
        <w:rPr>
          <w:b/>
          <w:szCs w:val="24"/>
        </w:rPr>
      </w:pPr>
    </w:p>
    <w:p w14:paraId="560AA5D8" w14:textId="77777777" w:rsidR="009D4575" w:rsidRPr="00175E32" w:rsidRDefault="009D4575" w:rsidP="001B16BB">
      <w:pPr>
        <w:keepNext/>
        <w:suppressAutoHyphens w:val="0"/>
        <w:spacing w:line="276" w:lineRule="auto"/>
        <w:rPr>
          <w:szCs w:val="24"/>
          <w:lang w:eastAsia="ru-RU"/>
        </w:rPr>
      </w:pPr>
      <w:r w:rsidRPr="00175E32">
        <w:rPr>
          <w:szCs w:val="24"/>
          <w:lang w:eastAsia="ru-RU"/>
        </w:rPr>
        <w:t>В 2020 году наблюдается незначительное ускорение темпов роста цен на товары и услуги, обусловленное изменением курса иностранных валют. В июне текущего года индекс потребительских цен составил 102,7% к декабрю 2019 года, что незначительно выше среднероссий</w:t>
      </w:r>
      <w:r w:rsidR="00253F67">
        <w:rPr>
          <w:szCs w:val="24"/>
          <w:lang w:eastAsia="ru-RU"/>
        </w:rPr>
        <w:t>ского уровня (102,6%).</w:t>
      </w:r>
    </w:p>
    <w:p w14:paraId="71893FEF" w14:textId="77777777" w:rsidR="009D4575" w:rsidRPr="00175E32" w:rsidRDefault="009D4575" w:rsidP="001B16BB">
      <w:pPr>
        <w:suppressAutoHyphens w:val="0"/>
        <w:autoSpaceDE w:val="0"/>
        <w:autoSpaceDN w:val="0"/>
        <w:adjustRightInd w:val="0"/>
        <w:spacing w:line="276" w:lineRule="auto"/>
        <w:rPr>
          <w:rFonts w:eastAsiaTheme="minorEastAsia"/>
          <w:szCs w:val="24"/>
          <w:lang w:eastAsia="ru-RU"/>
        </w:rPr>
      </w:pPr>
      <w:r w:rsidRPr="00175E32">
        <w:rPr>
          <w:rFonts w:eastAsiaTheme="minorEastAsia"/>
          <w:szCs w:val="24"/>
          <w:lang w:eastAsia="ru-RU"/>
        </w:rPr>
        <w:t>Цены на продовольственные товары в 1 полугодии 2020 года повысились в среднем на 3,9%, на непродовольственные товары – 2,2% и платные услуги — на 1,7%.</w:t>
      </w:r>
    </w:p>
    <w:p w14:paraId="3966A651" w14:textId="77777777" w:rsidR="009D4575" w:rsidRPr="00175E32" w:rsidRDefault="009D4575" w:rsidP="001B16BB">
      <w:pPr>
        <w:suppressAutoHyphens w:val="0"/>
        <w:autoSpaceDE w:val="0"/>
        <w:autoSpaceDN w:val="0"/>
        <w:adjustRightInd w:val="0"/>
        <w:spacing w:line="276" w:lineRule="auto"/>
        <w:rPr>
          <w:rFonts w:eastAsiaTheme="minorEastAsia"/>
          <w:szCs w:val="24"/>
          <w:lang w:eastAsia="ru-RU"/>
        </w:rPr>
      </w:pPr>
      <w:r w:rsidRPr="00175E32">
        <w:rPr>
          <w:rFonts w:eastAsiaTheme="minorEastAsia"/>
          <w:szCs w:val="24"/>
          <w:lang w:eastAsia="ru-RU"/>
        </w:rPr>
        <w:t>Так, рыба и морепродукты подорожали на 2%, молоко и молочная продукция – на 1,5%, хлеб и хлебобулочные изделия – на 2,7%, плодоовощная продукция, включая картофель – на 20,5%. Продолжилось увеличение розничных цен на автомобильное топливо. Снижение цен наблюдалось на яйца – на 15,7%.</w:t>
      </w:r>
    </w:p>
    <w:p w14:paraId="320739E2" w14:textId="77777777" w:rsidR="009D4575" w:rsidRPr="00175E32" w:rsidRDefault="009D4575" w:rsidP="001B16BB">
      <w:pPr>
        <w:suppressAutoHyphens w:val="0"/>
        <w:spacing w:line="276" w:lineRule="auto"/>
        <w:rPr>
          <w:szCs w:val="24"/>
          <w:lang w:eastAsia="ru-RU"/>
        </w:rPr>
      </w:pPr>
      <w:r w:rsidRPr="00175E32">
        <w:rPr>
          <w:rFonts w:eastAsiaTheme="minorEastAsia"/>
          <w:szCs w:val="24"/>
          <w:lang w:eastAsia="ru-RU"/>
        </w:rPr>
        <w:t>Стоимость условного (минимального) набора продуктов питания в июне 2020 года составила в городском округе Тольятти 4 233,4 рубля в расчете на месяц, что ниже, чем в целом по Самарской области на 173,2 рубля (для сравнения, в среднем по Российской Федерации стоимость минимального набора продуктов питания со</w:t>
      </w:r>
      <w:r w:rsidR="00253F67">
        <w:rPr>
          <w:rFonts w:eastAsiaTheme="minorEastAsia"/>
          <w:szCs w:val="24"/>
          <w:lang w:eastAsia="ru-RU"/>
        </w:rPr>
        <w:t>ставила 4 507,6 </w:t>
      </w:r>
      <w:r w:rsidRPr="00175E32">
        <w:rPr>
          <w:rFonts w:eastAsiaTheme="minorEastAsia"/>
          <w:szCs w:val="24"/>
          <w:lang w:eastAsia="ru-RU"/>
        </w:rPr>
        <w:t>рублей).</w:t>
      </w:r>
    </w:p>
    <w:p w14:paraId="5A445F61" w14:textId="77777777" w:rsidR="009D4575" w:rsidRPr="00175E32" w:rsidRDefault="009D4575" w:rsidP="001B16BB">
      <w:pPr>
        <w:suppressAutoHyphens w:val="0"/>
        <w:spacing w:line="276" w:lineRule="auto"/>
        <w:rPr>
          <w:szCs w:val="24"/>
          <w:lang w:eastAsia="ru-RU"/>
        </w:rPr>
      </w:pPr>
      <w:r w:rsidRPr="00175E32">
        <w:rPr>
          <w:szCs w:val="24"/>
          <w:lang w:eastAsia="ru-RU"/>
        </w:rPr>
        <w:t>Во второй половине 2020 года ожидается умеренное увеличение годовых темпов потребительской инфляции на фоне влияния восстановления потребительского спроса, индексации тарифов с 1 июля текущего года, а также низкой базы второй полов</w:t>
      </w:r>
      <w:r w:rsidR="00253F67">
        <w:rPr>
          <w:szCs w:val="24"/>
          <w:lang w:eastAsia="ru-RU"/>
        </w:rPr>
        <w:t>ины прошлого года.</w:t>
      </w:r>
    </w:p>
    <w:p w14:paraId="0C0BE2A2" w14:textId="77777777" w:rsidR="009D4575" w:rsidRPr="00175E32" w:rsidRDefault="009D4575" w:rsidP="001B16BB">
      <w:pPr>
        <w:spacing w:line="276" w:lineRule="auto"/>
        <w:rPr>
          <w:szCs w:val="24"/>
        </w:rPr>
      </w:pPr>
      <w:r w:rsidRPr="00175E32">
        <w:rPr>
          <w:szCs w:val="24"/>
        </w:rPr>
        <w:t xml:space="preserve"> Согласно Сценарным условиям социально-экономического развития Самарской области на 2021 год и плановый период 2022 и 2023 годов (</w:t>
      </w:r>
      <w:r w:rsidR="001B16BB" w:rsidRPr="00175E32">
        <w:rPr>
          <w:szCs w:val="24"/>
        </w:rPr>
        <w:t xml:space="preserve">далее </w:t>
      </w:r>
      <w:r w:rsidR="001B16BB">
        <w:rPr>
          <w:szCs w:val="24"/>
        </w:rPr>
        <w:t>по разделу</w:t>
      </w:r>
      <w:r w:rsidRPr="00175E32">
        <w:rPr>
          <w:szCs w:val="24"/>
        </w:rPr>
        <w:t xml:space="preserve"> – Сценарные условия</w:t>
      </w:r>
      <w:r w:rsidR="00B54078" w:rsidRPr="00175E32">
        <w:rPr>
          <w:szCs w:val="24"/>
        </w:rPr>
        <w:t xml:space="preserve"> Самарской области</w:t>
      </w:r>
      <w:r w:rsidRPr="00175E32">
        <w:rPr>
          <w:szCs w:val="24"/>
        </w:rPr>
        <w:t>) уровень инфляции в целом за 2020 год ожидается на уровне 103,5% (декабрь к декабрю предыдущего года) и 103,2% в среднегодовом исчислении, индекс-дефлятор оборота розничн</w:t>
      </w:r>
      <w:r w:rsidR="00253F67">
        <w:rPr>
          <w:szCs w:val="24"/>
        </w:rPr>
        <w:t>ой торговли – на уровне 103,5%.</w:t>
      </w:r>
    </w:p>
    <w:p w14:paraId="3F0224E3" w14:textId="77777777" w:rsidR="00536336" w:rsidRPr="00175E32" w:rsidRDefault="00536336" w:rsidP="001B16BB">
      <w:pPr>
        <w:spacing w:line="276" w:lineRule="auto"/>
        <w:rPr>
          <w:szCs w:val="24"/>
        </w:rPr>
      </w:pPr>
      <w:r w:rsidRPr="00175E32">
        <w:rPr>
          <w:szCs w:val="24"/>
        </w:rPr>
        <w:t>Индекс-дефлятор в промышленности, который находится расчетным путем, исходя из дефляторов по каждому виду промышленной деятельности, за 20</w:t>
      </w:r>
      <w:r w:rsidR="00E132CC" w:rsidRPr="00175E32">
        <w:rPr>
          <w:szCs w:val="24"/>
        </w:rPr>
        <w:t>20</w:t>
      </w:r>
      <w:r w:rsidRPr="00175E32">
        <w:rPr>
          <w:szCs w:val="24"/>
        </w:rPr>
        <w:t xml:space="preserve"> год по городскому округу Тольятти по оценке составит </w:t>
      </w:r>
      <w:r w:rsidR="00B54078" w:rsidRPr="00175E32">
        <w:rPr>
          <w:szCs w:val="24"/>
        </w:rPr>
        <w:t>102,2</w:t>
      </w:r>
      <w:r w:rsidRPr="00175E32">
        <w:rPr>
          <w:szCs w:val="24"/>
        </w:rPr>
        <w:t>%.</w:t>
      </w:r>
    </w:p>
    <w:p w14:paraId="504DEF9B" w14:textId="77777777" w:rsidR="00536336" w:rsidRPr="00175E32" w:rsidRDefault="00250556" w:rsidP="001B16BB">
      <w:pPr>
        <w:spacing w:line="276" w:lineRule="auto"/>
        <w:rPr>
          <w:szCs w:val="24"/>
        </w:rPr>
      </w:pPr>
      <w:r w:rsidRPr="00175E32">
        <w:rPr>
          <w:szCs w:val="24"/>
        </w:rPr>
        <w:t>Индекс цен в</w:t>
      </w:r>
      <w:r w:rsidR="00536336" w:rsidRPr="00175E32">
        <w:rPr>
          <w:szCs w:val="24"/>
        </w:rPr>
        <w:t xml:space="preserve"> инвестиционн</w:t>
      </w:r>
      <w:r w:rsidRPr="00175E32">
        <w:rPr>
          <w:szCs w:val="24"/>
        </w:rPr>
        <w:t>ой</w:t>
      </w:r>
      <w:r w:rsidR="00536336" w:rsidRPr="00175E32">
        <w:rPr>
          <w:szCs w:val="24"/>
        </w:rPr>
        <w:t xml:space="preserve"> </w:t>
      </w:r>
      <w:r w:rsidRPr="00175E32">
        <w:rPr>
          <w:szCs w:val="24"/>
        </w:rPr>
        <w:t>сфере</w:t>
      </w:r>
      <w:r w:rsidR="00536336" w:rsidRPr="00175E32">
        <w:rPr>
          <w:szCs w:val="24"/>
        </w:rPr>
        <w:t xml:space="preserve"> оцен</w:t>
      </w:r>
      <w:r w:rsidRPr="00175E32">
        <w:rPr>
          <w:szCs w:val="24"/>
        </w:rPr>
        <w:t>ивается</w:t>
      </w:r>
      <w:r w:rsidR="00536336" w:rsidRPr="00175E32">
        <w:rPr>
          <w:szCs w:val="24"/>
        </w:rPr>
        <w:t xml:space="preserve"> на</w:t>
      </w:r>
      <w:r w:rsidRPr="00175E32">
        <w:rPr>
          <w:szCs w:val="24"/>
        </w:rPr>
        <w:t xml:space="preserve"> уровне </w:t>
      </w:r>
      <w:r w:rsidR="003D7A6B" w:rsidRPr="00175E32">
        <w:rPr>
          <w:szCs w:val="24"/>
        </w:rPr>
        <w:t>108,6</w:t>
      </w:r>
      <w:r w:rsidR="00536336" w:rsidRPr="00175E32">
        <w:rPr>
          <w:szCs w:val="24"/>
        </w:rPr>
        <w:t>%</w:t>
      </w:r>
      <w:r w:rsidR="000A2FDD" w:rsidRPr="00175E32">
        <w:rPr>
          <w:szCs w:val="24"/>
        </w:rPr>
        <w:t xml:space="preserve"> </w:t>
      </w:r>
      <w:r w:rsidRPr="00175E32">
        <w:rPr>
          <w:szCs w:val="24"/>
        </w:rPr>
        <w:t xml:space="preserve">согласно </w:t>
      </w:r>
      <w:r w:rsidR="00255BA3" w:rsidRPr="00175E32">
        <w:rPr>
          <w:szCs w:val="24"/>
        </w:rPr>
        <w:t xml:space="preserve">параметрам </w:t>
      </w:r>
      <w:r w:rsidR="001F4E94" w:rsidRPr="00175E32">
        <w:rPr>
          <w:szCs w:val="24"/>
        </w:rPr>
        <w:t>С</w:t>
      </w:r>
      <w:r w:rsidRPr="00175E32">
        <w:rPr>
          <w:szCs w:val="24"/>
        </w:rPr>
        <w:t>ценарны</w:t>
      </w:r>
      <w:r w:rsidR="00255BA3" w:rsidRPr="00175E32">
        <w:rPr>
          <w:szCs w:val="24"/>
        </w:rPr>
        <w:t>х условий</w:t>
      </w:r>
      <w:r w:rsidR="00B54078" w:rsidRPr="00175E32">
        <w:rPr>
          <w:szCs w:val="24"/>
        </w:rPr>
        <w:t xml:space="preserve"> Самарской области</w:t>
      </w:r>
      <w:r w:rsidR="00536336" w:rsidRPr="00175E32">
        <w:rPr>
          <w:szCs w:val="24"/>
        </w:rPr>
        <w:t>.</w:t>
      </w:r>
    </w:p>
    <w:p w14:paraId="58EDF0AA" w14:textId="77777777" w:rsidR="00DC6912" w:rsidRPr="00175E32" w:rsidRDefault="00DC6912" w:rsidP="001B16BB">
      <w:pPr>
        <w:spacing w:line="276" w:lineRule="auto"/>
        <w:ind w:right="-1"/>
        <w:rPr>
          <w:szCs w:val="24"/>
          <w:shd w:val="clear" w:color="auto" w:fill="FFFFFF"/>
        </w:rPr>
      </w:pPr>
      <w:r w:rsidRPr="00175E32">
        <w:rPr>
          <w:szCs w:val="24"/>
          <w:shd w:val="clear" w:color="auto" w:fill="FFFFFF"/>
        </w:rPr>
        <w:t>Предельные индексы роста совокупной платы граждан за коммунальные услуги на 2020 год по городскому округу Тольятти утверждены постановлением Губернатора Самарской области от 11.12.2019 № 219.</w:t>
      </w:r>
    </w:p>
    <w:p w14:paraId="3B367E0E" w14:textId="77777777" w:rsidR="00DC6912" w:rsidRPr="00175E32" w:rsidRDefault="00DC6912" w:rsidP="001B16BB">
      <w:pPr>
        <w:spacing w:line="276" w:lineRule="auto"/>
        <w:ind w:right="-1"/>
        <w:rPr>
          <w:szCs w:val="24"/>
          <w:shd w:val="clear" w:color="auto" w:fill="FFFFFF"/>
        </w:rPr>
      </w:pPr>
      <w:r w:rsidRPr="00175E32">
        <w:rPr>
          <w:szCs w:val="24"/>
          <w:shd w:val="clear" w:color="auto" w:fill="FFFFFF"/>
        </w:rPr>
        <w:t xml:space="preserve">Тарифы на первое полугодие 2020 года (отопление, водопотребление, водоотведение, горячая вода и электроснабжение) установлены </w:t>
      </w:r>
      <w:r w:rsidR="00B54078" w:rsidRPr="00175E32">
        <w:rPr>
          <w:szCs w:val="24"/>
          <w:shd w:val="clear" w:color="auto" w:fill="FFFFFF"/>
        </w:rPr>
        <w:t>м</w:t>
      </w:r>
      <w:r w:rsidRPr="00175E32">
        <w:rPr>
          <w:szCs w:val="24"/>
          <w:shd w:val="clear" w:color="auto" w:fill="FFFFFF"/>
        </w:rPr>
        <w:t>инистерством энергетики и жилищно-коммунального хозяйства Самарской области.</w:t>
      </w:r>
    </w:p>
    <w:p w14:paraId="348E9FD3" w14:textId="77777777" w:rsidR="00DC6912" w:rsidRPr="00175E32" w:rsidRDefault="00DC6912" w:rsidP="001B16BB">
      <w:pPr>
        <w:spacing w:line="276" w:lineRule="auto"/>
        <w:ind w:right="-1"/>
        <w:rPr>
          <w:szCs w:val="24"/>
          <w:shd w:val="clear" w:color="auto" w:fill="FFFFFF"/>
        </w:rPr>
      </w:pPr>
      <w:r w:rsidRPr="00175E32">
        <w:rPr>
          <w:szCs w:val="24"/>
          <w:shd w:val="clear" w:color="auto" w:fill="FFFFFF"/>
        </w:rPr>
        <w:t>Тарифы на теплоэнергию по городскому округу Тольятти</w:t>
      </w:r>
      <w:r w:rsidR="00253F67">
        <w:rPr>
          <w:szCs w:val="24"/>
          <w:shd w:val="clear" w:color="auto" w:fill="FFFFFF"/>
        </w:rPr>
        <w:t xml:space="preserve"> в первой половине 2020 </w:t>
      </w:r>
      <w:r w:rsidRPr="00175E32">
        <w:rPr>
          <w:szCs w:val="24"/>
          <w:shd w:val="clear" w:color="auto" w:fill="FFFFFF"/>
        </w:rPr>
        <w:t>года составили:</w:t>
      </w:r>
    </w:p>
    <w:p w14:paraId="5E963918" w14:textId="77777777" w:rsidR="00DC6912" w:rsidRPr="00175E32" w:rsidRDefault="00DC6912" w:rsidP="001B16BB">
      <w:pPr>
        <w:spacing w:line="276" w:lineRule="auto"/>
        <w:ind w:right="-1"/>
        <w:rPr>
          <w:szCs w:val="24"/>
          <w:shd w:val="clear" w:color="auto" w:fill="FFFFFF"/>
        </w:rPr>
      </w:pPr>
      <w:r w:rsidRPr="00175E32">
        <w:rPr>
          <w:szCs w:val="24"/>
          <w:shd w:val="clear" w:color="auto" w:fill="FFFFFF"/>
        </w:rPr>
        <w:t>Для ПАО «Т Плюс» (СЦТ Автозаводский район городского округа Тольятти):</w:t>
      </w:r>
    </w:p>
    <w:p w14:paraId="44192695" w14:textId="77777777" w:rsidR="00DC6912" w:rsidRPr="00175E32" w:rsidRDefault="00DC6912" w:rsidP="001B16BB">
      <w:pPr>
        <w:spacing w:line="276" w:lineRule="auto"/>
        <w:ind w:right="-1"/>
        <w:rPr>
          <w:szCs w:val="24"/>
          <w:shd w:val="clear" w:color="auto" w:fill="FFFFFF"/>
        </w:rPr>
      </w:pPr>
      <w:r w:rsidRPr="00175E32">
        <w:rPr>
          <w:szCs w:val="24"/>
          <w:shd w:val="clear" w:color="auto" w:fill="FFFFFF"/>
        </w:rPr>
        <w:t xml:space="preserve">- с 01.01.2020 по 30.06.2020 – 1 554,00 рублей/Гкал с НДС с ростом 2,9%; </w:t>
      </w:r>
    </w:p>
    <w:p w14:paraId="13EA0C4E" w14:textId="77777777" w:rsidR="00DC6912" w:rsidRPr="00175E32" w:rsidRDefault="00DC6912" w:rsidP="001B16BB">
      <w:pPr>
        <w:spacing w:line="276" w:lineRule="auto"/>
        <w:ind w:right="-1"/>
        <w:rPr>
          <w:szCs w:val="24"/>
          <w:shd w:val="clear" w:color="auto" w:fill="FFFFFF"/>
        </w:rPr>
      </w:pPr>
      <w:r w:rsidRPr="00175E32">
        <w:rPr>
          <w:szCs w:val="24"/>
          <w:shd w:val="clear" w:color="auto" w:fill="FFFFFF"/>
        </w:rPr>
        <w:t>Для ПАО «Т Плюс» (СЦТ Центральный и Комсомольский районы городского округа Тольятти):</w:t>
      </w:r>
    </w:p>
    <w:p w14:paraId="14E6CE93" w14:textId="77777777" w:rsidR="00DC6912" w:rsidRPr="00175E32" w:rsidRDefault="00DC6912" w:rsidP="001B16BB">
      <w:pPr>
        <w:spacing w:line="276" w:lineRule="auto"/>
        <w:ind w:right="-1"/>
        <w:rPr>
          <w:szCs w:val="24"/>
          <w:shd w:val="clear" w:color="auto" w:fill="FFFFFF"/>
        </w:rPr>
      </w:pPr>
      <w:r w:rsidRPr="00175E32">
        <w:rPr>
          <w:szCs w:val="24"/>
          <w:shd w:val="clear" w:color="auto" w:fill="FFFFFF"/>
        </w:rPr>
        <w:t>- с 01.01.2020 по 30.06.2020 – 1 448,40 рублей/Гкал с НДС с ростом 3,0%.</w:t>
      </w:r>
    </w:p>
    <w:p w14:paraId="758FA6C1" w14:textId="77777777" w:rsidR="00DC6912" w:rsidRPr="00175E32" w:rsidRDefault="00DC6912" w:rsidP="001B16BB">
      <w:pPr>
        <w:spacing w:line="276" w:lineRule="auto"/>
        <w:ind w:right="-1"/>
        <w:rPr>
          <w:szCs w:val="24"/>
          <w:shd w:val="clear" w:color="auto" w:fill="FFFFFF"/>
        </w:rPr>
      </w:pPr>
      <w:r w:rsidRPr="00175E32">
        <w:rPr>
          <w:szCs w:val="24"/>
          <w:shd w:val="clear" w:color="auto" w:fill="FFFFFF"/>
        </w:rPr>
        <w:lastRenderedPageBreak/>
        <w:t>Рост тарифов на услуги по водоснабжению, водоотведению и очистке сточных вод организаций коммунального комплекса городского окр</w:t>
      </w:r>
      <w:r w:rsidR="00253F67">
        <w:rPr>
          <w:szCs w:val="24"/>
          <w:shd w:val="clear" w:color="auto" w:fill="FFFFFF"/>
        </w:rPr>
        <w:t>уга Тольятти в 1 полугодии 2020 </w:t>
      </w:r>
      <w:r w:rsidRPr="00175E32">
        <w:rPr>
          <w:szCs w:val="24"/>
          <w:shd w:val="clear" w:color="auto" w:fill="FFFFFF"/>
        </w:rPr>
        <w:t>года составил:</w:t>
      </w:r>
    </w:p>
    <w:p w14:paraId="22FD33A6" w14:textId="77777777" w:rsidR="00DC6912" w:rsidRPr="00175E32" w:rsidRDefault="00DC6912" w:rsidP="001B16BB">
      <w:pPr>
        <w:spacing w:line="276" w:lineRule="auto"/>
        <w:ind w:right="-1"/>
        <w:rPr>
          <w:szCs w:val="24"/>
          <w:shd w:val="clear" w:color="auto" w:fill="FFFFFF"/>
        </w:rPr>
      </w:pPr>
      <w:r w:rsidRPr="00175E32">
        <w:rPr>
          <w:szCs w:val="24"/>
          <w:shd w:val="clear" w:color="auto" w:fill="FFFFFF"/>
        </w:rPr>
        <w:t>по водоснабжению:</w:t>
      </w:r>
    </w:p>
    <w:p w14:paraId="66B332C1" w14:textId="77777777" w:rsidR="00DC6912" w:rsidRPr="00175E32" w:rsidRDefault="00DC6912" w:rsidP="001B16BB">
      <w:pPr>
        <w:spacing w:line="276" w:lineRule="auto"/>
        <w:ind w:right="-1"/>
        <w:rPr>
          <w:szCs w:val="24"/>
          <w:shd w:val="clear" w:color="auto" w:fill="FFFFFF"/>
        </w:rPr>
      </w:pPr>
      <w:r w:rsidRPr="00175E32">
        <w:rPr>
          <w:szCs w:val="24"/>
          <w:shd w:val="clear" w:color="auto" w:fill="FFFFFF"/>
        </w:rPr>
        <w:t>для ООО «Волжские коммунальные системы» (Центральный и Комсомольский районы городского округа Тольятти) – 1,5%;</w:t>
      </w:r>
    </w:p>
    <w:p w14:paraId="03AF12F3" w14:textId="77777777" w:rsidR="00DC6912" w:rsidRPr="00175E32" w:rsidRDefault="00DC6912" w:rsidP="001B16BB">
      <w:pPr>
        <w:spacing w:line="276" w:lineRule="auto"/>
        <w:ind w:right="-1"/>
        <w:rPr>
          <w:szCs w:val="24"/>
          <w:shd w:val="clear" w:color="auto" w:fill="FFFFFF"/>
        </w:rPr>
      </w:pPr>
      <w:r w:rsidRPr="00175E32">
        <w:rPr>
          <w:szCs w:val="24"/>
          <w:shd w:val="clear" w:color="auto" w:fill="FFFFFF"/>
        </w:rPr>
        <w:t>для АО «ТЕВИС» (Автозаводский район городского округа Тольятти) – 2,0%.</w:t>
      </w:r>
    </w:p>
    <w:p w14:paraId="6E7698EA" w14:textId="77777777" w:rsidR="00DC6912" w:rsidRPr="00175E32" w:rsidRDefault="00DC6912" w:rsidP="001B16BB">
      <w:pPr>
        <w:spacing w:line="276" w:lineRule="auto"/>
        <w:ind w:right="-1"/>
        <w:rPr>
          <w:szCs w:val="24"/>
          <w:shd w:val="clear" w:color="auto" w:fill="FFFFFF"/>
        </w:rPr>
      </w:pPr>
      <w:r w:rsidRPr="00175E32">
        <w:rPr>
          <w:szCs w:val="24"/>
          <w:shd w:val="clear" w:color="auto" w:fill="FFFFFF"/>
        </w:rPr>
        <w:t>по водоотведению и очистке сточных вод:</w:t>
      </w:r>
    </w:p>
    <w:p w14:paraId="56D54264" w14:textId="77777777" w:rsidR="00DC6912" w:rsidRPr="00175E32" w:rsidRDefault="00DC6912" w:rsidP="001B16BB">
      <w:pPr>
        <w:spacing w:line="276" w:lineRule="auto"/>
        <w:ind w:right="-1"/>
        <w:rPr>
          <w:szCs w:val="24"/>
          <w:shd w:val="clear" w:color="auto" w:fill="FFFFFF"/>
        </w:rPr>
      </w:pPr>
      <w:r w:rsidRPr="00175E32">
        <w:rPr>
          <w:szCs w:val="24"/>
          <w:shd w:val="clear" w:color="auto" w:fill="FFFFFF"/>
        </w:rPr>
        <w:t>для ООО «Волжские коммунальные системы» (Центральный и Комсомольский районы городского округа Тольятти) – 1,5%;</w:t>
      </w:r>
    </w:p>
    <w:p w14:paraId="4E60DA0F" w14:textId="77777777" w:rsidR="00DC6912" w:rsidRPr="00175E32" w:rsidRDefault="00DC6912" w:rsidP="001B16BB">
      <w:pPr>
        <w:spacing w:line="276" w:lineRule="auto"/>
        <w:ind w:right="-1"/>
        <w:rPr>
          <w:szCs w:val="24"/>
          <w:shd w:val="clear" w:color="auto" w:fill="FFFFFF"/>
        </w:rPr>
      </w:pPr>
      <w:r w:rsidRPr="00175E32">
        <w:rPr>
          <w:szCs w:val="24"/>
          <w:shd w:val="clear" w:color="auto" w:fill="FFFFFF"/>
        </w:rPr>
        <w:t>для АО «ТЕВИС» (Автозаводский район городского округа Тольятти) – 1,7% для не нормируемых абонентов (население) и 10,0% для абонентов, для которых устанавливаются нормативы водоотведения (сброса) по составу сточных вод.</w:t>
      </w:r>
    </w:p>
    <w:p w14:paraId="749A4238" w14:textId="77777777" w:rsidR="00DC6912" w:rsidRPr="00175E32" w:rsidRDefault="00DC6912" w:rsidP="001B16BB">
      <w:pPr>
        <w:spacing w:line="276" w:lineRule="auto"/>
        <w:ind w:right="-1"/>
        <w:rPr>
          <w:szCs w:val="24"/>
          <w:shd w:val="clear" w:color="auto" w:fill="FFFFFF"/>
        </w:rPr>
      </w:pPr>
      <w:r w:rsidRPr="00175E32">
        <w:rPr>
          <w:szCs w:val="24"/>
          <w:shd w:val="clear" w:color="auto" w:fill="FFFFFF"/>
        </w:rPr>
        <w:t>Рост тарифа на электрическую энергию для населения с 01.01.2020 составил:</w:t>
      </w:r>
    </w:p>
    <w:p w14:paraId="5CEB5734" w14:textId="77777777" w:rsidR="00DC6912" w:rsidRPr="00175E32" w:rsidRDefault="00DC6912" w:rsidP="001B16BB">
      <w:pPr>
        <w:spacing w:line="276" w:lineRule="auto"/>
        <w:ind w:right="-1"/>
        <w:rPr>
          <w:szCs w:val="24"/>
          <w:shd w:val="clear" w:color="auto" w:fill="FFFFFF"/>
        </w:rPr>
      </w:pPr>
      <w:r w:rsidRPr="00175E32">
        <w:rPr>
          <w:szCs w:val="24"/>
          <w:shd w:val="clear" w:color="auto" w:fill="FFFFFF"/>
        </w:rPr>
        <w:t>Для населения и приравненных к нему категорий, за исключением населения и потребителей, указанных в пунктах 2 и 3 приказа от 14.12.2018 № 776:</w:t>
      </w:r>
    </w:p>
    <w:p w14:paraId="4B7D3F48" w14:textId="77777777" w:rsidR="00DC6912" w:rsidRPr="00175E32" w:rsidRDefault="00DC6912" w:rsidP="001B16BB">
      <w:pPr>
        <w:spacing w:line="276" w:lineRule="auto"/>
        <w:ind w:right="-1"/>
        <w:rPr>
          <w:szCs w:val="24"/>
          <w:shd w:val="clear" w:color="auto" w:fill="FFFFFF"/>
        </w:rPr>
      </w:pPr>
      <w:r w:rsidRPr="00175E32">
        <w:rPr>
          <w:szCs w:val="24"/>
          <w:shd w:val="clear" w:color="auto" w:fill="FFFFFF"/>
        </w:rPr>
        <w:t xml:space="preserve">- </w:t>
      </w:r>
      <w:proofErr w:type="spellStart"/>
      <w:r w:rsidRPr="00175E32">
        <w:rPr>
          <w:szCs w:val="24"/>
          <w:shd w:val="clear" w:color="auto" w:fill="FFFFFF"/>
        </w:rPr>
        <w:t>одноставочный</w:t>
      </w:r>
      <w:proofErr w:type="spellEnd"/>
      <w:r w:rsidRPr="00175E32">
        <w:rPr>
          <w:szCs w:val="24"/>
          <w:shd w:val="clear" w:color="auto" w:fill="FFFFFF"/>
        </w:rPr>
        <w:t xml:space="preserve"> тариф – 2,7%;</w:t>
      </w:r>
    </w:p>
    <w:p w14:paraId="1EF17B62" w14:textId="77777777" w:rsidR="00DC6912" w:rsidRPr="00175E32" w:rsidRDefault="00DC6912" w:rsidP="001B16BB">
      <w:pPr>
        <w:spacing w:line="276" w:lineRule="auto"/>
        <w:ind w:right="-1"/>
        <w:rPr>
          <w:szCs w:val="24"/>
          <w:shd w:val="clear" w:color="auto" w:fill="FFFFFF"/>
        </w:rPr>
      </w:pPr>
      <w:r w:rsidRPr="00175E32">
        <w:rPr>
          <w:szCs w:val="24"/>
          <w:shd w:val="clear" w:color="auto" w:fill="FFFFFF"/>
        </w:rPr>
        <w:t xml:space="preserve"> - тариф, дифференцированный по двум зонам суток – 5,3%.</w:t>
      </w:r>
    </w:p>
    <w:p w14:paraId="31172A5B" w14:textId="77777777" w:rsidR="00DC6912" w:rsidRPr="00175E32" w:rsidRDefault="00DC6912" w:rsidP="001B16BB">
      <w:pPr>
        <w:spacing w:line="276" w:lineRule="auto"/>
        <w:ind w:right="-1"/>
        <w:rPr>
          <w:szCs w:val="24"/>
          <w:shd w:val="clear" w:color="auto" w:fill="FFFFFF"/>
        </w:rPr>
      </w:pPr>
      <w:r w:rsidRPr="00175E32">
        <w:rPr>
          <w:szCs w:val="24"/>
          <w:shd w:val="clear" w:color="auto" w:fill="FFFFFF"/>
        </w:rPr>
        <w:t>Население, проживающее в городских населенных пунктах в домах, оборудованных в установленном порядке стационарными электроплитами и (или) электроотопительными установками, и приравненные к нему:</w:t>
      </w:r>
    </w:p>
    <w:p w14:paraId="60C0B109" w14:textId="77777777" w:rsidR="00DC6912" w:rsidRPr="00175E32" w:rsidRDefault="00DC6912" w:rsidP="001B16BB">
      <w:pPr>
        <w:spacing w:line="276" w:lineRule="auto"/>
        <w:ind w:right="-1"/>
        <w:rPr>
          <w:szCs w:val="24"/>
          <w:shd w:val="clear" w:color="auto" w:fill="FFFFFF"/>
        </w:rPr>
      </w:pPr>
      <w:r w:rsidRPr="00175E32">
        <w:rPr>
          <w:szCs w:val="24"/>
          <w:shd w:val="clear" w:color="auto" w:fill="FFFFFF"/>
        </w:rPr>
        <w:t xml:space="preserve">- </w:t>
      </w:r>
      <w:proofErr w:type="spellStart"/>
      <w:r w:rsidRPr="00175E32">
        <w:rPr>
          <w:szCs w:val="24"/>
          <w:shd w:val="clear" w:color="auto" w:fill="FFFFFF"/>
        </w:rPr>
        <w:t>одноставочный</w:t>
      </w:r>
      <w:proofErr w:type="spellEnd"/>
      <w:r w:rsidRPr="00175E32">
        <w:rPr>
          <w:szCs w:val="24"/>
          <w:shd w:val="clear" w:color="auto" w:fill="FFFFFF"/>
        </w:rPr>
        <w:t xml:space="preserve"> тариф – 2,8%;</w:t>
      </w:r>
    </w:p>
    <w:p w14:paraId="5B548727" w14:textId="77777777" w:rsidR="00DC6912" w:rsidRPr="00175E32" w:rsidRDefault="00DC6912" w:rsidP="001B16BB">
      <w:pPr>
        <w:spacing w:line="276" w:lineRule="auto"/>
        <w:ind w:right="-1"/>
        <w:rPr>
          <w:szCs w:val="24"/>
          <w:shd w:val="clear" w:color="auto" w:fill="FFFFFF"/>
        </w:rPr>
      </w:pPr>
      <w:r w:rsidRPr="00175E32">
        <w:rPr>
          <w:szCs w:val="24"/>
          <w:shd w:val="clear" w:color="auto" w:fill="FFFFFF"/>
        </w:rPr>
        <w:t xml:space="preserve"> -</w:t>
      </w:r>
      <w:proofErr w:type="spellStart"/>
      <w:r w:rsidRPr="00175E32">
        <w:rPr>
          <w:szCs w:val="24"/>
          <w:shd w:val="clear" w:color="auto" w:fill="FFFFFF"/>
        </w:rPr>
        <w:t>одноставочный</w:t>
      </w:r>
      <w:proofErr w:type="spellEnd"/>
      <w:r w:rsidRPr="00175E32">
        <w:rPr>
          <w:szCs w:val="24"/>
          <w:shd w:val="clear" w:color="auto" w:fill="FFFFFF"/>
        </w:rPr>
        <w:t xml:space="preserve"> тариф, дифференцированный по двум зонам суток – 5,2%.</w:t>
      </w:r>
    </w:p>
    <w:p w14:paraId="54D1B7B0" w14:textId="77777777" w:rsidR="00DC6912" w:rsidRPr="00175E32" w:rsidRDefault="00DC6912" w:rsidP="001B16BB">
      <w:pPr>
        <w:spacing w:line="276" w:lineRule="auto"/>
        <w:ind w:right="-1"/>
        <w:rPr>
          <w:szCs w:val="24"/>
          <w:shd w:val="clear" w:color="auto" w:fill="FFFFFF"/>
        </w:rPr>
      </w:pPr>
      <w:r w:rsidRPr="00175E32">
        <w:rPr>
          <w:szCs w:val="24"/>
          <w:shd w:val="clear" w:color="auto" w:fill="FFFFFF"/>
        </w:rPr>
        <w:t>Рост тарифа на газ природный, реализуемый населению Самарской области с 01.01.2020 составил 1,4%.</w:t>
      </w:r>
    </w:p>
    <w:p w14:paraId="0C80B096" w14:textId="77777777" w:rsidR="00DC6912" w:rsidRPr="00175E32" w:rsidRDefault="00DC6912" w:rsidP="001B16BB">
      <w:pPr>
        <w:spacing w:line="276" w:lineRule="auto"/>
        <w:ind w:right="-1"/>
        <w:rPr>
          <w:szCs w:val="24"/>
          <w:shd w:val="clear" w:color="auto" w:fill="FFFFFF"/>
        </w:rPr>
      </w:pPr>
      <w:r w:rsidRPr="00175E32">
        <w:rPr>
          <w:szCs w:val="24"/>
          <w:shd w:val="clear" w:color="auto" w:fill="FFFFFF"/>
        </w:rPr>
        <w:t>С 01.01.2020 министерством энергетики и жилищно-коммунального хозяйства Самарской области утвержден единый тариф на услугу по обращению с твердыми коммунальными отходами на территории Самарской области для населения в размере 598,16 рублей.</w:t>
      </w:r>
    </w:p>
    <w:p w14:paraId="40030F35" w14:textId="77777777" w:rsidR="00DC6912" w:rsidRPr="00175E32" w:rsidRDefault="00DC6912" w:rsidP="001B16BB">
      <w:pPr>
        <w:spacing w:line="276" w:lineRule="auto"/>
        <w:ind w:right="-1"/>
        <w:rPr>
          <w:szCs w:val="24"/>
          <w:shd w:val="clear" w:color="auto" w:fill="FFFFFF"/>
        </w:rPr>
      </w:pPr>
      <w:r w:rsidRPr="00175E32">
        <w:rPr>
          <w:szCs w:val="24"/>
          <w:shd w:val="clear" w:color="auto" w:fill="FFFFFF"/>
        </w:rPr>
        <w:t>Тарифы на второе полугодие 2020 года (отопление, водопотребление, водоотведение, горячая вода и электроснабжение) установлены Министерством энергетики и жилищно-коммунального хозяйства Самарской области.</w:t>
      </w:r>
    </w:p>
    <w:p w14:paraId="506B3E3E" w14:textId="77777777" w:rsidR="00DC6912" w:rsidRPr="00175E32" w:rsidRDefault="00DC6912" w:rsidP="001B16BB">
      <w:pPr>
        <w:spacing w:line="276" w:lineRule="auto"/>
        <w:ind w:right="-1"/>
        <w:rPr>
          <w:szCs w:val="24"/>
          <w:shd w:val="clear" w:color="auto" w:fill="FFFFFF"/>
        </w:rPr>
      </w:pPr>
      <w:r w:rsidRPr="00175E32">
        <w:rPr>
          <w:szCs w:val="24"/>
          <w:shd w:val="clear" w:color="auto" w:fill="FFFFFF"/>
        </w:rPr>
        <w:t>Тарифы на теплоэнергию по городскому округу Тольятти во второй полов</w:t>
      </w:r>
      <w:r w:rsidR="00253F67">
        <w:rPr>
          <w:szCs w:val="24"/>
          <w:shd w:val="clear" w:color="auto" w:fill="FFFFFF"/>
        </w:rPr>
        <w:t>ине 2020 </w:t>
      </w:r>
      <w:r w:rsidRPr="00175E32">
        <w:rPr>
          <w:szCs w:val="24"/>
          <w:shd w:val="clear" w:color="auto" w:fill="FFFFFF"/>
        </w:rPr>
        <w:t>году составили:</w:t>
      </w:r>
    </w:p>
    <w:p w14:paraId="3D3FB022" w14:textId="77777777" w:rsidR="00DC6912" w:rsidRPr="00175E32" w:rsidRDefault="00DC6912" w:rsidP="001B16BB">
      <w:pPr>
        <w:spacing w:line="276" w:lineRule="auto"/>
        <w:ind w:right="-1"/>
        <w:rPr>
          <w:szCs w:val="24"/>
          <w:shd w:val="clear" w:color="auto" w:fill="FFFFFF"/>
        </w:rPr>
      </w:pPr>
      <w:r w:rsidRPr="00175E32">
        <w:rPr>
          <w:szCs w:val="24"/>
          <w:shd w:val="clear" w:color="auto" w:fill="FFFFFF"/>
        </w:rPr>
        <w:t>Для ПАО «Т Плюс» (СЦТ Автозаводский район городского округа Тольятти):</w:t>
      </w:r>
    </w:p>
    <w:p w14:paraId="4F54D980" w14:textId="77777777" w:rsidR="00DC6912" w:rsidRPr="00175E32" w:rsidRDefault="00DC6912" w:rsidP="001B16BB">
      <w:pPr>
        <w:spacing w:line="276" w:lineRule="auto"/>
        <w:ind w:right="-1"/>
        <w:rPr>
          <w:szCs w:val="24"/>
          <w:shd w:val="clear" w:color="auto" w:fill="FFFFFF"/>
        </w:rPr>
      </w:pPr>
      <w:r w:rsidRPr="00175E32">
        <w:rPr>
          <w:szCs w:val="24"/>
          <w:shd w:val="clear" w:color="auto" w:fill="FFFFFF"/>
        </w:rPr>
        <w:t>- с 01.07.2020 по 31.12.2020 – 1 610,40 рублей/Гкал с НДС с ростом 3,6%.</w:t>
      </w:r>
    </w:p>
    <w:p w14:paraId="0528D27A" w14:textId="77777777" w:rsidR="00DC6912" w:rsidRPr="00175E32" w:rsidRDefault="00DC6912" w:rsidP="001B16BB">
      <w:pPr>
        <w:spacing w:line="276" w:lineRule="auto"/>
        <w:ind w:right="-1"/>
        <w:rPr>
          <w:szCs w:val="24"/>
          <w:shd w:val="clear" w:color="auto" w:fill="FFFFFF"/>
        </w:rPr>
      </w:pPr>
      <w:r w:rsidRPr="00175E32">
        <w:rPr>
          <w:szCs w:val="24"/>
          <w:shd w:val="clear" w:color="auto" w:fill="FFFFFF"/>
        </w:rPr>
        <w:t>Для ПАО «Т Плюс» (СЦТ Центральный и Комсомольский районы городского округа Тольятти):</w:t>
      </w:r>
    </w:p>
    <w:p w14:paraId="0A1F5708" w14:textId="77777777" w:rsidR="00DC6912" w:rsidRPr="00175E32" w:rsidRDefault="00DC6912" w:rsidP="001B16BB">
      <w:pPr>
        <w:spacing w:line="276" w:lineRule="auto"/>
        <w:ind w:right="-1"/>
        <w:rPr>
          <w:szCs w:val="24"/>
          <w:shd w:val="clear" w:color="auto" w:fill="FFFFFF"/>
        </w:rPr>
      </w:pPr>
      <w:r w:rsidRPr="00175E32">
        <w:rPr>
          <w:szCs w:val="24"/>
          <w:shd w:val="clear" w:color="auto" w:fill="FFFFFF"/>
        </w:rPr>
        <w:t>- с 01.07.2020 по 31.12.2020 – 1 497,6 рублей/Гкал с НДС с ростом 3,4%.</w:t>
      </w:r>
    </w:p>
    <w:p w14:paraId="6F5A9709" w14:textId="77777777" w:rsidR="00DC6912" w:rsidRPr="00175E32" w:rsidRDefault="00DC6912" w:rsidP="001B16BB">
      <w:pPr>
        <w:spacing w:line="276" w:lineRule="auto"/>
        <w:ind w:right="-1"/>
        <w:rPr>
          <w:szCs w:val="24"/>
          <w:shd w:val="clear" w:color="auto" w:fill="FFFFFF"/>
        </w:rPr>
      </w:pPr>
      <w:r w:rsidRPr="00175E32">
        <w:rPr>
          <w:szCs w:val="24"/>
          <w:shd w:val="clear" w:color="auto" w:fill="FFFFFF"/>
        </w:rPr>
        <w:t>Рост тарифов на услуги по водоснабжению, водоотведению и очистке сточных вод организаций коммунального комплекса городского округа Тольятти во втором полугодии 2020 года составил:</w:t>
      </w:r>
    </w:p>
    <w:p w14:paraId="016118E7" w14:textId="77777777" w:rsidR="00DC6912" w:rsidRPr="00175E32" w:rsidRDefault="00DC6912" w:rsidP="001B16BB">
      <w:pPr>
        <w:spacing w:line="276" w:lineRule="auto"/>
        <w:ind w:right="-1"/>
        <w:rPr>
          <w:szCs w:val="24"/>
          <w:shd w:val="clear" w:color="auto" w:fill="FFFFFF"/>
        </w:rPr>
      </w:pPr>
      <w:r w:rsidRPr="00175E32">
        <w:rPr>
          <w:szCs w:val="24"/>
          <w:shd w:val="clear" w:color="auto" w:fill="FFFFFF"/>
        </w:rPr>
        <w:t>по водоснабжению:</w:t>
      </w:r>
    </w:p>
    <w:p w14:paraId="0505074D" w14:textId="77777777" w:rsidR="00DC6912" w:rsidRPr="00175E32" w:rsidRDefault="00DC6912" w:rsidP="001B16BB">
      <w:pPr>
        <w:spacing w:line="276" w:lineRule="auto"/>
        <w:ind w:right="-1"/>
        <w:rPr>
          <w:szCs w:val="24"/>
          <w:shd w:val="clear" w:color="auto" w:fill="FFFFFF"/>
        </w:rPr>
      </w:pPr>
      <w:r w:rsidRPr="00175E32">
        <w:rPr>
          <w:szCs w:val="24"/>
          <w:shd w:val="clear" w:color="auto" w:fill="FFFFFF"/>
        </w:rPr>
        <w:t>для ООО «Волжские коммунальные системы» (Центральный и Комсомольский районы городского округа Тольятти) - 4,0%;</w:t>
      </w:r>
    </w:p>
    <w:p w14:paraId="2CF5BCFD" w14:textId="77777777" w:rsidR="00DC6912" w:rsidRPr="00175E32" w:rsidRDefault="00DC6912" w:rsidP="001B16BB">
      <w:pPr>
        <w:spacing w:line="276" w:lineRule="auto"/>
        <w:ind w:right="-1"/>
        <w:rPr>
          <w:szCs w:val="24"/>
          <w:shd w:val="clear" w:color="auto" w:fill="FFFFFF"/>
        </w:rPr>
      </w:pPr>
      <w:r w:rsidRPr="00175E32">
        <w:rPr>
          <w:szCs w:val="24"/>
          <w:shd w:val="clear" w:color="auto" w:fill="FFFFFF"/>
        </w:rPr>
        <w:lastRenderedPageBreak/>
        <w:t>для АО «ТЕВИС» (Автозаводский район городского округа Тольятти) – 3,6%.</w:t>
      </w:r>
    </w:p>
    <w:p w14:paraId="6A5FF4BB" w14:textId="77777777" w:rsidR="00DC6912" w:rsidRPr="00175E32" w:rsidRDefault="00DC6912" w:rsidP="001B16BB">
      <w:pPr>
        <w:spacing w:line="276" w:lineRule="auto"/>
        <w:ind w:right="-1"/>
        <w:rPr>
          <w:szCs w:val="24"/>
          <w:shd w:val="clear" w:color="auto" w:fill="FFFFFF"/>
        </w:rPr>
      </w:pPr>
      <w:r w:rsidRPr="00175E32">
        <w:rPr>
          <w:szCs w:val="24"/>
          <w:shd w:val="clear" w:color="auto" w:fill="FFFFFF"/>
        </w:rPr>
        <w:t>по водоотведению и очистке сточных вод:</w:t>
      </w:r>
    </w:p>
    <w:p w14:paraId="7E3C9B09" w14:textId="77777777" w:rsidR="00DC6912" w:rsidRPr="00175E32" w:rsidRDefault="00DC6912" w:rsidP="001B16BB">
      <w:pPr>
        <w:spacing w:line="276" w:lineRule="auto"/>
        <w:ind w:right="-1"/>
        <w:rPr>
          <w:szCs w:val="24"/>
          <w:shd w:val="clear" w:color="auto" w:fill="FFFFFF"/>
        </w:rPr>
      </w:pPr>
      <w:r w:rsidRPr="00175E32">
        <w:rPr>
          <w:szCs w:val="24"/>
          <w:shd w:val="clear" w:color="auto" w:fill="FFFFFF"/>
        </w:rPr>
        <w:t>для ООО «Волжские коммунальные системы» (Центральный и Комсомольский районы городского округа Тольятти) - 3,6%;</w:t>
      </w:r>
    </w:p>
    <w:p w14:paraId="76149C68" w14:textId="77777777" w:rsidR="00DC6912" w:rsidRPr="00175E32" w:rsidRDefault="00DC6912" w:rsidP="001B16BB">
      <w:pPr>
        <w:spacing w:line="276" w:lineRule="auto"/>
        <w:ind w:right="-1"/>
        <w:rPr>
          <w:szCs w:val="24"/>
          <w:shd w:val="clear" w:color="auto" w:fill="FFFFFF"/>
        </w:rPr>
      </w:pPr>
      <w:r w:rsidRPr="00175E32">
        <w:rPr>
          <w:szCs w:val="24"/>
          <w:shd w:val="clear" w:color="auto" w:fill="FFFFFF"/>
        </w:rPr>
        <w:t>для АО «ТЕВИС» (Автозаводский район городского округа Тольятти) – 3,6% для не нормируемых абонентов (население) и 10,0% для абонентов, для которых устанавливаются нормативы водоотведения (сброса) по составу сточных вод.</w:t>
      </w:r>
    </w:p>
    <w:p w14:paraId="0FC1309A" w14:textId="77777777" w:rsidR="00DC6912" w:rsidRPr="00175E32" w:rsidRDefault="00DC6912" w:rsidP="001B16BB">
      <w:pPr>
        <w:spacing w:line="276" w:lineRule="auto"/>
        <w:ind w:right="-1"/>
        <w:rPr>
          <w:szCs w:val="24"/>
          <w:shd w:val="clear" w:color="auto" w:fill="FFFFFF"/>
        </w:rPr>
      </w:pPr>
      <w:r w:rsidRPr="00175E32">
        <w:rPr>
          <w:szCs w:val="24"/>
          <w:shd w:val="clear" w:color="auto" w:fill="FFFFFF"/>
        </w:rPr>
        <w:t>Рост тарифа на электрическую энергию для населения с 01.07.2020 составил:</w:t>
      </w:r>
    </w:p>
    <w:p w14:paraId="0172504D" w14:textId="77777777" w:rsidR="00DC6912" w:rsidRPr="00175E32" w:rsidRDefault="00DC6912" w:rsidP="001B16BB">
      <w:pPr>
        <w:spacing w:line="276" w:lineRule="auto"/>
        <w:ind w:right="-1"/>
        <w:rPr>
          <w:szCs w:val="24"/>
          <w:shd w:val="clear" w:color="auto" w:fill="FFFFFF"/>
        </w:rPr>
      </w:pPr>
      <w:r w:rsidRPr="00175E32">
        <w:rPr>
          <w:szCs w:val="24"/>
          <w:shd w:val="clear" w:color="auto" w:fill="FFFFFF"/>
        </w:rPr>
        <w:t>Для населения и приравненных к нему категорий, за исключением населения и потребителей, указанных в пунктах 2 и 3 приказа от 14.12.2018 № 776:</w:t>
      </w:r>
    </w:p>
    <w:p w14:paraId="197F50F9" w14:textId="77777777" w:rsidR="00DC6912" w:rsidRPr="00175E32" w:rsidRDefault="00DC6912" w:rsidP="001B16BB">
      <w:pPr>
        <w:spacing w:line="276" w:lineRule="auto"/>
        <w:ind w:right="-1"/>
        <w:rPr>
          <w:szCs w:val="24"/>
          <w:shd w:val="clear" w:color="auto" w:fill="FFFFFF"/>
        </w:rPr>
      </w:pPr>
      <w:r w:rsidRPr="00175E32">
        <w:rPr>
          <w:szCs w:val="24"/>
          <w:shd w:val="clear" w:color="auto" w:fill="FFFFFF"/>
        </w:rPr>
        <w:t xml:space="preserve">- </w:t>
      </w:r>
      <w:proofErr w:type="spellStart"/>
      <w:r w:rsidRPr="00175E32">
        <w:rPr>
          <w:szCs w:val="24"/>
          <w:shd w:val="clear" w:color="auto" w:fill="FFFFFF"/>
        </w:rPr>
        <w:t>одноставочный</w:t>
      </w:r>
      <w:proofErr w:type="spellEnd"/>
      <w:r w:rsidRPr="00175E32">
        <w:rPr>
          <w:szCs w:val="24"/>
          <w:shd w:val="clear" w:color="auto" w:fill="FFFFFF"/>
        </w:rPr>
        <w:t xml:space="preserve"> тариф – 3,6%;</w:t>
      </w:r>
    </w:p>
    <w:p w14:paraId="4452205F" w14:textId="77777777" w:rsidR="00DC6912" w:rsidRPr="00175E32" w:rsidRDefault="00DC6912" w:rsidP="001B16BB">
      <w:pPr>
        <w:spacing w:line="276" w:lineRule="auto"/>
        <w:ind w:right="-1"/>
        <w:rPr>
          <w:szCs w:val="24"/>
          <w:shd w:val="clear" w:color="auto" w:fill="FFFFFF"/>
        </w:rPr>
      </w:pPr>
      <w:r w:rsidRPr="00175E32">
        <w:rPr>
          <w:szCs w:val="24"/>
          <w:shd w:val="clear" w:color="auto" w:fill="FFFFFF"/>
        </w:rPr>
        <w:t xml:space="preserve"> - </w:t>
      </w:r>
      <w:proofErr w:type="spellStart"/>
      <w:r w:rsidRPr="00175E32">
        <w:rPr>
          <w:szCs w:val="24"/>
          <w:shd w:val="clear" w:color="auto" w:fill="FFFFFF"/>
        </w:rPr>
        <w:t>одноставочный</w:t>
      </w:r>
      <w:proofErr w:type="spellEnd"/>
      <w:r w:rsidRPr="00175E32">
        <w:rPr>
          <w:szCs w:val="24"/>
          <w:shd w:val="clear" w:color="auto" w:fill="FFFFFF"/>
        </w:rPr>
        <w:t xml:space="preserve"> тариф, дифференцированный по двум зонам суток – 5,3%.</w:t>
      </w:r>
    </w:p>
    <w:p w14:paraId="1DB0BF88" w14:textId="77777777" w:rsidR="00DC6912" w:rsidRPr="00175E32" w:rsidRDefault="00DC6912" w:rsidP="001B16BB">
      <w:pPr>
        <w:spacing w:line="276" w:lineRule="auto"/>
        <w:ind w:right="-1"/>
        <w:rPr>
          <w:szCs w:val="24"/>
          <w:shd w:val="clear" w:color="auto" w:fill="FFFFFF"/>
        </w:rPr>
      </w:pPr>
      <w:r w:rsidRPr="00175E32">
        <w:rPr>
          <w:szCs w:val="24"/>
          <w:shd w:val="clear" w:color="auto" w:fill="FFFFFF"/>
        </w:rPr>
        <w:t>Население, проживающее в городских населенных пунктах в домах, оборудованных в установленном порядке стационарными электроплитами и (или) электроотопительными установками, и приравненные к нему:</w:t>
      </w:r>
    </w:p>
    <w:p w14:paraId="20B08C7D" w14:textId="77777777" w:rsidR="00DC6912" w:rsidRPr="00175E32" w:rsidRDefault="00DC6912" w:rsidP="001B16BB">
      <w:pPr>
        <w:spacing w:line="276" w:lineRule="auto"/>
        <w:ind w:right="-1"/>
        <w:rPr>
          <w:szCs w:val="24"/>
          <w:shd w:val="clear" w:color="auto" w:fill="FFFFFF"/>
        </w:rPr>
      </w:pPr>
      <w:r w:rsidRPr="00175E32">
        <w:rPr>
          <w:szCs w:val="24"/>
          <w:shd w:val="clear" w:color="auto" w:fill="FFFFFF"/>
        </w:rPr>
        <w:t xml:space="preserve">- </w:t>
      </w:r>
      <w:proofErr w:type="spellStart"/>
      <w:r w:rsidRPr="00175E32">
        <w:rPr>
          <w:szCs w:val="24"/>
          <w:shd w:val="clear" w:color="auto" w:fill="FFFFFF"/>
        </w:rPr>
        <w:t>одноставочный</w:t>
      </w:r>
      <w:proofErr w:type="spellEnd"/>
      <w:r w:rsidRPr="00175E32">
        <w:rPr>
          <w:szCs w:val="24"/>
          <w:shd w:val="clear" w:color="auto" w:fill="FFFFFF"/>
        </w:rPr>
        <w:t xml:space="preserve"> тариф – 3,4%;</w:t>
      </w:r>
    </w:p>
    <w:p w14:paraId="300A6736" w14:textId="77777777" w:rsidR="00DC6912" w:rsidRPr="00175E32" w:rsidRDefault="00DC6912" w:rsidP="001B16BB">
      <w:pPr>
        <w:spacing w:line="276" w:lineRule="auto"/>
        <w:ind w:right="-1"/>
        <w:rPr>
          <w:szCs w:val="24"/>
          <w:shd w:val="clear" w:color="auto" w:fill="FFFFFF"/>
        </w:rPr>
      </w:pPr>
      <w:r w:rsidRPr="00175E32">
        <w:rPr>
          <w:szCs w:val="24"/>
          <w:shd w:val="clear" w:color="auto" w:fill="FFFFFF"/>
        </w:rPr>
        <w:t xml:space="preserve"> -тариф, дифференцированный по двум зонам суток – 4,3%.</w:t>
      </w:r>
    </w:p>
    <w:p w14:paraId="1A264741" w14:textId="77777777" w:rsidR="00DC6912" w:rsidRPr="00175E32" w:rsidRDefault="00DC6912" w:rsidP="001B16BB">
      <w:pPr>
        <w:spacing w:line="276" w:lineRule="auto"/>
        <w:ind w:right="-1"/>
        <w:rPr>
          <w:szCs w:val="24"/>
          <w:shd w:val="clear" w:color="auto" w:fill="FFFFFF"/>
        </w:rPr>
      </w:pPr>
      <w:r w:rsidRPr="00175E32">
        <w:rPr>
          <w:szCs w:val="24"/>
          <w:shd w:val="clear" w:color="auto" w:fill="FFFFFF"/>
        </w:rPr>
        <w:t>Рост тарифа на газ природный, реализуемый населению Самарской области с 01.07.2020 составил 3,4%.</w:t>
      </w:r>
    </w:p>
    <w:p w14:paraId="49884AC6" w14:textId="77777777" w:rsidR="00DC6912" w:rsidRPr="00175E32" w:rsidRDefault="00DC6912" w:rsidP="001B16BB">
      <w:pPr>
        <w:spacing w:line="276" w:lineRule="auto"/>
        <w:ind w:right="-1"/>
        <w:rPr>
          <w:szCs w:val="24"/>
          <w:shd w:val="clear" w:color="auto" w:fill="FFFFFF"/>
        </w:rPr>
      </w:pPr>
      <w:r w:rsidRPr="00175E32">
        <w:rPr>
          <w:szCs w:val="24"/>
          <w:shd w:val="clear" w:color="auto" w:fill="FFFFFF"/>
        </w:rPr>
        <w:t>С 01.07.2020 единый тариф на услугу по обращению с твердыми коммунальными отходами на территории Самарской области для населения составил 598,16 рублей.</w:t>
      </w:r>
    </w:p>
    <w:p w14:paraId="0CA976AF" w14:textId="77777777" w:rsidR="00DC6912" w:rsidRPr="00175E32" w:rsidRDefault="00DC6912" w:rsidP="001B16BB">
      <w:pPr>
        <w:spacing w:line="276" w:lineRule="auto"/>
        <w:ind w:right="-1"/>
        <w:rPr>
          <w:szCs w:val="24"/>
          <w:shd w:val="clear" w:color="auto" w:fill="FFFFFF"/>
        </w:rPr>
      </w:pPr>
      <w:r w:rsidRPr="00175E32">
        <w:rPr>
          <w:szCs w:val="24"/>
          <w:shd w:val="clear" w:color="auto" w:fill="FFFFFF"/>
        </w:rPr>
        <w:t>Размер платы за содержание жилого помещения для нанимателей муниципального жилищного фонда в 2020 году по степени благоустройства остался без изменений в соответствии с постановлением администрации городского округа Тольятти №1739-п/1 от 26.06.2019.</w:t>
      </w:r>
    </w:p>
    <w:p w14:paraId="5C3AC880" w14:textId="77777777" w:rsidR="00DC6912" w:rsidRPr="00175E32" w:rsidRDefault="00DC6912" w:rsidP="001B16BB">
      <w:pPr>
        <w:suppressAutoHyphens w:val="0"/>
        <w:spacing w:line="276" w:lineRule="auto"/>
        <w:rPr>
          <w:szCs w:val="24"/>
          <w:lang w:eastAsia="ru-RU"/>
        </w:rPr>
      </w:pPr>
      <w:r w:rsidRPr="00175E32">
        <w:rPr>
          <w:szCs w:val="24"/>
          <w:lang w:eastAsia="ru-RU"/>
        </w:rPr>
        <w:t xml:space="preserve">Постановлением администрации городского </w:t>
      </w:r>
      <w:r w:rsidR="00253F67">
        <w:rPr>
          <w:szCs w:val="24"/>
          <w:lang w:eastAsia="ru-RU"/>
        </w:rPr>
        <w:t>округа Тольятти от 25.12.2019 № </w:t>
      </w:r>
      <w:r w:rsidRPr="00175E32">
        <w:rPr>
          <w:szCs w:val="24"/>
          <w:lang w:eastAsia="ru-RU"/>
        </w:rPr>
        <w:t>3637-п/1 утверждены регулируемые тарифы на перевозки пассажиров и багажа по муниципальным маршрутам регулярных перевозок в городском округе Тольятти с 01.01.2020:</w:t>
      </w:r>
    </w:p>
    <w:p w14:paraId="562AC7CA" w14:textId="77777777" w:rsidR="00DC6912" w:rsidRPr="00175E32" w:rsidRDefault="00DC6912" w:rsidP="001B16BB">
      <w:pPr>
        <w:suppressAutoHyphens w:val="0"/>
        <w:spacing w:line="276" w:lineRule="auto"/>
        <w:rPr>
          <w:szCs w:val="24"/>
          <w:lang w:eastAsia="ru-RU"/>
        </w:rPr>
      </w:pPr>
      <w:r w:rsidRPr="00175E32">
        <w:rPr>
          <w:szCs w:val="24"/>
          <w:lang w:eastAsia="ru-RU"/>
        </w:rPr>
        <w:t>- регулируемые тарифы на перевозки пассажиров и багажа при приобретении билета на одну поездку в размере 29 рублей;</w:t>
      </w:r>
    </w:p>
    <w:p w14:paraId="423F82CC" w14:textId="77777777" w:rsidR="00DC6912" w:rsidRPr="00175E32" w:rsidRDefault="00DC6912" w:rsidP="001B16BB">
      <w:pPr>
        <w:suppressAutoHyphens w:val="0"/>
        <w:spacing w:line="276" w:lineRule="auto"/>
        <w:rPr>
          <w:szCs w:val="24"/>
          <w:lang w:eastAsia="ru-RU"/>
        </w:rPr>
      </w:pPr>
      <w:r w:rsidRPr="00175E32">
        <w:rPr>
          <w:szCs w:val="24"/>
          <w:lang w:eastAsia="ru-RU"/>
        </w:rPr>
        <w:t>- льготные регулируемые тарифы на перевозки пассажиров и багажа при оплате транспортными картами жителя городского округа Тольятти в размере 26 рублей;</w:t>
      </w:r>
    </w:p>
    <w:p w14:paraId="1989B3F6" w14:textId="77777777" w:rsidR="00DC6912" w:rsidRPr="00175E32" w:rsidRDefault="00DC6912" w:rsidP="001B16BB">
      <w:pPr>
        <w:suppressAutoHyphens w:val="0"/>
        <w:spacing w:line="276" w:lineRule="auto"/>
        <w:rPr>
          <w:szCs w:val="24"/>
          <w:lang w:eastAsia="ru-RU"/>
        </w:rPr>
      </w:pPr>
      <w:r w:rsidRPr="00175E32">
        <w:rPr>
          <w:szCs w:val="24"/>
          <w:lang w:eastAsia="ru-RU"/>
        </w:rPr>
        <w:t>- стоимость льготного электронного проездного билета «Студенческий» на месяц на два вида транспорта (автобус, троллейбус) в размере 870 рублей;</w:t>
      </w:r>
    </w:p>
    <w:p w14:paraId="52C9B4C4" w14:textId="77777777" w:rsidR="00DC6912" w:rsidRPr="00175E32" w:rsidRDefault="00DC6912" w:rsidP="001B16BB">
      <w:pPr>
        <w:suppressAutoHyphens w:val="0"/>
        <w:spacing w:line="276" w:lineRule="auto"/>
        <w:rPr>
          <w:szCs w:val="24"/>
          <w:lang w:eastAsia="ru-RU"/>
        </w:rPr>
      </w:pPr>
      <w:r w:rsidRPr="00175E32">
        <w:rPr>
          <w:szCs w:val="24"/>
          <w:lang w:eastAsia="ru-RU"/>
        </w:rPr>
        <w:t>- стоимость льготного электронного проездного билета «Для учащихся» на месяц на два вида транспорта (автобус, троллейбус) в размере 609 рублей;</w:t>
      </w:r>
    </w:p>
    <w:p w14:paraId="1F289939" w14:textId="77777777" w:rsidR="00DC6912" w:rsidRPr="00175E32" w:rsidRDefault="00DC6912" w:rsidP="001B16BB">
      <w:pPr>
        <w:suppressAutoHyphens w:val="0"/>
        <w:spacing w:line="276" w:lineRule="auto"/>
        <w:rPr>
          <w:szCs w:val="24"/>
          <w:lang w:eastAsia="ru-RU"/>
        </w:rPr>
      </w:pPr>
      <w:r w:rsidRPr="00175E32">
        <w:rPr>
          <w:szCs w:val="24"/>
          <w:lang w:eastAsia="ru-RU"/>
        </w:rPr>
        <w:t>- стоимость безлимитной единой транспортной карты на два вида транспорта (автобус, троллейбус) в размере 1 550 рублей.</w:t>
      </w:r>
    </w:p>
    <w:p w14:paraId="738AE743" w14:textId="77777777" w:rsidR="00616D7E" w:rsidRPr="00175E32" w:rsidRDefault="00616D7E" w:rsidP="00443EE9">
      <w:pPr>
        <w:pStyle w:val="1f0"/>
        <w:spacing w:line="276" w:lineRule="auto"/>
        <w:ind w:right="-1"/>
        <w:jc w:val="center"/>
        <w:rPr>
          <w:rFonts w:ascii="Times New Roman" w:hAnsi="Times New Roman" w:cs="Times New Roman"/>
          <w:b/>
          <w:szCs w:val="24"/>
        </w:rPr>
      </w:pPr>
    </w:p>
    <w:p w14:paraId="32D6E116" w14:textId="77777777" w:rsidR="004D3812" w:rsidRPr="00175E32" w:rsidRDefault="004D3812" w:rsidP="00974690">
      <w:pPr>
        <w:pStyle w:val="3"/>
        <w:rPr>
          <w:rStyle w:val="31"/>
          <w:rFonts w:ascii="Times New Roman" w:hAnsi="Times New Roman"/>
          <w:b/>
          <w:bCs w:val="0"/>
          <w:sz w:val="24"/>
          <w:szCs w:val="20"/>
        </w:rPr>
      </w:pPr>
      <w:r w:rsidRPr="00175E32">
        <w:rPr>
          <w:rStyle w:val="31"/>
          <w:rFonts w:ascii="Times New Roman" w:hAnsi="Times New Roman"/>
          <w:b/>
          <w:bCs w:val="0"/>
          <w:sz w:val="24"/>
          <w:szCs w:val="20"/>
        </w:rPr>
        <w:lastRenderedPageBreak/>
        <w:t>Промышленное производство</w:t>
      </w:r>
      <w:bookmarkStart w:id="0" w:name="пром"/>
      <w:bookmarkEnd w:id="0"/>
      <w:r w:rsidRPr="00175E32">
        <w:rPr>
          <w:rStyle w:val="31"/>
          <w:rFonts w:ascii="Times New Roman" w:hAnsi="Times New Roman"/>
          <w:b/>
          <w:bCs w:val="0"/>
          <w:sz w:val="24"/>
          <w:szCs w:val="20"/>
        </w:rPr>
        <w:t xml:space="preserve"> </w:t>
      </w:r>
    </w:p>
    <w:p w14:paraId="7885EA9F" w14:textId="77777777" w:rsidR="004D3812" w:rsidRPr="00175E32" w:rsidRDefault="004D3812" w:rsidP="00974690">
      <w:pPr>
        <w:pStyle w:val="1f0"/>
        <w:keepNext/>
        <w:spacing w:line="276" w:lineRule="auto"/>
        <w:ind w:right="-1"/>
        <w:jc w:val="center"/>
        <w:rPr>
          <w:rFonts w:ascii="Times New Roman" w:hAnsi="Times New Roman" w:cs="Times New Roman"/>
          <w:b/>
          <w:szCs w:val="24"/>
        </w:rPr>
      </w:pPr>
      <w:r w:rsidRPr="00175E32">
        <w:rPr>
          <w:rFonts w:ascii="Times New Roman" w:hAnsi="Times New Roman" w:cs="Times New Roman"/>
          <w:b/>
          <w:szCs w:val="24"/>
        </w:rPr>
        <w:t>(Обрабатывающие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w:t>
      </w:r>
    </w:p>
    <w:p w14:paraId="4486C99A" w14:textId="77777777" w:rsidR="004D3812" w:rsidRPr="00175E32" w:rsidRDefault="004D3812" w:rsidP="00974690">
      <w:pPr>
        <w:pStyle w:val="1f0"/>
        <w:keepNext/>
        <w:spacing w:line="276" w:lineRule="auto"/>
        <w:ind w:right="-1"/>
        <w:jc w:val="center"/>
        <w:rPr>
          <w:rFonts w:ascii="Times New Roman" w:hAnsi="Times New Roman" w:cs="Times New Roman"/>
          <w:b/>
          <w:szCs w:val="24"/>
        </w:rPr>
      </w:pPr>
    </w:p>
    <w:p w14:paraId="01F0EBE5" w14:textId="77777777" w:rsidR="00CD4711" w:rsidRPr="00175E32" w:rsidRDefault="00CD4711" w:rsidP="001B16BB">
      <w:pPr>
        <w:keepNext/>
        <w:suppressAutoHyphens w:val="0"/>
        <w:spacing w:line="276" w:lineRule="auto"/>
        <w:rPr>
          <w:rFonts w:eastAsia="Calibri"/>
          <w:szCs w:val="24"/>
          <w:lang w:eastAsia="ru-RU"/>
        </w:rPr>
      </w:pPr>
      <w:r w:rsidRPr="00175E32">
        <w:rPr>
          <w:rFonts w:eastAsia="Calibri"/>
          <w:szCs w:val="24"/>
          <w:lang w:eastAsia="ru-RU"/>
        </w:rPr>
        <w:t>В текущем году в промышленном комплексе городского округа Тольятти наблюдается отрицательная динамика развития.</w:t>
      </w:r>
    </w:p>
    <w:p w14:paraId="12966698" w14:textId="77777777" w:rsidR="00CD4711" w:rsidRPr="00175E32" w:rsidRDefault="00CD4711" w:rsidP="001B16BB">
      <w:pPr>
        <w:widowControl w:val="0"/>
        <w:numPr>
          <w:ilvl w:val="0"/>
          <w:numId w:val="5"/>
        </w:numPr>
        <w:tabs>
          <w:tab w:val="left" w:pos="142"/>
          <w:tab w:val="left" w:pos="9720"/>
        </w:tabs>
        <w:suppressAutoHyphens w:val="0"/>
        <w:snapToGrid w:val="0"/>
        <w:spacing w:after="200" w:line="276" w:lineRule="auto"/>
        <w:ind w:left="0" w:firstLine="709"/>
        <w:contextualSpacing/>
        <w:textAlignment w:val="top"/>
        <w:rPr>
          <w:szCs w:val="24"/>
          <w:lang w:eastAsia="ru-RU"/>
        </w:rPr>
      </w:pPr>
      <w:r w:rsidRPr="00175E32">
        <w:rPr>
          <w:szCs w:val="24"/>
          <w:lang w:eastAsia="ru-RU"/>
        </w:rPr>
        <w:t xml:space="preserve">Ограничительные меры, направленные на предотвращение распространения новой коронавирусной инфекции, негативно повлияли на работу большинства промышленных предприятий </w:t>
      </w:r>
      <w:r w:rsidR="00591ECB" w:rsidRPr="00175E32">
        <w:rPr>
          <w:shd w:val="clear" w:color="auto" w:fill="FFFFFF"/>
        </w:rPr>
        <w:t>городского округа Тольятти</w:t>
      </w:r>
      <w:r w:rsidRPr="00175E32">
        <w:rPr>
          <w:szCs w:val="24"/>
          <w:lang w:eastAsia="ru-RU"/>
        </w:rPr>
        <w:t xml:space="preserve"> во втором квартале 2020 года, многие из них были вынуждены сократить производство, находились в простое. Это привело к снижению показателей деятельности по большинству видов промышленной деятельности. </w:t>
      </w:r>
    </w:p>
    <w:p w14:paraId="2EEA83C1" w14:textId="77777777" w:rsidR="00CD4711" w:rsidRPr="00175E32" w:rsidRDefault="00CD4711" w:rsidP="001B16BB">
      <w:pPr>
        <w:widowControl w:val="0"/>
        <w:spacing w:line="276" w:lineRule="auto"/>
        <w:rPr>
          <w:szCs w:val="24"/>
          <w:lang w:eastAsia="ru-RU"/>
        </w:rPr>
      </w:pPr>
      <w:r w:rsidRPr="00175E32">
        <w:rPr>
          <w:szCs w:val="24"/>
          <w:lang w:eastAsia="ru-RU"/>
        </w:rPr>
        <w:t>Так, за январь-июнь 2020 года индекс промышленного производства, который характеризует динамику объемов промышленного производства в натуральном выражении, составил 84,5% к уровню аналогичного периода 2019 года, в том числе в обрабатывающем секторе – 84,3%, в обеспечении электрической энергией, газом и паром; кондиционировании воздуха – 89,6%; в водоснабжении, водоотведении, организации сбора и утилизации отходов, деятельности по ликвидации загрязнений – 80,4%.</w:t>
      </w:r>
    </w:p>
    <w:p w14:paraId="75CD45DF" w14:textId="77777777" w:rsidR="00CD4711" w:rsidRPr="00175E32" w:rsidRDefault="00CD4711" w:rsidP="001B16BB">
      <w:pPr>
        <w:widowControl w:val="0"/>
        <w:spacing w:line="276" w:lineRule="auto"/>
        <w:rPr>
          <w:szCs w:val="24"/>
          <w:lang w:eastAsia="ru-RU"/>
        </w:rPr>
      </w:pPr>
      <w:r w:rsidRPr="00175E32">
        <w:rPr>
          <w:szCs w:val="24"/>
          <w:lang w:eastAsia="ru-RU"/>
        </w:rPr>
        <w:t>Объем отгруженной продукции собственного производства по видам промышленной деятельности снизился в 1 полугодии 2020 года на 22,6% к аналогичному периоду 2019 года и составил 213 634,1 млн. рублей, в том числе в обрабатывающем секторе - на 23,5% до 194 956,1 млн. рублей, в обеспечении электрической энергией, газом и паром; кондиционировании воздуха снизился н</w:t>
      </w:r>
      <w:r w:rsidR="00253F67">
        <w:rPr>
          <w:szCs w:val="24"/>
          <w:lang w:eastAsia="ru-RU"/>
        </w:rPr>
        <w:t>а 9,7% и составил 11 165,9 млн. </w:t>
      </w:r>
      <w:r w:rsidRPr="00175E32">
        <w:rPr>
          <w:szCs w:val="24"/>
          <w:lang w:eastAsia="ru-RU"/>
        </w:rPr>
        <w:t xml:space="preserve">рублей; в водоснабжении, водоотведении, организации сбора и утилизации отходов, деятельности по ликвидации загрязнений упал на 12,6% </w:t>
      </w:r>
      <w:r w:rsidR="00253F67">
        <w:rPr>
          <w:szCs w:val="24"/>
          <w:lang w:eastAsia="ru-RU"/>
        </w:rPr>
        <w:t>и составил 7 512,</w:t>
      </w:r>
      <w:r w:rsidR="00D126DE">
        <w:rPr>
          <w:szCs w:val="24"/>
          <w:lang w:eastAsia="ru-RU"/>
        </w:rPr>
        <w:t>1</w:t>
      </w:r>
      <w:r w:rsidR="00253F67">
        <w:rPr>
          <w:szCs w:val="24"/>
          <w:lang w:eastAsia="ru-RU"/>
        </w:rPr>
        <w:t> млн. рублей.</w:t>
      </w:r>
    </w:p>
    <w:p w14:paraId="5EFE7625" w14:textId="77777777" w:rsidR="00712A49" w:rsidRPr="00712A49" w:rsidRDefault="00712A49" w:rsidP="001B16BB">
      <w:pPr>
        <w:widowControl w:val="0"/>
        <w:spacing w:line="276" w:lineRule="auto"/>
        <w:rPr>
          <w:szCs w:val="24"/>
          <w:lang w:eastAsia="ru-RU"/>
        </w:rPr>
      </w:pPr>
      <w:r w:rsidRPr="00712A49">
        <w:rPr>
          <w:szCs w:val="24"/>
          <w:lang w:eastAsia="ru-RU"/>
        </w:rPr>
        <w:t>В рейтинге городских округов Самарской области по индексу промышленного производства в 1 полугодии 20</w:t>
      </w:r>
      <w:r>
        <w:rPr>
          <w:szCs w:val="24"/>
          <w:lang w:eastAsia="ru-RU"/>
        </w:rPr>
        <w:t>20</w:t>
      </w:r>
      <w:r w:rsidRPr="00712A49">
        <w:rPr>
          <w:szCs w:val="24"/>
          <w:lang w:eastAsia="ru-RU"/>
        </w:rPr>
        <w:t xml:space="preserve"> года городской округ Тольятти спустился с </w:t>
      </w:r>
      <w:r w:rsidR="00591ECB">
        <w:rPr>
          <w:szCs w:val="24"/>
          <w:lang w:eastAsia="ru-RU"/>
        </w:rPr>
        <w:t>шестого</w:t>
      </w:r>
      <w:r w:rsidRPr="00712A49">
        <w:rPr>
          <w:szCs w:val="24"/>
          <w:lang w:eastAsia="ru-RU"/>
        </w:rPr>
        <w:t xml:space="preserve"> места на </w:t>
      </w:r>
      <w:r w:rsidR="00591ECB">
        <w:rPr>
          <w:szCs w:val="24"/>
          <w:lang w:eastAsia="ru-RU"/>
        </w:rPr>
        <w:t>восьмое</w:t>
      </w:r>
      <w:r w:rsidRPr="00712A49">
        <w:rPr>
          <w:szCs w:val="24"/>
          <w:lang w:eastAsia="ru-RU"/>
        </w:rPr>
        <w:t xml:space="preserve"> место. По объемам отгруженной промышленной продукции на душу населения (</w:t>
      </w:r>
      <w:r w:rsidR="006B0473">
        <w:rPr>
          <w:szCs w:val="24"/>
          <w:lang w:eastAsia="ru-RU"/>
        </w:rPr>
        <w:t>305 521</w:t>
      </w:r>
      <w:r w:rsidRPr="00712A49">
        <w:rPr>
          <w:szCs w:val="24"/>
          <w:lang w:eastAsia="ru-RU"/>
        </w:rPr>
        <w:t xml:space="preserve"> рублей) </w:t>
      </w:r>
      <w:r w:rsidR="006B0473">
        <w:rPr>
          <w:szCs w:val="24"/>
          <w:lang w:eastAsia="ru-RU"/>
        </w:rPr>
        <w:t xml:space="preserve">занял </w:t>
      </w:r>
      <w:r w:rsidR="006975DC">
        <w:rPr>
          <w:szCs w:val="24"/>
          <w:lang w:eastAsia="ru-RU"/>
        </w:rPr>
        <w:t>третье</w:t>
      </w:r>
      <w:r w:rsidR="006B0473">
        <w:rPr>
          <w:szCs w:val="24"/>
          <w:lang w:eastAsia="ru-RU"/>
        </w:rPr>
        <w:t xml:space="preserve"> место </w:t>
      </w:r>
      <w:r w:rsidR="006B0473" w:rsidRPr="00712A49">
        <w:rPr>
          <w:szCs w:val="24"/>
          <w:lang w:eastAsia="ru-RU"/>
        </w:rPr>
        <w:t>(</w:t>
      </w:r>
      <w:r w:rsidR="006B0473">
        <w:rPr>
          <w:szCs w:val="24"/>
          <w:lang w:eastAsia="ru-RU"/>
        </w:rPr>
        <w:t xml:space="preserve">годом ранее занимал </w:t>
      </w:r>
      <w:r w:rsidR="006975DC">
        <w:rPr>
          <w:szCs w:val="24"/>
          <w:lang w:eastAsia="ru-RU"/>
        </w:rPr>
        <w:t>второе</w:t>
      </w:r>
      <w:r w:rsidR="006B0473">
        <w:rPr>
          <w:szCs w:val="24"/>
          <w:lang w:eastAsia="ru-RU"/>
        </w:rPr>
        <w:t xml:space="preserve"> место</w:t>
      </w:r>
      <w:r w:rsidR="006B0473" w:rsidRPr="00712A49">
        <w:rPr>
          <w:szCs w:val="24"/>
          <w:lang w:eastAsia="ru-RU"/>
        </w:rPr>
        <w:t>)</w:t>
      </w:r>
      <w:r w:rsidRPr="00712A49">
        <w:rPr>
          <w:szCs w:val="24"/>
          <w:lang w:eastAsia="ru-RU"/>
        </w:rPr>
        <w:t>.</w:t>
      </w:r>
    </w:p>
    <w:p w14:paraId="63074647" w14:textId="77777777" w:rsidR="00935A83" w:rsidRPr="00175E32" w:rsidRDefault="00CD4711" w:rsidP="001B16BB">
      <w:pPr>
        <w:pStyle w:val="afb"/>
        <w:tabs>
          <w:tab w:val="left" w:pos="142"/>
          <w:tab w:val="left" w:pos="709"/>
          <w:tab w:val="left" w:pos="9720"/>
        </w:tabs>
        <w:spacing w:line="276" w:lineRule="auto"/>
        <w:ind w:left="0"/>
        <w:textAlignment w:val="top"/>
        <w:rPr>
          <w:rFonts w:eastAsia="Calibri"/>
          <w:szCs w:val="24"/>
          <w:lang w:eastAsia="en-US"/>
        </w:rPr>
      </w:pPr>
      <w:r w:rsidRPr="00175E32">
        <w:rPr>
          <w:szCs w:val="24"/>
          <w:lang w:eastAsia="ru-RU"/>
        </w:rPr>
        <w:t xml:space="preserve">В структуре промышленности </w:t>
      </w:r>
      <w:r w:rsidR="00D126DE">
        <w:rPr>
          <w:szCs w:val="24"/>
          <w:lang w:eastAsia="ru-RU"/>
        </w:rPr>
        <w:t>городского округа Тольятти</w:t>
      </w:r>
      <w:r w:rsidRPr="00175E32">
        <w:rPr>
          <w:szCs w:val="24"/>
          <w:lang w:eastAsia="ru-RU"/>
        </w:rPr>
        <w:t xml:space="preserve"> по-прежнему преобладают традиционные виды деятельности - автомобилестроение и химическое производство</w:t>
      </w:r>
      <w:r w:rsidR="00935A83" w:rsidRPr="00175E32">
        <w:rPr>
          <w:szCs w:val="24"/>
          <w:lang w:eastAsia="ru-RU"/>
        </w:rPr>
        <w:t>.</w:t>
      </w:r>
      <w:r w:rsidRPr="00175E32">
        <w:rPr>
          <w:szCs w:val="24"/>
          <w:lang w:eastAsia="ru-RU"/>
        </w:rPr>
        <w:t xml:space="preserve"> </w:t>
      </w:r>
      <w:r w:rsidR="00935A83" w:rsidRPr="00C3522F">
        <w:rPr>
          <w:rFonts w:eastAsia="Calibri"/>
          <w:szCs w:val="24"/>
          <w:lang w:eastAsia="en-US"/>
        </w:rPr>
        <w:t xml:space="preserve">При этом доля автомобилестроительной отрасли снизилась на </w:t>
      </w:r>
      <w:r w:rsidR="00BC64F5" w:rsidRPr="00C3522F">
        <w:rPr>
          <w:rFonts w:eastAsia="Calibri"/>
          <w:szCs w:val="24"/>
          <w:lang w:eastAsia="en-US"/>
        </w:rPr>
        <w:t>9,7</w:t>
      </w:r>
      <w:r w:rsidR="00935A83" w:rsidRPr="00C3522F">
        <w:rPr>
          <w:rFonts w:eastAsia="Calibri"/>
          <w:szCs w:val="24"/>
          <w:lang w:eastAsia="en-US"/>
        </w:rPr>
        <w:t xml:space="preserve"> процентных пункта и составила </w:t>
      </w:r>
      <w:r w:rsidR="00BC64F5" w:rsidRPr="00C3522F">
        <w:rPr>
          <w:rFonts w:eastAsia="Calibri"/>
          <w:szCs w:val="24"/>
          <w:lang w:eastAsia="en-US"/>
        </w:rPr>
        <w:t>53,5</w:t>
      </w:r>
      <w:r w:rsidR="00935A83" w:rsidRPr="00C3522F">
        <w:rPr>
          <w:rFonts w:eastAsia="Calibri"/>
          <w:szCs w:val="24"/>
          <w:lang w:eastAsia="en-US"/>
        </w:rPr>
        <w:t>%, доля химического прои</w:t>
      </w:r>
      <w:r w:rsidR="00FC1C3D" w:rsidRPr="00C3522F">
        <w:rPr>
          <w:rFonts w:eastAsia="Calibri"/>
          <w:szCs w:val="24"/>
          <w:lang w:eastAsia="en-US"/>
        </w:rPr>
        <w:t>зводства, напротив, выросла на 4</w:t>
      </w:r>
      <w:r w:rsidR="00935A83" w:rsidRPr="00C3522F">
        <w:rPr>
          <w:rFonts w:eastAsia="Calibri"/>
          <w:szCs w:val="24"/>
          <w:lang w:eastAsia="en-US"/>
        </w:rPr>
        <w:t xml:space="preserve">,2 процентных пункта до </w:t>
      </w:r>
      <w:r w:rsidR="00FC1C3D" w:rsidRPr="00C3522F">
        <w:rPr>
          <w:rFonts w:eastAsia="Calibri"/>
          <w:szCs w:val="24"/>
          <w:lang w:eastAsia="en-US"/>
        </w:rPr>
        <w:t>28,4</w:t>
      </w:r>
      <w:r w:rsidR="00935A83" w:rsidRPr="00C3522F">
        <w:rPr>
          <w:rFonts w:eastAsia="Calibri"/>
          <w:szCs w:val="24"/>
          <w:lang w:eastAsia="en-US"/>
        </w:rPr>
        <w:t>%.</w:t>
      </w:r>
      <w:r w:rsidR="00AC7FC1" w:rsidRPr="00C3522F">
        <w:rPr>
          <w:rFonts w:eastAsia="Calibri"/>
          <w:szCs w:val="24"/>
          <w:lang w:eastAsia="en-US"/>
        </w:rPr>
        <w:t xml:space="preserve"> </w:t>
      </w:r>
      <w:r w:rsidR="00935A83" w:rsidRPr="00C3522F">
        <w:rPr>
          <w:rFonts w:eastAsia="Calibri"/>
          <w:szCs w:val="24"/>
          <w:lang w:eastAsia="en-US"/>
        </w:rPr>
        <w:t xml:space="preserve">Удельный вес остальных производств в отгрузке промышленной продукции вырос на </w:t>
      </w:r>
      <w:r w:rsidR="00FC1C3D" w:rsidRPr="00C3522F">
        <w:rPr>
          <w:rFonts w:eastAsia="Calibri"/>
          <w:szCs w:val="24"/>
          <w:lang w:eastAsia="en-US"/>
        </w:rPr>
        <w:t>5,5 </w:t>
      </w:r>
      <w:r w:rsidR="00935A83" w:rsidRPr="00C3522F">
        <w:rPr>
          <w:rFonts w:eastAsia="Calibri"/>
          <w:szCs w:val="24"/>
          <w:lang w:eastAsia="en-US"/>
        </w:rPr>
        <w:t xml:space="preserve">процентных пункта и составил </w:t>
      </w:r>
      <w:r w:rsidR="00FC1C3D" w:rsidRPr="00C3522F">
        <w:rPr>
          <w:rFonts w:eastAsia="Calibri"/>
          <w:szCs w:val="24"/>
          <w:lang w:eastAsia="en-US"/>
        </w:rPr>
        <w:t>18,1</w:t>
      </w:r>
      <w:r w:rsidR="00935A83" w:rsidRPr="00C3522F">
        <w:rPr>
          <w:rFonts w:eastAsia="Calibri"/>
          <w:szCs w:val="24"/>
          <w:lang w:eastAsia="en-US"/>
        </w:rPr>
        <w:t>%.</w:t>
      </w:r>
    </w:p>
    <w:p w14:paraId="291FEDA8" w14:textId="77777777" w:rsidR="00CD4711" w:rsidRPr="00175E32" w:rsidRDefault="00AC7FC1" w:rsidP="001B16BB">
      <w:pPr>
        <w:tabs>
          <w:tab w:val="left" w:pos="142"/>
          <w:tab w:val="left" w:pos="709"/>
          <w:tab w:val="left" w:pos="9720"/>
        </w:tabs>
        <w:suppressAutoHyphens w:val="0"/>
        <w:spacing w:line="276" w:lineRule="auto"/>
        <w:textAlignment w:val="top"/>
        <w:rPr>
          <w:szCs w:val="24"/>
          <w:lang w:eastAsia="ru-RU"/>
        </w:rPr>
      </w:pPr>
      <w:r w:rsidRPr="00175E32">
        <w:rPr>
          <w:szCs w:val="24"/>
          <w:lang w:eastAsia="ru-RU"/>
        </w:rPr>
        <w:t>В 1 полугодии текущего года в</w:t>
      </w:r>
      <w:r w:rsidR="00CD4711" w:rsidRPr="00175E32">
        <w:rPr>
          <w:szCs w:val="24"/>
          <w:lang w:eastAsia="ru-RU"/>
        </w:rPr>
        <w:t xml:space="preserve"> производстве автотранспортных средств, прицепов и полуприцепов индекс промышленного производства составил 65%. Объем отгруженной продукции снизился на 34,6% до 114 204,5 млн. рублей.</w:t>
      </w:r>
    </w:p>
    <w:p w14:paraId="48ED1408" w14:textId="77777777" w:rsidR="00CD4711" w:rsidRPr="00175E32" w:rsidRDefault="00CD4711" w:rsidP="001B16BB">
      <w:pPr>
        <w:widowControl w:val="0"/>
        <w:suppressAutoHyphens w:val="0"/>
        <w:spacing w:line="276" w:lineRule="auto"/>
        <w:rPr>
          <w:rFonts w:eastAsia="Calibri"/>
          <w:szCs w:val="24"/>
          <w:lang w:eastAsia="ru-RU"/>
        </w:rPr>
      </w:pPr>
      <w:r w:rsidRPr="00175E32">
        <w:rPr>
          <w:rFonts w:eastAsia="Calibri"/>
          <w:szCs w:val="24"/>
          <w:lang w:eastAsia="ru-RU"/>
        </w:rPr>
        <w:t xml:space="preserve">Производство легковых автомобилей снизилось на 34,2% до 127,7 тыс. штук, объем комплектующих и принадлежностей для автотранспортных средств снизился на 38,7% </w:t>
      </w:r>
      <w:r w:rsidR="002421C7" w:rsidRPr="00175E32">
        <w:rPr>
          <w:rFonts w:eastAsia="Calibri"/>
          <w:szCs w:val="24"/>
          <w:lang w:eastAsia="ru-RU"/>
        </w:rPr>
        <w:t>до</w:t>
      </w:r>
      <w:r w:rsidR="00253F67">
        <w:rPr>
          <w:rFonts w:eastAsia="Calibri"/>
          <w:szCs w:val="24"/>
          <w:lang w:eastAsia="ru-RU"/>
        </w:rPr>
        <w:t xml:space="preserve"> 25 215,2 млн. рублей.</w:t>
      </w:r>
    </w:p>
    <w:p w14:paraId="4A26541E" w14:textId="77777777" w:rsidR="00CD4711" w:rsidRPr="00175E32" w:rsidRDefault="00CD4711" w:rsidP="001B16BB">
      <w:pPr>
        <w:suppressAutoHyphens w:val="0"/>
        <w:spacing w:line="276" w:lineRule="auto"/>
        <w:ind w:right="-1"/>
        <w:rPr>
          <w:szCs w:val="24"/>
          <w:lang w:eastAsia="ru-RU"/>
        </w:rPr>
      </w:pPr>
      <w:r w:rsidRPr="00175E32">
        <w:rPr>
          <w:szCs w:val="24"/>
          <w:lang w:eastAsia="ru-RU"/>
        </w:rPr>
        <w:t>Основное влияние на динамику показателей в автомобилестроении оказы</w:t>
      </w:r>
      <w:r w:rsidR="00B54078" w:rsidRPr="00175E32">
        <w:rPr>
          <w:szCs w:val="24"/>
          <w:lang w:eastAsia="ru-RU"/>
        </w:rPr>
        <w:t>вает деятельность АО «АВТОВАЗ».</w:t>
      </w:r>
    </w:p>
    <w:p w14:paraId="3B75DB3D" w14:textId="77777777" w:rsidR="00CD4711" w:rsidRPr="00175E32" w:rsidRDefault="00CD4711" w:rsidP="001B16BB">
      <w:pPr>
        <w:suppressAutoHyphens w:val="0"/>
        <w:spacing w:line="276" w:lineRule="auto"/>
        <w:ind w:right="-1"/>
        <w:rPr>
          <w:szCs w:val="24"/>
          <w:lang w:eastAsia="ru-RU"/>
        </w:rPr>
      </w:pPr>
      <w:r w:rsidRPr="00175E32">
        <w:rPr>
          <w:szCs w:val="24"/>
          <w:lang w:eastAsia="ru-RU"/>
        </w:rPr>
        <w:t xml:space="preserve">В связи с прогнозируемым снижением российского авторынка руководство АО «АВТОВАЗ» планировало ввести режим неполной четырехдневной рабочей недели с </w:t>
      </w:r>
      <w:r w:rsidRPr="00175E32">
        <w:rPr>
          <w:szCs w:val="24"/>
          <w:lang w:eastAsia="ru-RU"/>
        </w:rPr>
        <w:lastRenderedPageBreak/>
        <w:t>31 августа по 27 декабря 2020 года. Но 19 августа АО «АВТОВАЗ» сообщило об отказе от введения неполного рабочего дня. Это связано с обеспеченностью предприятия заказами на новые автомобили на ближайшие месяцы текущего года (август, сентябрь) в рамках программ опережающих государственных закупок, принятых по инициативе Министерства промышленности и торговли РФ и по решению президента РФ, роста корпоративных продаж, а также начала восстановления спроса на автомобильном рынке.</w:t>
      </w:r>
      <w:r w:rsidRPr="00175E32">
        <w:rPr>
          <w:color w:val="5E5E5E"/>
          <w:szCs w:val="24"/>
          <w:shd w:val="clear" w:color="auto" w:fill="FFFFFF"/>
          <w:lang w:eastAsia="ru-RU"/>
        </w:rPr>
        <w:t xml:space="preserve"> </w:t>
      </w:r>
      <w:r w:rsidRPr="00175E32">
        <w:rPr>
          <w:szCs w:val="24"/>
          <w:lang w:eastAsia="ru-RU"/>
        </w:rPr>
        <w:t>Положительное влияние на отрасль оказали расширенные меры государственной поддержки спроса, которые уже показали свою эффективность, а также постепенное снятие санитарных ограничений в большинстве регионов страны и открытие дилерских центров LADA.</w:t>
      </w:r>
    </w:p>
    <w:p w14:paraId="336892EB" w14:textId="77777777" w:rsidR="00CD4711" w:rsidRPr="00175E32" w:rsidRDefault="00CD4711" w:rsidP="001B16BB">
      <w:pPr>
        <w:suppressAutoHyphens w:val="0"/>
        <w:spacing w:line="276" w:lineRule="auto"/>
        <w:ind w:right="-1"/>
        <w:rPr>
          <w:szCs w:val="24"/>
          <w:lang w:eastAsia="ru-RU"/>
        </w:rPr>
      </w:pPr>
      <w:r w:rsidRPr="00175E32">
        <w:rPr>
          <w:szCs w:val="24"/>
          <w:lang w:eastAsia="ru-RU"/>
        </w:rPr>
        <w:t xml:space="preserve">Тем не менее, данные меры не позволят достичь или превысить значений показателей 2019 года, снижение по виду деятельности «производство автотранспортных средств, прицепов и полуприцепов» по итогам 2020 года будет менее глубоким – индекс производства составит </w:t>
      </w:r>
      <w:r w:rsidR="002421C7" w:rsidRPr="00175E32">
        <w:rPr>
          <w:szCs w:val="24"/>
          <w:lang w:eastAsia="ru-RU"/>
        </w:rPr>
        <w:t>85,6</w:t>
      </w:r>
      <w:r w:rsidR="00FC1C3D">
        <w:rPr>
          <w:szCs w:val="24"/>
          <w:lang w:eastAsia="ru-RU"/>
        </w:rPr>
        <w:t>%.</w:t>
      </w:r>
    </w:p>
    <w:p w14:paraId="4DD92074" w14:textId="77777777" w:rsidR="00CD4711" w:rsidRPr="00175E32" w:rsidRDefault="00CD4711" w:rsidP="001B16BB">
      <w:pPr>
        <w:suppressAutoHyphens w:val="0"/>
        <w:spacing w:line="276" w:lineRule="auto"/>
        <w:ind w:right="-1"/>
        <w:rPr>
          <w:szCs w:val="24"/>
          <w:lang w:eastAsia="ru-RU"/>
        </w:rPr>
      </w:pPr>
      <w:r w:rsidRPr="00175E32">
        <w:rPr>
          <w:szCs w:val="24"/>
          <w:lang w:eastAsia="ru-RU"/>
        </w:rPr>
        <w:t xml:space="preserve">Производство легковых автомобилей на территории городского округа Тольятти оценивается на уровне </w:t>
      </w:r>
      <w:r w:rsidR="005A545B" w:rsidRPr="00175E32">
        <w:rPr>
          <w:szCs w:val="24"/>
          <w:lang w:eastAsia="ru-RU"/>
        </w:rPr>
        <w:t>326</w:t>
      </w:r>
      <w:r w:rsidR="002421C7" w:rsidRPr="00175E32">
        <w:rPr>
          <w:szCs w:val="24"/>
          <w:lang w:eastAsia="ru-RU"/>
        </w:rPr>
        <w:t>,0</w:t>
      </w:r>
      <w:r w:rsidRPr="00175E32">
        <w:rPr>
          <w:szCs w:val="24"/>
          <w:lang w:eastAsia="ru-RU"/>
        </w:rPr>
        <w:t xml:space="preserve"> тыс. штук (в 2019 году произведено 377,2 тыс. штук), объем отгруженной автомобильной продукции – на сумму </w:t>
      </w:r>
      <w:r w:rsidR="002421C7" w:rsidRPr="00175E32">
        <w:rPr>
          <w:szCs w:val="24"/>
          <w:lang w:eastAsia="ru-RU"/>
        </w:rPr>
        <w:t>305 785</w:t>
      </w:r>
      <w:r w:rsidRPr="00175E32">
        <w:rPr>
          <w:szCs w:val="24"/>
          <w:lang w:eastAsia="ru-RU"/>
        </w:rPr>
        <w:t xml:space="preserve"> млн. рублей (на </w:t>
      </w:r>
      <w:r w:rsidR="002421C7" w:rsidRPr="00175E32">
        <w:rPr>
          <w:szCs w:val="24"/>
          <w:lang w:eastAsia="ru-RU"/>
        </w:rPr>
        <w:t>11</w:t>
      </w:r>
      <w:r w:rsidR="00FC1C3D">
        <w:rPr>
          <w:szCs w:val="24"/>
          <w:lang w:eastAsia="ru-RU"/>
        </w:rPr>
        <w:t>% меньше 2019 года).</w:t>
      </w:r>
    </w:p>
    <w:p w14:paraId="1DBEEF3D" w14:textId="77777777" w:rsidR="00B54078" w:rsidRPr="00175E32" w:rsidRDefault="00CD4711" w:rsidP="001B16BB">
      <w:pPr>
        <w:widowControl w:val="0"/>
        <w:spacing w:line="276" w:lineRule="auto"/>
        <w:rPr>
          <w:szCs w:val="24"/>
          <w:lang w:eastAsia="ru-RU"/>
        </w:rPr>
      </w:pPr>
      <w:r w:rsidRPr="00175E32">
        <w:rPr>
          <w:szCs w:val="24"/>
          <w:lang w:eastAsia="ru-RU"/>
        </w:rPr>
        <w:t>Химическая отрасль является одной из лидирующих отраслей промышленности городского округа Тольятти. Индекс производства по виду деятельности «производство химических веществ и химических продуктов» в 1 полугодии 2020 года составил 105,6%. Выросло   производство: минеральных или химических удобрений – на 17,8%, аммиака – на 3,8%, синтетических каучуков – на 2,9%, карбоната – на 4,6%. При этом объем отгруженной химической продукции снизился</w:t>
      </w:r>
      <w:r w:rsidR="00FC1C3D">
        <w:rPr>
          <w:szCs w:val="24"/>
          <w:lang w:eastAsia="ru-RU"/>
        </w:rPr>
        <w:t xml:space="preserve"> на 8,9% до 60 601 млн. рублей.</w:t>
      </w:r>
    </w:p>
    <w:p w14:paraId="40ECBC9E" w14:textId="77777777" w:rsidR="00CD4711" w:rsidRPr="00175E32" w:rsidRDefault="00CD4711" w:rsidP="001B16BB">
      <w:pPr>
        <w:widowControl w:val="0"/>
        <w:spacing w:line="276" w:lineRule="auto"/>
        <w:rPr>
          <w:szCs w:val="24"/>
          <w:lang w:eastAsia="ru-RU"/>
        </w:rPr>
      </w:pPr>
      <w:r w:rsidRPr="00175E32">
        <w:rPr>
          <w:szCs w:val="24"/>
          <w:lang w:eastAsia="ru-RU"/>
        </w:rPr>
        <w:t>Основным фактором снижения выручки от продаж стало существенное падение мировых цен на аммиак и карбамид вследствие введения карантинных мер и приостановки работы предприятий во многих странах из-за распространения коронавирусной инфекции, что привело к глобальному снижению уровня потребления и спроса и, соответственно, цен на основное сырье.</w:t>
      </w:r>
    </w:p>
    <w:p w14:paraId="550CE1D9" w14:textId="77777777" w:rsidR="00CD4711" w:rsidRPr="00175E32" w:rsidRDefault="00CD4711" w:rsidP="001B16BB">
      <w:pPr>
        <w:widowControl w:val="0"/>
        <w:suppressAutoHyphens w:val="0"/>
        <w:spacing w:line="276" w:lineRule="auto"/>
        <w:rPr>
          <w:rFonts w:eastAsia="Calibri"/>
          <w:szCs w:val="24"/>
          <w:lang w:eastAsia="ru-RU"/>
        </w:rPr>
      </w:pPr>
      <w:r w:rsidRPr="00175E32">
        <w:rPr>
          <w:rFonts w:eastAsia="Calibri"/>
          <w:szCs w:val="24"/>
          <w:lang w:eastAsia="ru-RU"/>
        </w:rPr>
        <w:t xml:space="preserve">С учетом динамики производства химической продукции, а также на основании собственных прогнозов крупнейших химических предприятий </w:t>
      </w:r>
      <w:r w:rsidR="00591ECB" w:rsidRPr="00175E32">
        <w:rPr>
          <w:shd w:val="clear" w:color="auto" w:fill="FFFFFF"/>
        </w:rPr>
        <w:t>городского округа Тольятти</w:t>
      </w:r>
      <w:r w:rsidRPr="00175E32">
        <w:rPr>
          <w:rFonts w:eastAsia="Calibri"/>
          <w:szCs w:val="24"/>
          <w:lang w:eastAsia="ru-RU"/>
        </w:rPr>
        <w:t xml:space="preserve">, по итогам 2020 года индекс химического производства оценочно составит </w:t>
      </w:r>
      <w:r w:rsidR="002421C7" w:rsidRPr="00175E32">
        <w:rPr>
          <w:rFonts w:eastAsia="Calibri"/>
          <w:szCs w:val="24"/>
          <w:lang w:eastAsia="ru-RU"/>
        </w:rPr>
        <w:t>101</w:t>
      </w:r>
      <w:r w:rsidR="00D126DE">
        <w:rPr>
          <w:rFonts w:eastAsia="Calibri"/>
          <w:szCs w:val="24"/>
          <w:lang w:eastAsia="ru-RU"/>
        </w:rPr>
        <w:t>,0</w:t>
      </w:r>
      <w:r w:rsidRPr="00175E32">
        <w:rPr>
          <w:rFonts w:eastAsia="Calibri"/>
          <w:szCs w:val="24"/>
          <w:lang w:eastAsia="ru-RU"/>
        </w:rPr>
        <w:t>%, объем отгруженной химической продукции снизится на 8,</w:t>
      </w:r>
      <w:r w:rsidR="002421C7" w:rsidRPr="00175E32">
        <w:rPr>
          <w:rFonts w:eastAsia="Calibri"/>
          <w:szCs w:val="24"/>
          <w:lang w:eastAsia="ru-RU"/>
        </w:rPr>
        <w:t>2</w:t>
      </w:r>
      <w:r w:rsidR="00923023" w:rsidRPr="00175E32">
        <w:rPr>
          <w:rFonts w:eastAsia="Calibri"/>
          <w:szCs w:val="24"/>
          <w:lang w:eastAsia="ru-RU"/>
        </w:rPr>
        <w:t>% до</w:t>
      </w:r>
      <w:r w:rsidRPr="00175E32">
        <w:rPr>
          <w:rFonts w:eastAsia="Calibri"/>
          <w:szCs w:val="24"/>
          <w:lang w:eastAsia="ru-RU"/>
        </w:rPr>
        <w:t xml:space="preserve"> 118 </w:t>
      </w:r>
      <w:r w:rsidR="002421C7" w:rsidRPr="00175E32">
        <w:rPr>
          <w:rFonts w:eastAsia="Calibri"/>
          <w:szCs w:val="24"/>
          <w:lang w:eastAsia="ru-RU"/>
        </w:rPr>
        <w:t>587</w:t>
      </w:r>
      <w:r w:rsidR="00FC1C3D">
        <w:rPr>
          <w:rFonts w:eastAsia="Calibri"/>
          <w:szCs w:val="24"/>
          <w:lang w:eastAsia="ru-RU"/>
        </w:rPr>
        <w:t xml:space="preserve"> млн. рублей.</w:t>
      </w:r>
    </w:p>
    <w:p w14:paraId="6A41239C" w14:textId="77777777" w:rsidR="00633EB2" w:rsidRPr="00175E32" w:rsidRDefault="00CD4711" w:rsidP="001B16BB">
      <w:pPr>
        <w:widowControl w:val="0"/>
        <w:spacing w:line="276" w:lineRule="auto"/>
        <w:rPr>
          <w:szCs w:val="24"/>
          <w:lang w:eastAsia="ru-RU"/>
        </w:rPr>
      </w:pPr>
      <w:r w:rsidRPr="00175E32">
        <w:rPr>
          <w:rFonts w:eastAsia="Calibri"/>
          <w:szCs w:val="24"/>
          <w:lang w:eastAsia="ru-RU"/>
        </w:rPr>
        <w:t xml:space="preserve">По итогам 1 полугодия 2020 года индекс производства пищевых продуктов составил 124,7%. </w:t>
      </w:r>
      <w:r w:rsidR="002421C7" w:rsidRPr="00175E32">
        <w:rPr>
          <w:rFonts w:eastAsia="Calibri"/>
          <w:szCs w:val="24"/>
          <w:lang w:eastAsia="ru-RU"/>
        </w:rPr>
        <w:t>Существенно у</w:t>
      </w:r>
      <w:r w:rsidRPr="00175E32">
        <w:rPr>
          <w:rFonts w:eastAsia="Calibri"/>
          <w:szCs w:val="24"/>
          <w:lang w:eastAsia="ru-RU"/>
        </w:rPr>
        <w:t>величилось производс</w:t>
      </w:r>
      <w:r w:rsidR="00FC1C3D">
        <w:rPr>
          <w:rFonts w:eastAsia="Calibri"/>
          <w:szCs w:val="24"/>
          <w:lang w:eastAsia="ru-RU"/>
        </w:rPr>
        <w:t>тво мяса и субпродуктов – в 4,2 </w:t>
      </w:r>
      <w:r w:rsidRPr="00175E32">
        <w:rPr>
          <w:rFonts w:eastAsia="Calibri"/>
          <w:szCs w:val="24"/>
          <w:lang w:eastAsia="ru-RU"/>
        </w:rPr>
        <w:t xml:space="preserve">раза, крупы – в 2,2 раза, кондитерских изделий </w:t>
      </w:r>
      <w:r w:rsidR="00D126DE">
        <w:rPr>
          <w:rFonts w:eastAsia="Calibri"/>
          <w:szCs w:val="24"/>
          <w:lang w:eastAsia="ru-RU"/>
        </w:rPr>
        <w:t xml:space="preserve">- </w:t>
      </w:r>
      <w:r w:rsidRPr="00175E32">
        <w:rPr>
          <w:rFonts w:eastAsia="Calibri"/>
          <w:szCs w:val="24"/>
          <w:lang w:eastAsia="ru-RU"/>
        </w:rPr>
        <w:t>на 15,1%, колбасных изделий – на 12,2</w:t>
      </w:r>
      <w:r w:rsidR="00923023" w:rsidRPr="00175E32">
        <w:rPr>
          <w:rFonts w:eastAsia="Calibri"/>
          <w:szCs w:val="24"/>
          <w:lang w:eastAsia="ru-RU"/>
        </w:rPr>
        <w:t>%, полуфабрикатов</w:t>
      </w:r>
      <w:r w:rsidRPr="00175E32">
        <w:rPr>
          <w:rFonts w:eastAsia="Calibri"/>
          <w:szCs w:val="24"/>
          <w:lang w:eastAsia="ru-RU"/>
        </w:rPr>
        <w:t xml:space="preserve"> мясных – на 10,5%, масла сливочного – на 5,7%, изделий хлебобулочных – на 1,3%. </w:t>
      </w:r>
      <w:r w:rsidR="00633EB2" w:rsidRPr="00175E32">
        <w:rPr>
          <w:szCs w:val="24"/>
          <w:lang w:eastAsia="ru-RU"/>
        </w:rPr>
        <w:t>При этом, в связи с высокой конкуренцией с иногородними производителями</w:t>
      </w:r>
      <w:r w:rsidR="00D126DE">
        <w:rPr>
          <w:szCs w:val="24"/>
          <w:lang w:eastAsia="ru-RU"/>
        </w:rPr>
        <w:t>,</w:t>
      </w:r>
      <w:r w:rsidR="00633EB2" w:rsidRPr="00175E32">
        <w:rPr>
          <w:szCs w:val="24"/>
          <w:lang w:eastAsia="ru-RU"/>
        </w:rPr>
        <w:t xml:space="preserve"> снизилось производств</w:t>
      </w:r>
      <w:r w:rsidR="00D126DE">
        <w:rPr>
          <w:szCs w:val="24"/>
          <w:lang w:eastAsia="ru-RU"/>
        </w:rPr>
        <w:t>о</w:t>
      </w:r>
      <w:r w:rsidR="00633EB2" w:rsidRPr="00175E32">
        <w:rPr>
          <w:szCs w:val="24"/>
          <w:lang w:eastAsia="ru-RU"/>
        </w:rPr>
        <w:t xml:space="preserve"> хлеба и хлебобулочных изделий – на 1,3%, рыбы – на 30,9%, молока</w:t>
      </w:r>
      <w:r w:rsidR="00FC1C3D">
        <w:rPr>
          <w:szCs w:val="24"/>
          <w:lang w:eastAsia="ru-RU"/>
        </w:rPr>
        <w:t xml:space="preserve"> – на 19,8%, сметаны – на 1,9%.</w:t>
      </w:r>
    </w:p>
    <w:p w14:paraId="60001972" w14:textId="77777777" w:rsidR="00633EB2" w:rsidRPr="00175E32" w:rsidRDefault="00633EB2" w:rsidP="001B16BB">
      <w:pPr>
        <w:widowControl w:val="0"/>
        <w:suppressAutoHyphens w:val="0"/>
        <w:spacing w:line="276" w:lineRule="auto"/>
        <w:rPr>
          <w:szCs w:val="24"/>
          <w:lang w:eastAsia="ru-RU"/>
        </w:rPr>
      </w:pPr>
      <w:r w:rsidRPr="00175E32">
        <w:rPr>
          <w:szCs w:val="24"/>
          <w:lang w:eastAsia="ru-RU"/>
        </w:rPr>
        <w:t>Следует отметить, что в период введенных в стране ограничений, связанных с распространения новой коронавирусной инфекцией, предприятия пищевой промышленности, в отличие от остальных предприятий промышленного сектора, осуществляли производственную деятельность в полном объ</w:t>
      </w:r>
      <w:r w:rsidR="00B54078" w:rsidRPr="00175E32">
        <w:rPr>
          <w:szCs w:val="24"/>
          <w:lang w:eastAsia="ru-RU"/>
        </w:rPr>
        <w:t xml:space="preserve">еме, что позволило не </w:t>
      </w:r>
      <w:r w:rsidR="00B54078" w:rsidRPr="00175E32">
        <w:rPr>
          <w:szCs w:val="24"/>
          <w:lang w:eastAsia="ru-RU"/>
        </w:rPr>
        <w:lastRenderedPageBreak/>
        <w:t>допустить сокращения производства</w:t>
      </w:r>
      <w:r w:rsidRPr="00175E32">
        <w:rPr>
          <w:szCs w:val="24"/>
          <w:lang w:eastAsia="ru-RU"/>
        </w:rPr>
        <w:t>.</w:t>
      </w:r>
    </w:p>
    <w:p w14:paraId="7EDD1B54" w14:textId="77777777" w:rsidR="00CD4711" w:rsidRPr="00175E32" w:rsidRDefault="00CD4711" w:rsidP="001B16BB">
      <w:pPr>
        <w:widowControl w:val="0"/>
        <w:suppressAutoHyphens w:val="0"/>
        <w:spacing w:line="276" w:lineRule="auto"/>
        <w:rPr>
          <w:rFonts w:eastAsia="Calibri"/>
          <w:szCs w:val="24"/>
          <w:lang w:eastAsia="ru-RU"/>
        </w:rPr>
      </w:pPr>
      <w:r w:rsidRPr="00175E32">
        <w:rPr>
          <w:rFonts w:eastAsia="Calibri"/>
          <w:szCs w:val="24"/>
          <w:lang w:eastAsia="ru-RU"/>
        </w:rPr>
        <w:t>Объем отгруженной пищевой продукции увеличился в 1 полугодии 2020 года в 2,6 раза к 1 полугодию прошлого года и составил 7 677,2 млн. рублей.</w:t>
      </w:r>
    </w:p>
    <w:p w14:paraId="036E5B75" w14:textId="77777777" w:rsidR="00CD4711" w:rsidRPr="00175E32" w:rsidRDefault="00CD4711" w:rsidP="001B16BB">
      <w:pPr>
        <w:widowControl w:val="0"/>
        <w:spacing w:line="276" w:lineRule="auto"/>
        <w:rPr>
          <w:szCs w:val="24"/>
          <w:lang w:eastAsia="ru-RU"/>
        </w:rPr>
      </w:pPr>
      <w:r w:rsidRPr="00175E32">
        <w:rPr>
          <w:szCs w:val="24"/>
          <w:lang w:eastAsia="ru-RU"/>
        </w:rPr>
        <w:t>Снижение производства и реализации продукции в 1 полугодии 2020 года к соответствующему периоду 2019 года в обрабатывающем секторе демонстрировали следующие в</w:t>
      </w:r>
      <w:r w:rsidR="00FC1C3D">
        <w:rPr>
          <w:szCs w:val="24"/>
          <w:lang w:eastAsia="ru-RU"/>
        </w:rPr>
        <w:t>иды экономической деятельности:</w:t>
      </w:r>
    </w:p>
    <w:p w14:paraId="3BB74762" w14:textId="77777777" w:rsidR="00CD4711" w:rsidRPr="00175E32" w:rsidRDefault="00CD4711" w:rsidP="001B16BB">
      <w:pPr>
        <w:widowControl w:val="0"/>
        <w:spacing w:line="276" w:lineRule="auto"/>
        <w:rPr>
          <w:szCs w:val="24"/>
          <w:lang w:eastAsia="ru-RU"/>
        </w:rPr>
      </w:pPr>
      <w:r w:rsidRPr="00175E32">
        <w:rPr>
          <w:szCs w:val="24"/>
          <w:lang w:eastAsia="ru-RU"/>
        </w:rPr>
        <w:t>- производство напитков – на 23,7%; объем отгружен</w:t>
      </w:r>
      <w:r w:rsidR="00E9108A" w:rsidRPr="00175E32">
        <w:rPr>
          <w:szCs w:val="24"/>
          <w:lang w:eastAsia="ru-RU"/>
        </w:rPr>
        <w:t>ной продукции снизился на 54,6%</w:t>
      </w:r>
      <w:r w:rsidRPr="00175E32">
        <w:rPr>
          <w:szCs w:val="24"/>
          <w:lang w:eastAsia="ru-RU"/>
        </w:rPr>
        <w:t>;</w:t>
      </w:r>
    </w:p>
    <w:p w14:paraId="013A5711" w14:textId="77777777" w:rsidR="00CD4711" w:rsidRPr="00175E32" w:rsidRDefault="00CD4711" w:rsidP="001B16BB">
      <w:pPr>
        <w:widowControl w:val="0"/>
        <w:spacing w:line="276" w:lineRule="auto"/>
        <w:rPr>
          <w:szCs w:val="24"/>
          <w:lang w:eastAsia="ru-RU"/>
        </w:rPr>
      </w:pPr>
      <w:r w:rsidRPr="00175E32">
        <w:rPr>
          <w:szCs w:val="24"/>
          <w:lang w:eastAsia="ru-RU"/>
        </w:rPr>
        <w:t>- производство текстильных изделий – на 23,8%, в том числе производство трикотажного полотна снизилось на 19,7%; объем отгруженной продукции снизился на 24,2% и составил 1 035,7 млн. рублей;</w:t>
      </w:r>
    </w:p>
    <w:p w14:paraId="362AE032" w14:textId="77777777" w:rsidR="00CD4711" w:rsidRPr="00175E32" w:rsidRDefault="00CD4711" w:rsidP="001B16BB">
      <w:pPr>
        <w:widowControl w:val="0"/>
        <w:spacing w:line="276" w:lineRule="auto"/>
        <w:rPr>
          <w:szCs w:val="24"/>
          <w:lang w:eastAsia="ru-RU"/>
        </w:rPr>
      </w:pPr>
      <w:r w:rsidRPr="00175E32">
        <w:rPr>
          <w:szCs w:val="24"/>
          <w:lang w:eastAsia="ru-RU"/>
        </w:rPr>
        <w:t>- производство полиграфическая и копирование носителей информации – на 25,5%; объем отгруженной продукции снизился на 24%;</w:t>
      </w:r>
    </w:p>
    <w:p w14:paraId="25E7C0C6" w14:textId="77777777" w:rsidR="00CD4711" w:rsidRPr="00175E32" w:rsidRDefault="00CD4711" w:rsidP="001B16BB">
      <w:pPr>
        <w:widowControl w:val="0"/>
        <w:spacing w:line="276" w:lineRule="auto"/>
        <w:rPr>
          <w:szCs w:val="24"/>
          <w:lang w:eastAsia="ru-RU"/>
        </w:rPr>
      </w:pPr>
      <w:r w:rsidRPr="00175E32">
        <w:rPr>
          <w:szCs w:val="24"/>
          <w:lang w:eastAsia="ru-RU"/>
        </w:rPr>
        <w:t>- производство резиновых и пластмассовых изделий – на 13,4%, объем отгруженной продукции снизился на 21,2% до 1 893,7 млн. рублей;</w:t>
      </w:r>
    </w:p>
    <w:p w14:paraId="46DB2C5E" w14:textId="77777777" w:rsidR="00CD4711" w:rsidRPr="00175E32" w:rsidRDefault="00CD4711" w:rsidP="001B16BB">
      <w:pPr>
        <w:widowControl w:val="0"/>
        <w:spacing w:line="276" w:lineRule="auto"/>
        <w:rPr>
          <w:szCs w:val="24"/>
          <w:lang w:eastAsia="ru-RU"/>
        </w:rPr>
      </w:pPr>
      <w:r w:rsidRPr="00175E32">
        <w:rPr>
          <w:szCs w:val="24"/>
          <w:lang w:eastAsia="ru-RU"/>
        </w:rPr>
        <w:t>- производство готовых металлических изделий, кроме машин и оборудования – на 23,6%; объем отгруженной продукции снизился на 17,4% до 960,6 млн. рублей;</w:t>
      </w:r>
    </w:p>
    <w:p w14:paraId="6141F414" w14:textId="77777777" w:rsidR="00CD4711" w:rsidRPr="00175E32" w:rsidRDefault="00CD4711" w:rsidP="001B16BB">
      <w:pPr>
        <w:widowControl w:val="0"/>
        <w:spacing w:line="276" w:lineRule="auto"/>
        <w:rPr>
          <w:szCs w:val="24"/>
          <w:lang w:eastAsia="ru-RU"/>
        </w:rPr>
      </w:pPr>
      <w:r w:rsidRPr="00175E32">
        <w:rPr>
          <w:szCs w:val="24"/>
          <w:lang w:eastAsia="ru-RU"/>
        </w:rPr>
        <w:t>- производство электрического оборудования – на 8,6%; объем отгруженной продукции снизился на 15% до 1 764,1 млн. рублей.</w:t>
      </w:r>
    </w:p>
    <w:p w14:paraId="3A3D8C9E" w14:textId="77777777" w:rsidR="00CD4711" w:rsidRPr="00175E32" w:rsidRDefault="00CD4711" w:rsidP="001B16BB">
      <w:pPr>
        <w:widowControl w:val="0"/>
        <w:spacing w:line="276" w:lineRule="auto"/>
        <w:rPr>
          <w:szCs w:val="24"/>
          <w:lang w:eastAsia="ru-RU"/>
        </w:rPr>
      </w:pPr>
      <w:r w:rsidRPr="00175E32">
        <w:rPr>
          <w:szCs w:val="24"/>
          <w:lang w:eastAsia="ru-RU"/>
        </w:rPr>
        <w:t>Рост производства за 1 полугоди</w:t>
      </w:r>
      <w:r w:rsidR="00D126DE">
        <w:rPr>
          <w:szCs w:val="24"/>
          <w:lang w:eastAsia="ru-RU"/>
        </w:rPr>
        <w:t>е</w:t>
      </w:r>
      <w:r w:rsidRPr="00175E32">
        <w:rPr>
          <w:szCs w:val="24"/>
          <w:lang w:eastAsia="ru-RU"/>
        </w:rPr>
        <w:t xml:space="preserve"> 2020 </w:t>
      </w:r>
      <w:r w:rsidR="00923023" w:rsidRPr="00175E32">
        <w:rPr>
          <w:szCs w:val="24"/>
          <w:lang w:eastAsia="ru-RU"/>
        </w:rPr>
        <w:t>года в</w:t>
      </w:r>
      <w:r w:rsidRPr="00175E32">
        <w:rPr>
          <w:szCs w:val="24"/>
          <w:lang w:eastAsia="ru-RU"/>
        </w:rPr>
        <w:t xml:space="preserve"> обрабатывающем секторе сложился </w:t>
      </w:r>
      <w:r w:rsidR="00FC1C3D">
        <w:rPr>
          <w:szCs w:val="24"/>
          <w:lang w:eastAsia="ru-RU"/>
        </w:rPr>
        <w:t>в следующих видах деятельности:</w:t>
      </w:r>
    </w:p>
    <w:p w14:paraId="66484BB5" w14:textId="77777777" w:rsidR="00CD4711" w:rsidRPr="00175E32" w:rsidRDefault="00CD4711" w:rsidP="001B16BB">
      <w:pPr>
        <w:widowControl w:val="0"/>
        <w:spacing w:line="276" w:lineRule="auto"/>
        <w:rPr>
          <w:szCs w:val="24"/>
          <w:lang w:eastAsia="ru-RU"/>
        </w:rPr>
      </w:pPr>
      <w:r w:rsidRPr="00175E32">
        <w:rPr>
          <w:szCs w:val="24"/>
          <w:lang w:eastAsia="ru-RU"/>
        </w:rPr>
        <w:t>- производство прочей неметаллической минеральной продукции – на 92,5%; объем отгруженной продукции увеличился на 33,6% до 1 068,3 млн. рублей;</w:t>
      </w:r>
    </w:p>
    <w:p w14:paraId="7E8D5570" w14:textId="77777777" w:rsidR="00CD4711" w:rsidRPr="00175E32" w:rsidRDefault="00CD4711" w:rsidP="001B16BB">
      <w:pPr>
        <w:widowControl w:val="0"/>
        <w:spacing w:line="276" w:lineRule="auto"/>
        <w:rPr>
          <w:szCs w:val="24"/>
          <w:lang w:eastAsia="ru-RU"/>
        </w:rPr>
      </w:pPr>
      <w:r w:rsidRPr="00175E32">
        <w:rPr>
          <w:szCs w:val="24"/>
          <w:lang w:eastAsia="ru-RU"/>
        </w:rPr>
        <w:t>- металлургическое производство – в 52 раза за счет роста выпуска труб и профилей стальных, при этом производство стали снизилось на 47,4%; объем отгруженной продукции увеличился в 7 раз до 2 648,1 млн. рублей;</w:t>
      </w:r>
    </w:p>
    <w:p w14:paraId="0F139F1A" w14:textId="77777777" w:rsidR="00CD4711" w:rsidRPr="00175E32" w:rsidRDefault="00CD4711" w:rsidP="001B16BB">
      <w:pPr>
        <w:widowControl w:val="0"/>
        <w:spacing w:line="276" w:lineRule="auto"/>
        <w:rPr>
          <w:szCs w:val="24"/>
          <w:lang w:eastAsia="ru-RU"/>
        </w:rPr>
      </w:pPr>
      <w:r w:rsidRPr="00175E32">
        <w:rPr>
          <w:szCs w:val="24"/>
          <w:lang w:eastAsia="ru-RU"/>
        </w:rPr>
        <w:t>- производство машин и оборудования – на 5,6%; объем отгруженной продукции вырос н</w:t>
      </w:r>
      <w:r w:rsidR="00FC1C3D">
        <w:rPr>
          <w:szCs w:val="24"/>
          <w:lang w:eastAsia="ru-RU"/>
        </w:rPr>
        <w:t>а 28,4% до 1 097,9 млн. рублей;</w:t>
      </w:r>
    </w:p>
    <w:p w14:paraId="7ECB7432" w14:textId="77777777" w:rsidR="00CD4711" w:rsidRPr="00175E32" w:rsidRDefault="00CD4711" w:rsidP="001B16BB">
      <w:pPr>
        <w:widowControl w:val="0"/>
        <w:spacing w:line="276" w:lineRule="auto"/>
        <w:rPr>
          <w:szCs w:val="24"/>
          <w:lang w:eastAsia="ru-RU"/>
        </w:rPr>
      </w:pPr>
      <w:r w:rsidRPr="00175E32">
        <w:rPr>
          <w:szCs w:val="24"/>
          <w:lang w:eastAsia="ru-RU"/>
        </w:rPr>
        <w:t>- производство прочих готовых изделий – на 58,4%; объем отгрузки по данному виду деятельности вырос на 68,4% и составил 269,9 млн. рублей.</w:t>
      </w:r>
    </w:p>
    <w:p w14:paraId="5E359481" w14:textId="77777777" w:rsidR="00CD4711" w:rsidRPr="00595D6B" w:rsidRDefault="00CD4711" w:rsidP="001B16BB">
      <w:pPr>
        <w:widowControl w:val="0"/>
        <w:suppressAutoHyphens w:val="0"/>
        <w:spacing w:line="276" w:lineRule="auto"/>
        <w:rPr>
          <w:rFonts w:eastAsia="Calibri"/>
          <w:szCs w:val="24"/>
          <w:lang w:eastAsia="ru-RU"/>
        </w:rPr>
      </w:pPr>
      <w:r w:rsidRPr="00175E32">
        <w:rPr>
          <w:rFonts w:eastAsia="Calibri"/>
          <w:szCs w:val="24"/>
          <w:lang w:eastAsia="ru-RU"/>
        </w:rPr>
        <w:t>По виду деятельности «Обеспечении электрической энергией, газом и паром, кондиционировании воздуха» (</w:t>
      </w:r>
      <w:r w:rsidRPr="00595D6B">
        <w:rPr>
          <w:rFonts w:eastAsia="Calibri"/>
          <w:szCs w:val="24"/>
          <w:lang w:eastAsia="ru-RU"/>
        </w:rPr>
        <w:t xml:space="preserve">раздел D) в 1 полугодии 2020 года индекс производства составил 89,6%; снижено производство электроэнергии на 12% до 2119,9 гигаватт-час, на 17,5% - пара и горячей воды до 7214,6 </w:t>
      </w:r>
      <w:r w:rsidR="00E9108A" w:rsidRPr="00595D6B">
        <w:rPr>
          <w:rFonts w:eastAsia="Calibri"/>
          <w:szCs w:val="24"/>
          <w:lang w:eastAsia="ru-RU"/>
        </w:rPr>
        <w:t>т</w:t>
      </w:r>
      <w:r w:rsidRPr="00595D6B">
        <w:rPr>
          <w:rFonts w:eastAsia="Calibri"/>
          <w:szCs w:val="24"/>
          <w:lang w:eastAsia="ru-RU"/>
        </w:rPr>
        <w:t>ыс.</w:t>
      </w:r>
      <w:r w:rsidR="00B54078" w:rsidRPr="00595D6B">
        <w:rPr>
          <w:rFonts w:eastAsia="Calibri"/>
          <w:szCs w:val="24"/>
          <w:lang w:eastAsia="ru-RU"/>
        </w:rPr>
        <w:t xml:space="preserve"> </w:t>
      </w:r>
      <w:proofErr w:type="spellStart"/>
      <w:r w:rsidRPr="00595D6B">
        <w:rPr>
          <w:rFonts w:eastAsia="Calibri"/>
          <w:szCs w:val="24"/>
          <w:lang w:eastAsia="ru-RU"/>
        </w:rPr>
        <w:t>гигакалорий</w:t>
      </w:r>
      <w:proofErr w:type="spellEnd"/>
      <w:r w:rsidRPr="00595D6B">
        <w:rPr>
          <w:rFonts w:eastAsia="Calibri"/>
          <w:szCs w:val="24"/>
          <w:lang w:eastAsia="ru-RU"/>
        </w:rPr>
        <w:t xml:space="preserve">. До конца года сложившаяся тенденция по данному виду деятельности сохранится – индекс производства ожидается на </w:t>
      </w:r>
      <w:r w:rsidR="00923023" w:rsidRPr="00595D6B">
        <w:rPr>
          <w:rFonts w:eastAsia="Calibri"/>
          <w:szCs w:val="24"/>
          <w:lang w:eastAsia="ru-RU"/>
        </w:rPr>
        <w:t xml:space="preserve">уровне </w:t>
      </w:r>
      <w:r w:rsidR="00851BDF" w:rsidRPr="00595D6B">
        <w:rPr>
          <w:rFonts w:eastAsia="Calibri"/>
          <w:szCs w:val="24"/>
          <w:lang w:eastAsia="ru-RU"/>
        </w:rPr>
        <w:t>91,3</w:t>
      </w:r>
      <w:r w:rsidRPr="00595D6B">
        <w:rPr>
          <w:rFonts w:eastAsia="Calibri"/>
          <w:szCs w:val="24"/>
          <w:lang w:eastAsia="ru-RU"/>
        </w:rPr>
        <w:t xml:space="preserve">%. Объем отгруженной продукции снизится до </w:t>
      </w:r>
      <w:r w:rsidR="00851BDF" w:rsidRPr="00595D6B">
        <w:rPr>
          <w:rFonts w:eastAsia="Calibri"/>
          <w:szCs w:val="24"/>
          <w:lang w:eastAsia="ru-RU"/>
        </w:rPr>
        <w:t>21 016,0</w:t>
      </w:r>
      <w:r w:rsidRPr="00595D6B">
        <w:rPr>
          <w:rFonts w:eastAsia="Calibri"/>
          <w:szCs w:val="24"/>
          <w:lang w:eastAsia="ru-RU"/>
        </w:rPr>
        <w:t xml:space="preserve"> млн. рублей.</w:t>
      </w:r>
    </w:p>
    <w:p w14:paraId="488EF9E5" w14:textId="77777777" w:rsidR="00CD4711" w:rsidRPr="00175E32" w:rsidRDefault="00CD4711" w:rsidP="001B16BB">
      <w:pPr>
        <w:widowControl w:val="0"/>
        <w:suppressAutoHyphens w:val="0"/>
        <w:spacing w:line="276" w:lineRule="auto"/>
        <w:rPr>
          <w:rFonts w:eastAsia="Calibri"/>
          <w:szCs w:val="24"/>
          <w:lang w:eastAsia="ru-RU"/>
        </w:rPr>
      </w:pPr>
      <w:r w:rsidRPr="00595D6B">
        <w:rPr>
          <w:rFonts w:eastAsia="Calibri"/>
          <w:szCs w:val="24"/>
          <w:lang w:eastAsia="ru-RU"/>
        </w:rPr>
        <w:t xml:space="preserve">В 1 полугодии 2020 года по виду деятельности «Водоснабжение, водоотведении, организации сбора и утилизации отходов, деятельности по ликвидации загрязнений» (раздел </w:t>
      </w:r>
      <w:r w:rsidR="00923023" w:rsidRPr="00595D6B">
        <w:rPr>
          <w:rFonts w:eastAsia="Calibri"/>
          <w:szCs w:val="24"/>
          <w:lang w:eastAsia="ru-RU"/>
        </w:rPr>
        <w:t>Е) индекс</w:t>
      </w:r>
      <w:r w:rsidRPr="00595D6B">
        <w:rPr>
          <w:rFonts w:eastAsia="Calibri"/>
          <w:szCs w:val="24"/>
          <w:lang w:eastAsia="ru-RU"/>
        </w:rPr>
        <w:t xml:space="preserve"> производства составил 80,4%, объем отгрузки – 7</w:t>
      </w:r>
      <w:r w:rsidR="00851BDF" w:rsidRPr="00595D6B">
        <w:rPr>
          <w:rFonts w:eastAsia="Calibri"/>
          <w:szCs w:val="24"/>
          <w:lang w:eastAsia="ru-RU"/>
        </w:rPr>
        <w:t xml:space="preserve"> </w:t>
      </w:r>
      <w:r w:rsidRPr="00595D6B">
        <w:rPr>
          <w:rFonts w:eastAsia="Calibri"/>
          <w:szCs w:val="24"/>
          <w:lang w:eastAsia="ru-RU"/>
        </w:rPr>
        <w:t>512,2 млн.</w:t>
      </w:r>
      <w:r w:rsidR="00B54078" w:rsidRPr="00595D6B">
        <w:rPr>
          <w:rFonts w:eastAsia="Calibri"/>
          <w:szCs w:val="24"/>
          <w:lang w:eastAsia="ru-RU"/>
        </w:rPr>
        <w:t xml:space="preserve"> </w:t>
      </w:r>
      <w:r w:rsidRPr="00595D6B">
        <w:rPr>
          <w:rFonts w:eastAsia="Calibri"/>
          <w:szCs w:val="24"/>
          <w:lang w:eastAsia="ru-RU"/>
        </w:rPr>
        <w:t xml:space="preserve">рублей, что на 12,6% меньше 2019 года (в 2019 году наблюдался существенный рост показателей данного вида деятельности за счет сбора, обработки и утилизации отходов, обработка вторичного сырья (рост в 2,3 раза)). К концу года индекс производства ожидается на </w:t>
      </w:r>
      <w:r w:rsidR="00923023" w:rsidRPr="00595D6B">
        <w:rPr>
          <w:rFonts w:eastAsia="Calibri"/>
          <w:szCs w:val="24"/>
          <w:lang w:eastAsia="ru-RU"/>
        </w:rPr>
        <w:t>уровне 79</w:t>
      </w:r>
      <w:r w:rsidRPr="00595D6B">
        <w:rPr>
          <w:rFonts w:eastAsia="Calibri"/>
          <w:szCs w:val="24"/>
          <w:lang w:eastAsia="ru-RU"/>
        </w:rPr>
        <w:t>,8%. Объем отгруженной продукции снизится до 18 044,</w:t>
      </w:r>
      <w:r w:rsidR="00851BDF" w:rsidRPr="00595D6B">
        <w:rPr>
          <w:rFonts w:eastAsia="Calibri"/>
          <w:szCs w:val="24"/>
          <w:lang w:eastAsia="ru-RU"/>
        </w:rPr>
        <w:t>0</w:t>
      </w:r>
      <w:r w:rsidRPr="00595D6B">
        <w:rPr>
          <w:rFonts w:eastAsia="Calibri"/>
          <w:szCs w:val="24"/>
          <w:lang w:eastAsia="ru-RU"/>
        </w:rPr>
        <w:t xml:space="preserve"> млн</w:t>
      </w:r>
      <w:r w:rsidRPr="00175E32">
        <w:rPr>
          <w:rFonts w:eastAsia="Calibri"/>
          <w:szCs w:val="24"/>
          <w:lang w:eastAsia="ru-RU"/>
        </w:rPr>
        <w:t>. рублей.</w:t>
      </w:r>
    </w:p>
    <w:p w14:paraId="3015A8A6" w14:textId="77777777" w:rsidR="00CD4711" w:rsidRPr="00175E32" w:rsidRDefault="00CD4711" w:rsidP="001B16BB">
      <w:pPr>
        <w:widowControl w:val="0"/>
        <w:suppressAutoHyphens w:val="0"/>
        <w:spacing w:line="276" w:lineRule="auto"/>
        <w:ind w:right="2"/>
        <w:rPr>
          <w:szCs w:val="24"/>
          <w:lang w:eastAsia="ru-RU"/>
        </w:rPr>
      </w:pPr>
      <w:r w:rsidRPr="00175E32">
        <w:rPr>
          <w:szCs w:val="24"/>
          <w:lang w:eastAsia="ru-RU"/>
        </w:rPr>
        <w:t xml:space="preserve">На рост и диверсификацию промышленного производства </w:t>
      </w:r>
      <w:r w:rsidR="00591ECB" w:rsidRPr="00175E32">
        <w:rPr>
          <w:shd w:val="clear" w:color="auto" w:fill="FFFFFF"/>
        </w:rPr>
        <w:t>городского округа Тольятти</w:t>
      </w:r>
      <w:r w:rsidRPr="00175E32">
        <w:rPr>
          <w:szCs w:val="24"/>
          <w:lang w:eastAsia="ru-RU"/>
        </w:rPr>
        <w:t xml:space="preserve"> влияние окажет Особая экономическая зона </w:t>
      </w:r>
      <w:r w:rsidR="00B54078" w:rsidRPr="00175E32">
        <w:rPr>
          <w:szCs w:val="24"/>
          <w:lang w:eastAsia="ru-RU"/>
        </w:rPr>
        <w:t xml:space="preserve">промышленно-производственного </w:t>
      </w:r>
      <w:r w:rsidR="00B54078" w:rsidRPr="00175E32">
        <w:rPr>
          <w:szCs w:val="24"/>
          <w:lang w:eastAsia="ru-RU"/>
        </w:rPr>
        <w:lastRenderedPageBreak/>
        <w:t>типа</w:t>
      </w:r>
      <w:r w:rsidRPr="00175E32">
        <w:rPr>
          <w:szCs w:val="24"/>
          <w:lang w:eastAsia="ru-RU"/>
        </w:rPr>
        <w:t xml:space="preserve"> «Тольятти»</w:t>
      </w:r>
      <w:r w:rsidR="00B54078" w:rsidRPr="00175E32">
        <w:rPr>
          <w:szCs w:val="24"/>
          <w:lang w:eastAsia="ru-RU"/>
        </w:rPr>
        <w:t xml:space="preserve"> (</w:t>
      </w:r>
      <w:r w:rsidR="001B16BB" w:rsidRPr="00175E32">
        <w:rPr>
          <w:szCs w:val="24"/>
        </w:rPr>
        <w:t xml:space="preserve">далее </w:t>
      </w:r>
      <w:r w:rsidR="001B16BB">
        <w:rPr>
          <w:szCs w:val="24"/>
        </w:rPr>
        <w:t>по разделу</w:t>
      </w:r>
      <w:r w:rsidR="00B54078" w:rsidRPr="00175E32">
        <w:rPr>
          <w:szCs w:val="24"/>
          <w:lang w:eastAsia="ru-RU"/>
        </w:rPr>
        <w:t xml:space="preserve"> – ОЭЗ ППТ «Тольятти»)</w:t>
      </w:r>
      <w:r w:rsidRPr="00175E32">
        <w:rPr>
          <w:szCs w:val="24"/>
          <w:lang w:eastAsia="ru-RU"/>
        </w:rPr>
        <w:t>, которая вошла в границы городск</w:t>
      </w:r>
      <w:r w:rsidR="00FC1C3D">
        <w:rPr>
          <w:szCs w:val="24"/>
          <w:lang w:eastAsia="ru-RU"/>
        </w:rPr>
        <w:t>ого округа Тольятти в июне 2020 </w:t>
      </w:r>
      <w:r w:rsidRPr="00175E32">
        <w:rPr>
          <w:szCs w:val="24"/>
          <w:lang w:eastAsia="ru-RU"/>
        </w:rPr>
        <w:t>года. По состоянию на август 2020 года резидентами ОЭЗ ППТ «Тольятти» являются 25 резидентов, реализующих проекты практически во всех в</w:t>
      </w:r>
      <w:r w:rsidR="00FC1C3D">
        <w:rPr>
          <w:szCs w:val="24"/>
          <w:lang w:eastAsia="ru-RU"/>
        </w:rPr>
        <w:t>идах промышленной деятельности.</w:t>
      </w:r>
    </w:p>
    <w:p w14:paraId="49F3B5B5" w14:textId="77777777" w:rsidR="00E9108A" w:rsidRPr="00175E32" w:rsidRDefault="006C4A01" w:rsidP="001B16BB">
      <w:pPr>
        <w:suppressAutoHyphens w:val="0"/>
        <w:spacing w:line="276" w:lineRule="auto"/>
        <w:rPr>
          <w:rFonts w:eastAsia="Calibri"/>
          <w:szCs w:val="24"/>
          <w:lang w:eastAsia="ru-RU"/>
        </w:rPr>
      </w:pPr>
      <w:r w:rsidRPr="00175E32">
        <w:rPr>
          <w:rFonts w:eastAsia="Calibri"/>
          <w:szCs w:val="24"/>
          <w:lang w:eastAsia="ru-RU"/>
        </w:rPr>
        <w:t xml:space="preserve">В целом ситуация в промышленности региона до конца года будет определяться санитарно-эпидемиологической обстановкой, скоростью открытия и восстановления экономики. </w:t>
      </w:r>
    </w:p>
    <w:p w14:paraId="258EAC95" w14:textId="77777777" w:rsidR="006C4A01" w:rsidRPr="00175E32" w:rsidRDefault="006C4A01" w:rsidP="001B16BB">
      <w:pPr>
        <w:suppressAutoHyphens w:val="0"/>
        <w:spacing w:line="276" w:lineRule="auto"/>
        <w:rPr>
          <w:szCs w:val="24"/>
          <w:lang w:eastAsia="ru-RU"/>
        </w:rPr>
      </w:pPr>
      <w:r w:rsidRPr="00175E32">
        <w:rPr>
          <w:szCs w:val="24"/>
          <w:lang w:eastAsia="ru-RU"/>
        </w:rPr>
        <w:t>С учетом текущих тенденций индекс промышленного производства в 2020 году может составить 90,4% к 2019 году</w:t>
      </w:r>
      <w:r w:rsidR="00E9108A" w:rsidRPr="00175E32">
        <w:rPr>
          <w:szCs w:val="24"/>
          <w:lang w:eastAsia="ru-RU"/>
        </w:rPr>
        <w:t xml:space="preserve">, объем отгруженной промышленной продукции </w:t>
      </w:r>
      <w:r w:rsidR="009C730D" w:rsidRPr="00175E32">
        <w:rPr>
          <w:szCs w:val="24"/>
          <w:lang w:eastAsia="ru-RU"/>
        </w:rPr>
        <w:t>оценочно</w:t>
      </w:r>
      <w:r w:rsidR="00E9108A" w:rsidRPr="00175E32">
        <w:rPr>
          <w:szCs w:val="24"/>
          <w:lang w:eastAsia="ru-RU"/>
        </w:rPr>
        <w:t xml:space="preserve"> составит</w:t>
      </w:r>
      <w:r w:rsidRPr="00175E32">
        <w:rPr>
          <w:szCs w:val="24"/>
          <w:lang w:eastAsia="ru-RU"/>
        </w:rPr>
        <w:t xml:space="preserve"> </w:t>
      </w:r>
      <w:r w:rsidR="00E9108A" w:rsidRPr="00175E32">
        <w:rPr>
          <w:szCs w:val="24"/>
          <w:lang w:eastAsia="ru-RU"/>
        </w:rPr>
        <w:t>506,5 млн. рублей.</w:t>
      </w:r>
    </w:p>
    <w:p w14:paraId="6D7FA312" w14:textId="77777777" w:rsidR="00FC1C3D" w:rsidRDefault="002F1CCE" w:rsidP="00FC1C3D">
      <w:pPr>
        <w:pStyle w:val="38"/>
        <w:jc w:val="center"/>
        <w:rPr>
          <w:rFonts w:ascii="Times New Roman" w:hAnsi="Times New Roman" w:cs="Times New Roman"/>
          <w:sz w:val="24"/>
          <w:szCs w:val="24"/>
        </w:rPr>
      </w:pPr>
      <w:r w:rsidRPr="00175E32">
        <w:rPr>
          <w:rFonts w:ascii="Times New Roman" w:hAnsi="Times New Roman" w:cs="Times New Roman"/>
          <w:sz w:val="24"/>
          <w:szCs w:val="24"/>
        </w:rPr>
        <w:t>Ожидаемое выполнение прогнозных показателей</w:t>
      </w:r>
      <w:r w:rsidR="00C45939" w:rsidRPr="00175E32">
        <w:rPr>
          <w:rFonts w:ascii="Times New Roman" w:hAnsi="Times New Roman" w:cs="Times New Roman"/>
          <w:sz w:val="24"/>
          <w:szCs w:val="24"/>
        </w:rPr>
        <w:t xml:space="preserve"> по разделу</w:t>
      </w:r>
      <w:r w:rsidR="00FC1C3D">
        <w:rPr>
          <w:rFonts w:ascii="Times New Roman" w:hAnsi="Times New Roman" w:cs="Times New Roman"/>
          <w:sz w:val="24"/>
          <w:szCs w:val="24"/>
        </w:rPr>
        <w:t xml:space="preserve"> </w:t>
      </w:r>
    </w:p>
    <w:p w14:paraId="549FECAA" w14:textId="77777777" w:rsidR="002F1CCE" w:rsidRPr="00175E32" w:rsidRDefault="00C45939" w:rsidP="00FC1C3D">
      <w:pPr>
        <w:pStyle w:val="38"/>
        <w:jc w:val="center"/>
        <w:rPr>
          <w:rFonts w:ascii="Times New Roman" w:hAnsi="Times New Roman" w:cs="Times New Roman"/>
          <w:sz w:val="24"/>
          <w:szCs w:val="24"/>
        </w:rPr>
      </w:pPr>
      <w:r w:rsidRPr="00175E32">
        <w:rPr>
          <w:rFonts w:ascii="Times New Roman" w:hAnsi="Times New Roman" w:cs="Times New Roman"/>
          <w:sz w:val="24"/>
          <w:szCs w:val="24"/>
        </w:rPr>
        <w:t>«Промышленное производство»</w:t>
      </w:r>
      <w:r w:rsidR="002F1CCE" w:rsidRPr="00175E32">
        <w:rPr>
          <w:rFonts w:ascii="Times New Roman" w:hAnsi="Times New Roman" w:cs="Times New Roman"/>
          <w:sz w:val="24"/>
          <w:szCs w:val="24"/>
        </w:rPr>
        <w:t xml:space="preserve"> на 20</w:t>
      </w:r>
      <w:r w:rsidR="008B3D58" w:rsidRPr="00175E32">
        <w:rPr>
          <w:rFonts w:ascii="Times New Roman" w:hAnsi="Times New Roman" w:cs="Times New Roman"/>
          <w:sz w:val="24"/>
          <w:szCs w:val="24"/>
        </w:rPr>
        <w:t>20</w:t>
      </w:r>
      <w:r w:rsidR="002F1CCE" w:rsidRPr="00175E32">
        <w:rPr>
          <w:rFonts w:ascii="Times New Roman" w:hAnsi="Times New Roman" w:cs="Times New Roman"/>
          <w:sz w:val="24"/>
          <w:szCs w:val="24"/>
        </w:rPr>
        <w:t xml:space="preserve"> год</w:t>
      </w:r>
      <w:r w:rsidR="002421C7" w:rsidRPr="00175E32">
        <w:rPr>
          <w:rFonts w:ascii="Times New Roman" w:hAnsi="Times New Roman" w:cs="Times New Roman"/>
          <w:sz w:val="24"/>
          <w:szCs w:val="24"/>
        </w:rPr>
        <w:t>*</w:t>
      </w:r>
    </w:p>
    <w:p w14:paraId="16470ACE" w14:textId="77777777" w:rsidR="00812573" w:rsidRPr="00175E32" w:rsidRDefault="00812573" w:rsidP="0048723E">
      <w:pPr>
        <w:pStyle w:val="38"/>
        <w:jc w:val="center"/>
        <w:rPr>
          <w:rFonts w:ascii="Times New Roman" w:hAnsi="Times New Roman" w:cs="Times New Roman"/>
          <w:sz w:val="24"/>
          <w:szCs w:val="24"/>
        </w:rPr>
      </w:pPr>
    </w:p>
    <w:tbl>
      <w:tblPr>
        <w:tblW w:w="9499" w:type="dxa"/>
        <w:tblInd w:w="-35" w:type="dxa"/>
        <w:tblLayout w:type="fixed"/>
        <w:tblLook w:val="0000" w:firstRow="0" w:lastRow="0" w:firstColumn="0" w:lastColumn="0" w:noHBand="0" w:noVBand="0"/>
      </w:tblPr>
      <w:tblGrid>
        <w:gridCol w:w="3404"/>
        <w:gridCol w:w="1134"/>
        <w:gridCol w:w="1701"/>
        <w:gridCol w:w="1701"/>
        <w:gridCol w:w="1559"/>
      </w:tblGrid>
      <w:tr w:rsidR="008B3D58" w:rsidRPr="00175E32" w14:paraId="136FDAC6" w14:textId="77777777" w:rsidTr="00FC1C3D">
        <w:trPr>
          <w:tblHeader/>
        </w:trPr>
        <w:tc>
          <w:tcPr>
            <w:tcW w:w="3404" w:type="dxa"/>
            <w:vMerge w:val="restart"/>
            <w:tcBorders>
              <w:top w:val="single" w:sz="4" w:space="0" w:color="000000"/>
              <w:left w:val="single" w:sz="4" w:space="0" w:color="000000"/>
              <w:bottom w:val="single" w:sz="4" w:space="0" w:color="000000"/>
            </w:tcBorders>
            <w:vAlign w:val="center"/>
          </w:tcPr>
          <w:p w14:paraId="3E763A88" w14:textId="77777777" w:rsidR="009C730D" w:rsidRPr="00175E32" w:rsidRDefault="009C730D" w:rsidP="00FC1C3D">
            <w:pPr>
              <w:ind w:firstLine="0"/>
              <w:jc w:val="center"/>
              <w:rPr>
                <w:szCs w:val="24"/>
              </w:rPr>
            </w:pPr>
          </w:p>
          <w:p w14:paraId="58B04800" w14:textId="77777777" w:rsidR="008B3D58" w:rsidRPr="00175E32" w:rsidRDefault="008B3D58" w:rsidP="00FC1C3D">
            <w:pPr>
              <w:ind w:firstLine="0"/>
              <w:jc w:val="center"/>
              <w:rPr>
                <w:szCs w:val="24"/>
              </w:rPr>
            </w:pPr>
            <w:r w:rsidRPr="00175E32">
              <w:rPr>
                <w:szCs w:val="24"/>
              </w:rPr>
              <w:t>Наименование показателя</w:t>
            </w:r>
          </w:p>
        </w:tc>
        <w:tc>
          <w:tcPr>
            <w:tcW w:w="1134" w:type="dxa"/>
            <w:vMerge w:val="restart"/>
            <w:tcBorders>
              <w:top w:val="single" w:sz="4" w:space="0" w:color="000000"/>
              <w:left w:val="single" w:sz="4" w:space="0" w:color="000000"/>
              <w:bottom w:val="single" w:sz="4" w:space="0" w:color="000000"/>
            </w:tcBorders>
            <w:vAlign w:val="center"/>
          </w:tcPr>
          <w:p w14:paraId="7DC7049C" w14:textId="77777777" w:rsidR="008B3D58" w:rsidRPr="00175E32" w:rsidRDefault="008B3D58" w:rsidP="00FC1C3D">
            <w:pPr>
              <w:ind w:firstLine="0"/>
              <w:jc w:val="center"/>
              <w:rPr>
                <w:szCs w:val="24"/>
              </w:rPr>
            </w:pPr>
            <w:r w:rsidRPr="00175E32">
              <w:rPr>
                <w:szCs w:val="24"/>
              </w:rPr>
              <w:t xml:space="preserve">Единица </w:t>
            </w:r>
            <w:proofErr w:type="spellStart"/>
            <w:r w:rsidRPr="00175E32">
              <w:rPr>
                <w:szCs w:val="24"/>
              </w:rPr>
              <w:t>измере</w:t>
            </w:r>
            <w:proofErr w:type="spellEnd"/>
          </w:p>
          <w:p w14:paraId="5708C1FE" w14:textId="77777777" w:rsidR="008B3D58" w:rsidRPr="00175E32" w:rsidRDefault="008B3D58" w:rsidP="00FC1C3D">
            <w:pPr>
              <w:ind w:firstLine="0"/>
              <w:jc w:val="center"/>
              <w:rPr>
                <w:szCs w:val="24"/>
              </w:rPr>
            </w:pPr>
            <w:proofErr w:type="spellStart"/>
            <w:r w:rsidRPr="00175E32">
              <w:rPr>
                <w:szCs w:val="24"/>
              </w:rPr>
              <w:t>ния</w:t>
            </w:r>
            <w:proofErr w:type="spellEnd"/>
          </w:p>
        </w:tc>
        <w:tc>
          <w:tcPr>
            <w:tcW w:w="3402" w:type="dxa"/>
            <w:gridSpan w:val="2"/>
            <w:tcBorders>
              <w:top w:val="single" w:sz="4" w:space="0" w:color="000000"/>
              <w:left w:val="single" w:sz="4" w:space="0" w:color="000000"/>
              <w:bottom w:val="single" w:sz="4" w:space="0" w:color="000000"/>
            </w:tcBorders>
            <w:vAlign w:val="center"/>
          </w:tcPr>
          <w:p w14:paraId="060707B7" w14:textId="77777777" w:rsidR="008B3D58" w:rsidRPr="00175E32" w:rsidRDefault="008B3D58" w:rsidP="00FC1C3D">
            <w:pPr>
              <w:ind w:firstLine="0"/>
              <w:jc w:val="center"/>
              <w:rPr>
                <w:szCs w:val="24"/>
              </w:rPr>
            </w:pPr>
            <w:r w:rsidRPr="00175E32">
              <w:rPr>
                <w:szCs w:val="24"/>
              </w:rPr>
              <w:t>Прогноз на 2020 год</w:t>
            </w:r>
          </w:p>
        </w:tc>
        <w:tc>
          <w:tcPr>
            <w:tcW w:w="1559" w:type="dxa"/>
            <w:vMerge w:val="restart"/>
            <w:tcBorders>
              <w:top w:val="single" w:sz="4" w:space="0" w:color="000000"/>
              <w:left w:val="single" w:sz="4" w:space="0" w:color="000000"/>
              <w:bottom w:val="single" w:sz="4" w:space="0" w:color="000000"/>
              <w:right w:val="single" w:sz="4" w:space="0" w:color="000000"/>
            </w:tcBorders>
            <w:vAlign w:val="center"/>
          </w:tcPr>
          <w:p w14:paraId="56BFB42C" w14:textId="77777777" w:rsidR="008B3D58" w:rsidRPr="00175E32" w:rsidRDefault="008B3D58" w:rsidP="00FC1C3D">
            <w:pPr>
              <w:ind w:firstLine="0"/>
              <w:jc w:val="center"/>
              <w:rPr>
                <w:szCs w:val="24"/>
              </w:rPr>
            </w:pPr>
            <w:r w:rsidRPr="00175E32">
              <w:rPr>
                <w:szCs w:val="24"/>
              </w:rPr>
              <w:t>2020 год (оценка)</w:t>
            </w:r>
          </w:p>
        </w:tc>
      </w:tr>
      <w:tr w:rsidR="008B3D58" w:rsidRPr="00175E32" w14:paraId="03A369A5" w14:textId="77777777" w:rsidTr="00FC1C3D">
        <w:trPr>
          <w:tblHeader/>
        </w:trPr>
        <w:tc>
          <w:tcPr>
            <w:tcW w:w="3404" w:type="dxa"/>
            <w:vMerge/>
            <w:tcBorders>
              <w:top w:val="single" w:sz="4" w:space="0" w:color="000000"/>
              <w:left w:val="single" w:sz="4" w:space="0" w:color="000000"/>
              <w:bottom w:val="single" w:sz="4" w:space="0" w:color="000000"/>
            </w:tcBorders>
          </w:tcPr>
          <w:p w14:paraId="452888CA" w14:textId="77777777" w:rsidR="008B3D58" w:rsidRPr="00175E32" w:rsidRDefault="008B3D58" w:rsidP="0048723E">
            <w:pPr>
              <w:snapToGrid w:val="0"/>
              <w:ind w:firstLine="0"/>
              <w:jc w:val="center"/>
              <w:rPr>
                <w:szCs w:val="24"/>
              </w:rPr>
            </w:pPr>
          </w:p>
        </w:tc>
        <w:tc>
          <w:tcPr>
            <w:tcW w:w="1134" w:type="dxa"/>
            <w:vMerge/>
            <w:tcBorders>
              <w:top w:val="single" w:sz="4" w:space="0" w:color="000000"/>
              <w:left w:val="single" w:sz="4" w:space="0" w:color="000000"/>
              <w:bottom w:val="single" w:sz="4" w:space="0" w:color="000000"/>
            </w:tcBorders>
          </w:tcPr>
          <w:p w14:paraId="3F148353" w14:textId="77777777" w:rsidR="008B3D58" w:rsidRPr="00175E32" w:rsidRDefault="008B3D58" w:rsidP="0048723E">
            <w:pPr>
              <w:snapToGrid w:val="0"/>
              <w:ind w:firstLine="0"/>
              <w:jc w:val="center"/>
              <w:rPr>
                <w:szCs w:val="24"/>
              </w:rPr>
            </w:pPr>
          </w:p>
        </w:tc>
        <w:tc>
          <w:tcPr>
            <w:tcW w:w="1701" w:type="dxa"/>
            <w:tcBorders>
              <w:top w:val="single" w:sz="4" w:space="0" w:color="000000"/>
              <w:left w:val="single" w:sz="4" w:space="0" w:color="000000"/>
              <w:bottom w:val="single" w:sz="4" w:space="0" w:color="000000"/>
            </w:tcBorders>
            <w:vAlign w:val="center"/>
          </w:tcPr>
          <w:p w14:paraId="10FEEE1B" w14:textId="77777777" w:rsidR="008B3D58" w:rsidRPr="00175E32" w:rsidRDefault="008B3D58" w:rsidP="00FC1C3D">
            <w:pPr>
              <w:ind w:firstLine="0"/>
              <w:jc w:val="center"/>
              <w:rPr>
                <w:szCs w:val="24"/>
              </w:rPr>
            </w:pPr>
            <w:r w:rsidRPr="00175E32">
              <w:rPr>
                <w:szCs w:val="24"/>
              </w:rPr>
              <w:t>1 вариант (консервативный)</w:t>
            </w:r>
          </w:p>
        </w:tc>
        <w:tc>
          <w:tcPr>
            <w:tcW w:w="1701" w:type="dxa"/>
            <w:tcBorders>
              <w:top w:val="single" w:sz="4" w:space="0" w:color="000000"/>
              <w:left w:val="single" w:sz="4" w:space="0" w:color="000000"/>
              <w:bottom w:val="single" w:sz="4" w:space="0" w:color="000000"/>
            </w:tcBorders>
            <w:vAlign w:val="center"/>
          </w:tcPr>
          <w:p w14:paraId="1F014B51" w14:textId="77777777" w:rsidR="008B3D58" w:rsidRPr="00175E32" w:rsidRDefault="008B3D58" w:rsidP="00FC1C3D">
            <w:pPr>
              <w:ind w:firstLine="0"/>
              <w:jc w:val="center"/>
              <w:rPr>
                <w:szCs w:val="24"/>
              </w:rPr>
            </w:pPr>
            <w:r w:rsidRPr="00175E32">
              <w:rPr>
                <w:szCs w:val="24"/>
              </w:rPr>
              <w:t>2 вариант</w:t>
            </w:r>
          </w:p>
          <w:p w14:paraId="0FB31D2C" w14:textId="77777777" w:rsidR="008B3D58" w:rsidRPr="00175E32" w:rsidRDefault="008B3D58" w:rsidP="00FC1C3D">
            <w:pPr>
              <w:ind w:firstLine="0"/>
              <w:jc w:val="center"/>
              <w:rPr>
                <w:szCs w:val="24"/>
              </w:rPr>
            </w:pPr>
            <w:r w:rsidRPr="00175E32">
              <w:rPr>
                <w:szCs w:val="24"/>
              </w:rPr>
              <w:t>(базовый)</w:t>
            </w:r>
          </w:p>
        </w:tc>
        <w:tc>
          <w:tcPr>
            <w:tcW w:w="1559" w:type="dxa"/>
            <w:vMerge/>
            <w:tcBorders>
              <w:top w:val="single" w:sz="4" w:space="0" w:color="000000"/>
              <w:left w:val="single" w:sz="4" w:space="0" w:color="000000"/>
              <w:bottom w:val="single" w:sz="4" w:space="0" w:color="000000"/>
              <w:right w:val="single" w:sz="4" w:space="0" w:color="000000"/>
            </w:tcBorders>
          </w:tcPr>
          <w:p w14:paraId="6572E40B" w14:textId="77777777" w:rsidR="008B3D58" w:rsidRPr="00175E32" w:rsidRDefault="008B3D58" w:rsidP="0048723E">
            <w:pPr>
              <w:snapToGrid w:val="0"/>
              <w:ind w:firstLine="0"/>
              <w:jc w:val="center"/>
              <w:rPr>
                <w:szCs w:val="24"/>
              </w:rPr>
            </w:pPr>
          </w:p>
        </w:tc>
      </w:tr>
      <w:tr w:rsidR="008B3D58" w:rsidRPr="00175E32" w14:paraId="39A88517" w14:textId="77777777" w:rsidTr="008B3D58">
        <w:tc>
          <w:tcPr>
            <w:tcW w:w="3404" w:type="dxa"/>
            <w:tcBorders>
              <w:top w:val="single" w:sz="4" w:space="0" w:color="000000"/>
              <w:left w:val="single" w:sz="4" w:space="0" w:color="000000"/>
              <w:bottom w:val="single" w:sz="4" w:space="0" w:color="000000"/>
            </w:tcBorders>
          </w:tcPr>
          <w:p w14:paraId="2F1884C8" w14:textId="77777777" w:rsidR="008B3D58" w:rsidRPr="00175E32" w:rsidRDefault="008B3D58" w:rsidP="0048723E">
            <w:pPr>
              <w:ind w:firstLine="0"/>
              <w:rPr>
                <w:bCs/>
                <w:szCs w:val="24"/>
              </w:rPr>
            </w:pPr>
            <w:r w:rsidRPr="00175E32">
              <w:rPr>
                <w:bCs/>
                <w:szCs w:val="24"/>
              </w:rPr>
              <w:t xml:space="preserve">Объем отгруженных товаров собственного производства, выполненных работ и услуг собственными силами (по разделам С, </w:t>
            </w:r>
            <w:r w:rsidRPr="00175E32">
              <w:rPr>
                <w:bCs/>
                <w:szCs w:val="24"/>
                <w:lang w:val="en-US"/>
              </w:rPr>
              <w:t>D</w:t>
            </w:r>
            <w:r w:rsidRPr="00175E32">
              <w:rPr>
                <w:bCs/>
                <w:szCs w:val="24"/>
              </w:rPr>
              <w:t xml:space="preserve">, </w:t>
            </w:r>
            <w:r w:rsidRPr="00175E32">
              <w:rPr>
                <w:bCs/>
                <w:szCs w:val="24"/>
                <w:lang w:val="en-US"/>
              </w:rPr>
              <w:t>E</w:t>
            </w:r>
            <w:r w:rsidRPr="00175E32">
              <w:rPr>
                <w:bCs/>
                <w:szCs w:val="24"/>
              </w:rPr>
              <w:t xml:space="preserve">) </w:t>
            </w:r>
          </w:p>
        </w:tc>
        <w:tc>
          <w:tcPr>
            <w:tcW w:w="1134" w:type="dxa"/>
            <w:tcBorders>
              <w:top w:val="single" w:sz="4" w:space="0" w:color="000000"/>
              <w:left w:val="single" w:sz="4" w:space="0" w:color="000000"/>
              <w:bottom w:val="single" w:sz="4" w:space="0" w:color="000000"/>
            </w:tcBorders>
            <w:vAlign w:val="center"/>
          </w:tcPr>
          <w:p w14:paraId="5AAABC14" w14:textId="77777777" w:rsidR="008B3D58" w:rsidRPr="00175E32" w:rsidRDefault="008B3D58" w:rsidP="0048723E">
            <w:pPr>
              <w:ind w:firstLine="0"/>
              <w:jc w:val="center"/>
              <w:rPr>
                <w:bCs/>
                <w:szCs w:val="24"/>
              </w:rPr>
            </w:pPr>
            <w:r w:rsidRPr="00175E32">
              <w:rPr>
                <w:bCs/>
                <w:szCs w:val="24"/>
              </w:rPr>
              <w:t>млн. рублей</w:t>
            </w:r>
          </w:p>
        </w:tc>
        <w:tc>
          <w:tcPr>
            <w:tcW w:w="1701" w:type="dxa"/>
            <w:tcBorders>
              <w:top w:val="single" w:sz="4" w:space="0" w:color="000000"/>
              <w:left w:val="single" w:sz="4" w:space="0" w:color="000000"/>
              <w:bottom w:val="single" w:sz="4" w:space="0" w:color="000000"/>
            </w:tcBorders>
            <w:vAlign w:val="center"/>
          </w:tcPr>
          <w:p w14:paraId="62FE39C8" w14:textId="77777777" w:rsidR="008B3D58" w:rsidRPr="00175E32" w:rsidRDefault="003D7A6B" w:rsidP="0048723E">
            <w:pPr>
              <w:ind w:firstLine="0"/>
              <w:jc w:val="center"/>
              <w:rPr>
                <w:bCs/>
                <w:szCs w:val="24"/>
              </w:rPr>
            </w:pPr>
            <w:r w:rsidRPr="00175E32">
              <w:rPr>
                <w:bCs/>
                <w:szCs w:val="24"/>
              </w:rPr>
              <w:t>606 698,3</w:t>
            </w:r>
          </w:p>
        </w:tc>
        <w:tc>
          <w:tcPr>
            <w:tcW w:w="1701" w:type="dxa"/>
            <w:tcBorders>
              <w:top w:val="single" w:sz="4" w:space="0" w:color="000000"/>
              <w:left w:val="single" w:sz="4" w:space="0" w:color="000000"/>
              <w:bottom w:val="single" w:sz="4" w:space="0" w:color="000000"/>
            </w:tcBorders>
            <w:vAlign w:val="center"/>
          </w:tcPr>
          <w:p w14:paraId="4DFBAAC9" w14:textId="77777777" w:rsidR="008B3D58" w:rsidRPr="00175E32" w:rsidRDefault="003D7A6B" w:rsidP="0048723E">
            <w:pPr>
              <w:ind w:firstLine="0"/>
              <w:jc w:val="center"/>
              <w:rPr>
                <w:bCs/>
                <w:szCs w:val="24"/>
              </w:rPr>
            </w:pPr>
            <w:r w:rsidRPr="00175E32">
              <w:rPr>
                <w:bCs/>
                <w:szCs w:val="24"/>
              </w:rPr>
              <w:t>625 804,1</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D3C7E5" w14:textId="77777777" w:rsidR="008B3D58" w:rsidRPr="00175E32" w:rsidRDefault="002421C7" w:rsidP="0048723E">
            <w:pPr>
              <w:ind w:firstLine="0"/>
              <w:jc w:val="center"/>
              <w:rPr>
                <w:bCs/>
                <w:szCs w:val="24"/>
              </w:rPr>
            </w:pPr>
            <w:r w:rsidRPr="00175E32">
              <w:rPr>
                <w:bCs/>
                <w:szCs w:val="24"/>
              </w:rPr>
              <w:t>506 523,0</w:t>
            </w:r>
          </w:p>
        </w:tc>
      </w:tr>
      <w:tr w:rsidR="008B3D58" w:rsidRPr="00175E32" w14:paraId="029FEE14" w14:textId="77777777" w:rsidTr="008B3D58">
        <w:tc>
          <w:tcPr>
            <w:tcW w:w="3404" w:type="dxa"/>
            <w:tcBorders>
              <w:top w:val="single" w:sz="4" w:space="0" w:color="000000"/>
              <w:left w:val="single" w:sz="4" w:space="0" w:color="000000"/>
              <w:bottom w:val="single" w:sz="4" w:space="0" w:color="000000"/>
            </w:tcBorders>
          </w:tcPr>
          <w:p w14:paraId="1106A896" w14:textId="77777777" w:rsidR="008B3D58" w:rsidRPr="00175E32" w:rsidRDefault="008B3D58" w:rsidP="0048723E">
            <w:pPr>
              <w:ind w:firstLine="0"/>
              <w:rPr>
                <w:bCs/>
                <w:szCs w:val="24"/>
              </w:rPr>
            </w:pPr>
            <w:r w:rsidRPr="00175E32">
              <w:rPr>
                <w:bCs/>
                <w:szCs w:val="24"/>
              </w:rPr>
              <w:t>в том числе по видам деятельности:</w:t>
            </w:r>
          </w:p>
        </w:tc>
        <w:tc>
          <w:tcPr>
            <w:tcW w:w="1134" w:type="dxa"/>
            <w:tcBorders>
              <w:top w:val="single" w:sz="4" w:space="0" w:color="000000"/>
              <w:left w:val="single" w:sz="4" w:space="0" w:color="000000"/>
              <w:bottom w:val="single" w:sz="4" w:space="0" w:color="000000"/>
            </w:tcBorders>
          </w:tcPr>
          <w:p w14:paraId="477E452E" w14:textId="77777777" w:rsidR="008B3D58" w:rsidRPr="00175E32" w:rsidRDefault="008B3D58" w:rsidP="0048723E">
            <w:pPr>
              <w:ind w:firstLine="0"/>
              <w:jc w:val="center"/>
              <w:rPr>
                <w:bCs/>
                <w:szCs w:val="24"/>
              </w:rPr>
            </w:pPr>
          </w:p>
        </w:tc>
        <w:tc>
          <w:tcPr>
            <w:tcW w:w="1701" w:type="dxa"/>
            <w:tcBorders>
              <w:top w:val="single" w:sz="4" w:space="0" w:color="000000"/>
              <w:left w:val="single" w:sz="4" w:space="0" w:color="000000"/>
              <w:bottom w:val="single" w:sz="4" w:space="0" w:color="000000"/>
            </w:tcBorders>
            <w:vAlign w:val="center"/>
          </w:tcPr>
          <w:p w14:paraId="5230C283" w14:textId="77777777" w:rsidR="008B3D58" w:rsidRPr="00175E32" w:rsidRDefault="008B3D58" w:rsidP="0048723E">
            <w:pPr>
              <w:ind w:firstLine="0"/>
              <w:jc w:val="center"/>
              <w:rPr>
                <w:bCs/>
                <w:szCs w:val="24"/>
              </w:rPr>
            </w:pPr>
          </w:p>
        </w:tc>
        <w:tc>
          <w:tcPr>
            <w:tcW w:w="1701" w:type="dxa"/>
            <w:tcBorders>
              <w:top w:val="single" w:sz="4" w:space="0" w:color="000000"/>
              <w:left w:val="single" w:sz="4" w:space="0" w:color="000000"/>
              <w:bottom w:val="single" w:sz="4" w:space="0" w:color="000000"/>
            </w:tcBorders>
            <w:vAlign w:val="center"/>
          </w:tcPr>
          <w:p w14:paraId="33A2FC66" w14:textId="77777777" w:rsidR="008B3D58" w:rsidRPr="00175E32" w:rsidRDefault="008B3D58" w:rsidP="0048723E">
            <w:pPr>
              <w:ind w:firstLine="0"/>
              <w:jc w:val="center"/>
              <w:rPr>
                <w:bCs/>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B9A29C" w14:textId="77777777" w:rsidR="008B3D58" w:rsidRPr="00175E32" w:rsidRDefault="008B3D58" w:rsidP="0048723E">
            <w:pPr>
              <w:ind w:firstLine="0"/>
              <w:jc w:val="center"/>
              <w:rPr>
                <w:bCs/>
                <w:szCs w:val="24"/>
              </w:rPr>
            </w:pPr>
          </w:p>
        </w:tc>
      </w:tr>
      <w:tr w:rsidR="008B3D58" w:rsidRPr="00175E32" w14:paraId="36AA6BD6" w14:textId="77777777" w:rsidTr="008B3D58">
        <w:tc>
          <w:tcPr>
            <w:tcW w:w="3404" w:type="dxa"/>
            <w:tcBorders>
              <w:top w:val="single" w:sz="4" w:space="0" w:color="000000"/>
              <w:left w:val="single" w:sz="4" w:space="0" w:color="000000"/>
              <w:bottom w:val="single" w:sz="4" w:space="0" w:color="000000"/>
            </w:tcBorders>
          </w:tcPr>
          <w:p w14:paraId="4C7D199B" w14:textId="77777777" w:rsidR="008B3D58" w:rsidRPr="00175E32" w:rsidRDefault="008B3D58" w:rsidP="0048723E">
            <w:pPr>
              <w:ind w:firstLine="0"/>
              <w:rPr>
                <w:bCs/>
                <w:szCs w:val="24"/>
              </w:rPr>
            </w:pPr>
            <w:r w:rsidRPr="00175E32">
              <w:rPr>
                <w:bCs/>
                <w:szCs w:val="24"/>
              </w:rPr>
              <w:t>Обрабатывающие производства</w:t>
            </w:r>
          </w:p>
        </w:tc>
        <w:tc>
          <w:tcPr>
            <w:tcW w:w="1134" w:type="dxa"/>
            <w:tcBorders>
              <w:top w:val="single" w:sz="4" w:space="0" w:color="000000"/>
              <w:left w:val="single" w:sz="4" w:space="0" w:color="000000"/>
              <w:bottom w:val="single" w:sz="4" w:space="0" w:color="000000"/>
            </w:tcBorders>
            <w:vAlign w:val="center"/>
          </w:tcPr>
          <w:p w14:paraId="764C2CD2" w14:textId="77777777" w:rsidR="008B3D58" w:rsidRPr="00175E32" w:rsidRDefault="008B3D58" w:rsidP="0048723E">
            <w:pPr>
              <w:ind w:firstLine="0"/>
              <w:jc w:val="center"/>
              <w:rPr>
                <w:bCs/>
                <w:szCs w:val="24"/>
              </w:rPr>
            </w:pPr>
            <w:r w:rsidRPr="00175E32">
              <w:rPr>
                <w:bCs/>
                <w:szCs w:val="24"/>
              </w:rPr>
              <w:t>млн. рублей</w:t>
            </w:r>
          </w:p>
        </w:tc>
        <w:tc>
          <w:tcPr>
            <w:tcW w:w="1701" w:type="dxa"/>
            <w:tcBorders>
              <w:top w:val="single" w:sz="4" w:space="0" w:color="000000"/>
              <w:left w:val="single" w:sz="4" w:space="0" w:color="000000"/>
              <w:bottom w:val="single" w:sz="4" w:space="0" w:color="000000"/>
            </w:tcBorders>
            <w:vAlign w:val="center"/>
          </w:tcPr>
          <w:p w14:paraId="63605924" w14:textId="77777777" w:rsidR="008B3D58" w:rsidRPr="00175E32" w:rsidRDefault="003D7A6B" w:rsidP="0048723E">
            <w:pPr>
              <w:ind w:firstLine="0"/>
              <w:jc w:val="center"/>
              <w:rPr>
                <w:bCs/>
                <w:szCs w:val="24"/>
              </w:rPr>
            </w:pPr>
            <w:r w:rsidRPr="00175E32">
              <w:rPr>
                <w:bCs/>
                <w:szCs w:val="24"/>
              </w:rPr>
              <w:t>567 041,1</w:t>
            </w:r>
          </w:p>
        </w:tc>
        <w:tc>
          <w:tcPr>
            <w:tcW w:w="1701" w:type="dxa"/>
            <w:tcBorders>
              <w:top w:val="single" w:sz="4" w:space="0" w:color="000000"/>
              <w:left w:val="single" w:sz="4" w:space="0" w:color="000000"/>
              <w:bottom w:val="single" w:sz="4" w:space="0" w:color="000000"/>
            </w:tcBorders>
            <w:vAlign w:val="center"/>
          </w:tcPr>
          <w:p w14:paraId="0248A6CE" w14:textId="77777777" w:rsidR="008B3D58" w:rsidRPr="00175E32" w:rsidRDefault="008B3D58" w:rsidP="003D7A6B">
            <w:pPr>
              <w:ind w:firstLine="0"/>
              <w:jc w:val="center"/>
              <w:rPr>
                <w:bCs/>
                <w:szCs w:val="24"/>
              </w:rPr>
            </w:pPr>
            <w:r w:rsidRPr="00175E32">
              <w:rPr>
                <w:bCs/>
                <w:szCs w:val="24"/>
              </w:rPr>
              <w:t>5</w:t>
            </w:r>
            <w:r w:rsidR="003D7A6B" w:rsidRPr="00175E32">
              <w:rPr>
                <w:bCs/>
                <w:szCs w:val="24"/>
              </w:rPr>
              <w:t>84 981,5</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33CF74" w14:textId="77777777" w:rsidR="008B3D58" w:rsidRPr="00175E32" w:rsidRDefault="008B7A4D" w:rsidP="0048723E">
            <w:pPr>
              <w:ind w:firstLine="0"/>
              <w:jc w:val="center"/>
              <w:rPr>
                <w:bCs/>
                <w:szCs w:val="24"/>
              </w:rPr>
            </w:pPr>
            <w:r w:rsidRPr="00175E32">
              <w:rPr>
                <w:bCs/>
                <w:szCs w:val="24"/>
              </w:rPr>
              <w:t>467 463,0</w:t>
            </w:r>
          </w:p>
        </w:tc>
      </w:tr>
      <w:tr w:rsidR="008B3D58" w:rsidRPr="00175E32" w14:paraId="4A45848C" w14:textId="77777777" w:rsidTr="008B3D58">
        <w:tc>
          <w:tcPr>
            <w:tcW w:w="3404" w:type="dxa"/>
            <w:tcBorders>
              <w:top w:val="single" w:sz="4" w:space="0" w:color="000000"/>
              <w:left w:val="single" w:sz="4" w:space="0" w:color="000000"/>
              <w:bottom w:val="single" w:sz="4" w:space="0" w:color="000000"/>
            </w:tcBorders>
          </w:tcPr>
          <w:p w14:paraId="42F7C14A" w14:textId="77777777" w:rsidR="008B3D58" w:rsidRPr="00175E32" w:rsidRDefault="008B3D58" w:rsidP="0048723E">
            <w:pPr>
              <w:ind w:firstLine="0"/>
              <w:rPr>
                <w:bCs/>
                <w:szCs w:val="24"/>
              </w:rPr>
            </w:pPr>
            <w:r w:rsidRPr="00175E32">
              <w:rPr>
                <w:bCs/>
                <w:szCs w:val="24"/>
              </w:rPr>
              <w:t>Производство пищевых продуктов</w:t>
            </w:r>
          </w:p>
        </w:tc>
        <w:tc>
          <w:tcPr>
            <w:tcW w:w="1134" w:type="dxa"/>
            <w:tcBorders>
              <w:top w:val="single" w:sz="4" w:space="0" w:color="000000"/>
              <w:left w:val="single" w:sz="4" w:space="0" w:color="000000"/>
              <w:bottom w:val="single" w:sz="4" w:space="0" w:color="000000"/>
            </w:tcBorders>
            <w:vAlign w:val="center"/>
          </w:tcPr>
          <w:p w14:paraId="35BF17D7" w14:textId="77777777" w:rsidR="008B3D58" w:rsidRPr="00175E32" w:rsidRDefault="008B3D58" w:rsidP="0048723E">
            <w:pPr>
              <w:ind w:firstLine="0"/>
              <w:jc w:val="center"/>
              <w:rPr>
                <w:bCs/>
                <w:szCs w:val="24"/>
              </w:rPr>
            </w:pPr>
            <w:r w:rsidRPr="00175E32">
              <w:rPr>
                <w:bCs/>
                <w:szCs w:val="24"/>
              </w:rPr>
              <w:t>млн. рублей</w:t>
            </w:r>
          </w:p>
        </w:tc>
        <w:tc>
          <w:tcPr>
            <w:tcW w:w="1701" w:type="dxa"/>
            <w:tcBorders>
              <w:top w:val="single" w:sz="4" w:space="0" w:color="000000"/>
              <w:left w:val="single" w:sz="4" w:space="0" w:color="000000"/>
              <w:bottom w:val="single" w:sz="4" w:space="0" w:color="000000"/>
            </w:tcBorders>
            <w:vAlign w:val="center"/>
          </w:tcPr>
          <w:p w14:paraId="7F02526B" w14:textId="77777777" w:rsidR="008B3D58" w:rsidRPr="00175E32" w:rsidRDefault="003D7A6B" w:rsidP="0048723E">
            <w:pPr>
              <w:ind w:firstLine="0"/>
              <w:jc w:val="center"/>
              <w:rPr>
                <w:bCs/>
                <w:szCs w:val="24"/>
              </w:rPr>
            </w:pPr>
            <w:r w:rsidRPr="00175E32">
              <w:rPr>
                <w:bCs/>
                <w:szCs w:val="24"/>
              </w:rPr>
              <w:t>5 650,9</w:t>
            </w:r>
          </w:p>
        </w:tc>
        <w:tc>
          <w:tcPr>
            <w:tcW w:w="1701" w:type="dxa"/>
            <w:tcBorders>
              <w:top w:val="single" w:sz="4" w:space="0" w:color="000000"/>
              <w:left w:val="single" w:sz="4" w:space="0" w:color="000000"/>
              <w:bottom w:val="single" w:sz="4" w:space="0" w:color="000000"/>
            </w:tcBorders>
            <w:vAlign w:val="center"/>
          </w:tcPr>
          <w:p w14:paraId="1720BF5F" w14:textId="77777777" w:rsidR="008B3D58" w:rsidRPr="00175E32" w:rsidRDefault="003D7A6B" w:rsidP="0048723E">
            <w:pPr>
              <w:ind w:firstLine="0"/>
              <w:jc w:val="center"/>
              <w:rPr>
                <w:bCs/>
                <w:szCs w:val="24"/>
              </w:rPr>
            </w:pPr>
            <w:r w:rsidRPr="00175E32">
              <w:rPr>
                <w:bCs/>
                <w:szCs w:val="24"/>
              </w:rPr>
              <w:t>5 824,2</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5A5396" w14:textId="77777777" w:rsidR="008B3D58" w:rsidRPr="00175E32" w:rsidRDefault="008B7A4D" w:rsidP="0048723E">
            <w:pPr>
              <w:ind w:firstLine="0"/>
              <w:jc w:val="center"/>
              <w:rPr>
                <w:bCs/>
                <w:szCs w:val="24"/>
              </w:rPr>
            </w:pPr>
            <w:r w:rsidRPr="00175E32">
              <w:rPr>
                <w:bCs/>
                <w:szCs w:val="24"/>
              </w:rPr>
              <w:t>15 517,5</w:t>
            </w:r>
          </w:p>
        </w:tc>
      </w:tr>
      <w:tr w:rsidR="008B3D58" w:rsidRPr="00175E32" w14:paraId="52F2769E" w14:textId="77777777" w:rsidTr="008B3D58">
        <w:tc>
          <w:tcPr>
            <w:tcW w:w="3404" w:type="dxa"/>
            <w:tcBorders>
              <w:top w:val="single" w:sz="4" w:space="0" w:color="000000"/>
              <w:left w:val="single" w:sz="4" w:space="0" w:color="000000"/>
              <w:bottom w:val="single" w:sz="4" w:space="0" w:color="000000"/>
            </w:tcBorders>
          </w:tcPr>
          <w:p w14:paraId="67FACDA4" w14:textId="77777777" w:rsidR="008B3D58" w:rsidRPr="00175E32" w:rsidRDefault="008B3D58" w:rsidP="0048723E">
            <w:pPr>
              <w:ind w:firstLine="0"/>
              <w:rPr>
                <w:bCs/>
                <w:szCs w:val="24"/>
              </w:rPr>
            </w:pPr>
            <w:r w:rsidRPr="00175E32">
              <w:rPr>
                <w:bCs/>
                <w:szCs w:val="24"/>
              </w:rPr>
              <w:t>Производство химических веществ и химических продуктов</w:t>
            </w:r>
          </w:p>
        </w:tc>
        <w:tc>
          <w:tcPr>
            <w:tcW w:w="1134" w:type="dxa"/>
            <w:tcBorders>
              <w:top w:val="single" w:sz="4" w:space="0" w:color="000000"/>
              <w:left w:val="single" w:sz="4" w:space="0" w:color="000000"/>
              <w:bottom w:val="single" w:sz="4" w:space="0" w:color="000000"/>
            </w:tcBorders>
            <w:vAlign w:val="center"/>
          </w:tcPr>
          <w:p w14:paraId="1BB0042B" w14:textId="77777777" w:rsidR="008B3D58" w:rsidRPr="00175E32" w:rsidRDefault="008B3D58" w:rsidP="0048723E">
            <w:pPr>
              <w:ind w:firstLine="0"/>
              <w:jc w:val="center"/>
              <w:rPr>
                <w:bCs/>
                <w:szCs w:val="24"/>
              </w:rPr>
            </w:pPr>
            <w:r w:rsidRPr="00175E32">
              <w:rPr>
                <w:bCs/>
                <w:szCs w:val="24"/>
              </w:rPr>
              <w:t>млн. рублей</w:t>
            </w:r>
          </w:p>
        </w:tc>
        <w:tc>
          <w:tcPr>
            <w:tcW w:w="1701" w:type="dxa"/>
            <w:tcBorders>
              <w:top w:val="single" w:sz="4" w:space="0" w:color="000000"/>
              <w:left w:val="single" w:sz="4" w:space="0" w:color="000000"/>
              <w:bottom w:val="single" w:sz="4" w:space="0" w:color="000000"/>
            </w:tcBorders>
            <w:vAlign w:val="center"/>
          </w:tcPr>
          <w:p w14:paraId="4A9C9533" w14:textId="77777777" w:rsidR="008B3D58" w:rsidRPr="00175E32" w:rsidRDefault="003D7A6B" w:rsidP="0048723E">
            <w:pPr>
              <w:ind w:firstLine="0"/>
              <w:jc w:val="center"/>
              <w:rPr>
                <w:bCs/>
                <w:szCs w:val="24"/>
              </w:rPr>
            </w:pPr>
            <w:r w:rsidRPr="00175E32">
              <w:rPr>
                <w:bCs/>
                <w:szCs w:val="24"/>
              </w:rPr>
              <w:t>151 513,4</w:t>
            </w:r>
          </w:p>
        </w:tc>
        <w:tc>
          <w:tcPr>
            <w:tcW w:w="1701" w:type="dxa"/>
            <w:tcBorders>
              <w:top w:val="single" w:sz="4" w:space="0" w:color="000000"/>
              <w:left w:val="single" w:sz="4" w:space="0" w:color="000000"/>
              <w:bottom w:val="single" w:sz="4" w:space="0" w:color="000000"/>
            </w:tcBorders>
            <w:vAlign w:val="center"/>
          </w:tcPr>
          <w:p w14:paraId="7414AC7A" w14:textId="77777777" w:rsidR="008B3D58" w:rsidRPr="00175E32" w:rsidRDefault="003D7A6B" w:rsidP="0048723E">
            <w:pPr>
              <w:ind w:firstLine="0"/>
              <w:jc w:val="center"/>
              <w:rPr>
                <w:bCs/>
                <w:szCs w:val="24"/>
              </w:rPr>
            </w:pPr>
            <w:r w:rsidRPr="00175E32">
              <w:rPr>
                <w:bCs/>
                <w:szCs w:val="24"/>
              </w:rPr>
              <w:t>153 120,0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29B430" w14:textId="77777777" w:rsidR="008B3D58" w:rsidRPr="00175E32" w:rsidRDefault="008B7A4D" w:rsidP="0048723E">
            <w:pPr>
              <w:snapToGrid w:val="0"/>
              <w:ind w:firstLine="0"/>
              <w:jc w:val="center"/>
              <w:rPr>
                <w:bCs/>
                <w:szCs w:val="24"/>
              </w:rPr>
            </w:pPr>
            <w:r w:rsidRPr="00175E32">
              <w:rPr>
                <w:bCs/>
                <w:szCs w:val="24"/>
              </w:rPr>
              <w:t>118 587,0</w:t>
            </w:r>
          </w:p>
        </w:tc>
      </w:tr>
      <w:tr w:rsidR="008B3D58" w:rsidRPr="00175E32" w14:paraId="41BE2551" w14:textId="77777777" w:rsidTr="008B3D58">
        <w:tc>
          <w:tcPr>
            <w:tcW w:w="3404" w:type="dxa"/>
            <w:tcBorders>
              <w:top w:val="single" w:sz="4" w:space="0" w:color="000000"/>
              <w:left w:val="single" w:sz="4" w:space="0" w:color="000000"/>
              <w:bottom w:val="single" w:sz="4" w:space="0" w:color="000000"/>
            </w:tcBorders>
          </w:tcPr>
          <w:p w14:paraId="3ABD7BCB" w14:textId="77777777" w:rsidR="008B3D58" w:rsidRPr="00175E32" w:rsidRDefault="008B3D58" w:rsidP="0048723E">
            <w:pPr>
              <w:ind w:firstLine="0"/>
              <w:rPr>
                <w:bCs/>
                <w:szCs w:val="24"/>
              </w:rPr>
            </w:pPr>
            <w:r w:rsidRPr="00175E32">
              <w:rPr>
                <w:bCs/>
                <w:szCs w:val="24"/>
              </w:rPr>
              <w:t>Производство автотранспортных средств, прицепов и полуприцепов</w:t>
            </w:r>
          </w:p>
        </w:tc>
        <w:tc>
          <w:tcPr>
            <w:tcW w:w="1134" w:type="dxa"/>
            <w:tcBorders>
              <w:top w:val="single" w:sz="4" w:space="0" w:color="000000"/>
              <w:left w:val="single" w:sz="4" w:space="0" w:color="000000"/>
              <w:bottom w:val="single" w:sz="4" w:space="0" w:color="000000"/>
            </w:tcBorders>
            <w:vAlign w:val="center"/>
          </w:tcPr>
          <w:p w14:paraId="1242DFE8" w14:textId="77777777" w:rsidR="008B3D58" w:rsidRPr="00175E32" w:rsidRDefault="008B3D58" w:rsidP="0048723E">
            <w:pPr>
              <w:ind w:firstLine="0"/>
              <w:jc w:val="center"/>
              <w:rPr>
                <w:bCs/>
                <w:szCs w:val="24"/>
              </w:rPr>
            </w:pPr>
            <w:r w:rsidRPr="00175E32">
              <w:rPr>
                <w:bCs/>
                <w:szCs w:val="24"/>
              </w:rPr>
              <w:t>млн. рублей</w:t>
            </w:r>
          </w:p>
        </w:tc>
        <w:tc>
          <w:tcPr>
            <w:tcW w:w="1701" w:type="dxa"/>
            <w:tcBorders>
              <w:top w:val="single" w:sz="4" w:space="0" w:color="000000"/>
              <w:left w:val="single" w:sz="4" w:space="0" w:color="000000"/>
              <w:bottom w:val="single" w:sz="4" w:space="0" w:color="000000"/>
            </w:tcBorders>
            <w:vAlign w:val="center"/>
          </w:tcPr>
          <w:p w14:paraId="2A9493DC" w14:textId="77777777" w:rsidR="008B3D58" w:rsidRPr="00175E32" w:rsidRDefault="003D7A6B" w:rsidP="0048723E">
            <w:pPr>
              <w:ind w:firstLine="0"/>
              <w:jc w:val="center"/>
              <w:rPr>
                <w:bCs/>
                <w:szCs w:val="24"/>
              </w:rPr>
            </w:pPr>
            <w:r w:rsidRPr="00175E32">
              <w:rPr>
                <w:bCs/>
                <w:szCs w:val="24"/>
              </w:rPr>
              <w:t>384 024,4</w:t>
            </w:r>
          </w:p>
        </w:tc>
        <w:tc>
          <w:tcPr>
            <w:tcW w:w="1701" w:type="dxa"/>
            <w:tcBorders>
              <w:top w:val="single" w:sz="4" w:space="0" w:color="000000"/>
              <w:left w:val="single" w:sz="4" w:space="0" w:color="000000"/>
              <w:bottom w:val="single" w:sz="4" w:space="0" w:color="000000"/>
            </w:tcBorders>
            <w:vAlign w:val="center"/>
          </w:tcPr>
          <w:p w14:paraId="20F92AD4" w14:textId="77777777" w:rsidR="008B3D58" w:rsidRPr="00175E32" w:rsidRDefault="003D7A6B" w:rsidP="0048723E">
            <w:pPr>
              <w:ind w:firstLine="0"/>
              <w:jc w:val="center"/>
              <w:rPr>
                <w:bCs/>
                <w:szCs w:val="24"/>
              </w:rPr>
            </w:pPr>
            <w:r w:rsidRPr="00175E32">
              <w:rPr>
                <w:bCs/>
                <w:szCs w:val="24"/>
              </w:rPr>
              <w:t>398 261,7</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ECBA92" w14:textId="77777777" w:rsidR="008B3D58" w:rsidRPr="00175E32" w:rsidRDefault="008B7A4D" w:rsidP="0048723E">
            <w:pPr>
              <w:ind w:firstLine="0"/>
              <w:jc w:val="center"/>
              <w:rPr>
                <w:bCs/>
                <w:szCs w:val="24"/>
              </w:rPr>
            </w:pPr>
            <w:r w:rsidRPr="00175E32">
              <w:rPr>
                <w:bCs/>
                <w:szCs w:val="24"/>
              </w:rPr>
              <w:t>305 785,0</w:t>
            </w:r>
          </w:p>
        </w:tc>
      </w:tr>
      <w:tr w:rsidR="008B3D58" w:rsidRPr="00175E32" w14:paraId="17F808AB" w14:textId="77777777" w:rsidTr="008B3D58">
        <w:tc>
          <w:tcPr>
            <w:tcW w:w="3404" w:type="dxa"/>
            <w:tcBorders>
              <w:top w:val="single" w:sz="4" w:space="0" w:color="000000"/>
              <w:left w:val="single" w:sz="4" w:space="0" w:color="000000"/>
              <w:bottom w:val="single" w:sz="4" w:space="0" w:color="000000"/>
            </w:tcBorders>
          </w:tcPr>
          <w:p w14:paraId="36AA69B2" w14:textId="77777777" w:rsidR="008B3D58" w:rsidRPr="00175E32" w:rsidRDefault="008B3D58" w:rsidP="0048723E">
            <w:pPr>
              <w:ind w:firstLine="0"/>
              <w:rPr>
                <w:bCs/>
                <w:szCs w:val="24"/>
              </w:rPr>
            </w:pPr>
            <w:r w:rsidRPr="00175E32">
              <w:rPr>
                <w:bCs/>
                <w:szCs w:val="24"/>
              </w:rPr>
              <w:t>Обеспечение электрической энергией, газом и паром; кондиционирование воздуха</w:t>
            </w:r>
          </w:p>
        </w:tc>
        <w:tc>
          <w:tcPr>
            <w:tcW w:w="1134" w:type="dxa"/>
            <w:tcBorders>
              <w:top w:val="single" w:sz="4" w:space="0" w:color="000000"/>
              <w:left w:val="single" w:sz="4" w:space="0" w:color="000000"/>
              <w:bottom w:val="single" w:sz="4" w:space="0" w:color="000000"/>
            </w:tcBorders>
            <w:vAlign w:val="center"/>
          </w:tcPr>
          <w:p w14:paraId="42A5A044" w14:textId="77777777" w:rsidR="008B3D58" w:rsidRPr="00175E32" w:rsidRDefault="008B3D58" w:rsidP="0048723E">
            <w:pPr>
              <w:ind w:firstLine="0"/>
              <w:jc w:val="center"/>
              <w:rPr>
                <w:bCs/>
                <w:szCs w:val="24"/>
              </w:rPr>
            </w:pPr>
            <w:r w:rsidRPr="00175E32">
              <w:rPr>
                <w:bCs/>
                <w:szCs w:val="24"/>
              </w:rPr>
              <w:t>млн. рублей</w:t>
            </w:r>
          </w:p>
        </w:tc>
        <w:tc>
          <w:tcPr>
            <w:tcW w:w="1701" w:type="dxa"/>
            <w:tcBorders>
              <w:top w:val="single" w:sz="4" w:space="0" w:color="000000"/>
              <w:left w:val="single" w:sz="4" w:space="0" w:color="000000"/>
              <w:bottom w:val="single" w:sz="4" w:space="0" w:color="000000"/>
            </w:tcBorders>
            <w:vAlign w:val="center"/>
          </w:tcPr>
          <w:p w14:paraId="670218EF" w14:textId="77777777" w:rsidR="008B3D58" w:rsidRPr="00175E32" w:rsidRDefault="003D7A6B" w:rsidP="0048723E">
            <w:pPr>
              <w:ind w:firstLine="0"/>
              <w:jc w:val="center"/>
              <w:rPr>
                <w:bCs/>
                <w:szCs w:val="24"/>
              </w:rPr>
            </w:pPr>
            <w:r w:rsidRPr="00175E32">
              <w:rPr>
                <w:bCs/>
                <w:szCs w:val="24"/>
              </w:rPr>
              <w:t>21 809,0</w:t>
            </w:r>
          </w:p>
        </w:tc>
        <w:tc>
          <w:tcPr>
            <w:tcW w:w="1701" w:type="dxa"/>
            <w:tcBorders>
              <w:top w:val="single" w:sz="4" w:space="0" w:color="000000"/>
              <w:left w:val="single" w:sz="4" w:space="0" w:color="000000"/>
              <w:bottom w:val="single" w:sz="4" w:space="0" w:color="000000"/>
            </w:tcBorders>
            <w:vAlign w:val="center"/>
          </w:tcPr>
          <w:p w14:paraId="5683668F" w14:textId="77777777" w:rsidR="008B3D58" w:rsidRPr="00175E32" w:rsidRDefault="003D7A6B" w:rsidP="0048723E">
            <w:pPr>
              <w:ind w:firstLine="0"/>
              <w:jc w:val="center"/>
              <w:rPr>
                <w:bCs/>
                <w:szCs w:val="24"/>
              </w:rPr>
            </w:pPr>
            <w:r w:rsidRPr="00175E32">
              <w:rPr>
                <w:bCs/>
                <w:szCs w:val="24"/>
              </w:rPr>
              <w:t>22 474,7</w:t>
            </w:r>
          </w:p>
        </w:tc>
        <w:tc>
          <w:tcPr>
            <w:tcW w:w="1559" w:type="dxa"/>
            <w:tcBorders>
              <w:top w:val="single" w:sz="4" w:space="0" w:color="000000"/>
              <w:left w:val="single" w:sz="4" w:space="0" w:color="000000"/>
              <w:bottom w:val="single" w:sz="4" w:space="0" w:color="000000"/>
              <w:right w:val="single" w:sz="4" w:space="0" w:color="000000"/>
            </w:tcBorders>
            <w:vAlign w:val="center"/>
          </w:tcPr>
          <w:p w14:paraId="0A025EB5" w14:textId="77777777" w:rsidR="008B3D58" w:rsidRPr="00175E32" w:rsidRDefault="009C730D" w:rsidP="0048723E">
            <w:pPr>
              <w:ind w:firstLine="0"/>
              <w:jc w:val="center"/>
              <w:rPr>
                <w:bCs/>
                <w:szCs w:val="24"/>
              </w:rPr>
            </w:pPr>
            <w:r w:rsidRPr="00175E32">
              <w:rPr>
                <w:bCs/>
                <w:szCs w:val="24"/>
              </w:rPr>
              <w:t>21 016,0</w:t>
            </w:r>
          </w:p>
        </w:tc>
      </w:tr>
      <w:tr w:rsidR="008B3D58" w:rsidRPr="00175E32" w14:paraId="07E3EED4" w14:textId="77777777" w:rsidTr="008B3D58">
        <w:tc>
          <w:tcPr>
            <w:tcW w:w="3404" w:type="dxa"/>
            <w:tcBorders>
              <w:top w:val="single" w:sz="4" w:space="0" w:color="000000"/>
              <w:left w:val="single" w:sz="4" w:space="0" w:color="000000"/>
              <w:bottom w:val="single" w:sz="4" w:space="0" w:color="000000"/>
            </w:tcBorders>
          </w:tcPr>
          <w:p w14:paraId="21714377" w14:textId="77777777" w:rsidR="008B3D58" w:rsidRPr="00175E32" w:rsidRDefault="008B3D58" w:rsidP="0048723E">
            <w:pPr>
              <w:ind w:firstLine="0"/>
              <w:rPr>
                <w:bCs/>
                <w:szCs w:val="24"/>
              </w:rPr>
            </w:pPr>
            <w:r w:rsidRPr="00175E32">
              <w:rPr>
                <w:bCs/>
                <w:szCs w:val="24"/>
              </w:rPr>
              <w:t>Водоснабжение; водоотведение, организация сбора и утилизации отходов, деятельность по ликвидации загрязнений</w:t>
            </w:r>
          </w:p>
        </w:tc>
        <w:tc>
          <w:tcPr>
            <w:tcW w:w="1134" w:type="dxa"/>
            <w:tcBorders>
              <w:top w:val="single" w:sz="4" w:space="0" w:color="000000"/>
              <w:left w:val="single" w:sz="4" w:space="0" w:color="000000"/>
              <w:bottom w:val="single" w:sz="4" w:space="0" w:color="000000"/>
            </w:tcBorders>
            <w:vAlign w:val="center"/>
          </w:tcPr>
          <w:p w14:paraId="113600AE" w14:textId="77777777" w:rsidR="008B3D58" w:rsidRPr="00175E32" w:rsidRDefault="008B3D58" w:rsidP="0048723E">
            <w:pPr>
              <w:ind w:firstLine="0"/>
              <w:jc w:val="center"/>
              <w:rPr>
                <w:bCs/>
                <w:szCs w:val="24"/>
              </w:rPr>
            </w:pPr>
            <w:r w:rsidRPr="00175E32">
              <w:rPr>
                <w:bCs/>
                <w:szCs w:val="24"/>
              </w:rPr>
              <w:t>млн. рублей</w:t>
            </w:r>
          </w:p>
        </w:tc>
        <w:tc>
          <w:tcPr>
            <w:tcW w:w="1701" w:type="dxa"/>
            <w:tcBorders>
              <w:top w:val="single" w:sz="4" w:space="0" w:color="000000"/>
              <w:left w:val="single" w:sz="4" w:space="0" w:color="000000"/>
              <w:bottom w:val="single" w:sz="4" w:space="0" w:color="000000"/>
            </w:tcBorders>
            <w:vAlign w:val="center"/>
          </w:tcPr>
          <w:p w14:paraId="5FC4BB85" w14:textId="77777777" w:rsidR="008B3D58" w:rsidRPr="00175E32" w:rsidRDefault="003D7A6B" w:rsidP="0048723E">
            <w:pPr>
              <w:ind w:firstLine="0"/>
              <w:jc w:val="center"/>
              <w:rPr>
                <w:bCs/>
                <w:szCs w:val="24"/>
              </w:rPr>
            </w:pPr>
            <w:r w:rsidRPr="00175E32">
              <w:rPr>
                <w:bCs/>
                <w:szCs w:val="24"/>
              </w:rPr>
              <w:t>17 848,2</w:t>
            </w:r>
          </w:p>
        </w:tc>
        <w:tc>
          <w:tcPr>
            <w:tcW w:w="1701" w:type="dxa"/>
            <w:tcBorders>
              <w:top w:val="single" w:sz="4" w:space="0" w:color="000000"/>
              <w:left w:val="single" w:sz="4" w:space="0" w:color="000000"/>
              <w:bottom w:val="single" w:sz="4" w:space="0" w:color="000000"/>
            </w:tcBorders>
            <w:vAlign w:val="center"/>
          </w:tcPr>
          <w:p w14:paraId="195AD2E2" w14:textId="77777777" w:rsidR="008B3D58" w:rsidRPr="00175E32" w:rsidRDefault="003D7A6B" w:rsidP="0048723E">
            <w:pPr>
              <w:ind w:firstLine="0"/>
              <w:jc w:val="center"/>
              <w:rPr>
                <w:bCs/>
                <w:szCs w:val="24"/>
              </w:rPr>
            </w:pPr>
            <w:r w:rsidRPr="00175E32">
              <w:rPr>
                <w:bCs/>
                <w:szCs w:val="24"/>
              </w:rPr>
              <w:t>18 347,9</w:t>
            </w:r>
          </w:p>
        </w:tc>
        <w:tc>
          <w:tcPr>
            <w:tcW w:w="1559" w:type="dxa"/>
            <w:tcBorders>
              <w:top w:val="single" w:sz="4" w:space="0" w:color="000000"/>
              <w:left w:val="single" w:sz="4" w:space="0" w:color="000000"/>
              <w:bottom w:val="single" w:sz="4" w:space="0" w:color="000000"/>
              <w:right w:val="single" w:sz="4" w:space="0" w:color="000000"/>
            </w:tcBorders>
            <w:vAlign w:val="center"/>
          </w:tcPr>
          <w:p w14:paraId="4C58DB5A" w14:textId="77777777" w:rsidR="008B3D58" w:rsidRPr="00175E32" w:rsidRDefault="009C730D" w:rsidP="0048723E">
            <w:pPr>
              <w:ind w:firstLine="0"/>
              <w:jc w:val="center"/>
              <w:rPr>
                <w:bCs/>
                <w:szCs w:val="24"/>
              </w:rPr>
            </w:pPr>
            <w:r w:rsidRPr="00175E32">
              <w:rPr>
                <w:bCs/>
                <w:szCs w:val="24"/>
              </w:rPr>
              <w:t>18 044,0</w:t>
            </w:r>
          </w:p>
        </w:tc>
      </w:tr>
      <w:tr w:rsidR="008B3D58" w:rsidRPr="00175E32" w14:paraId="25CDD5C7" w14:textId="77777777" w:rsidTr="008B3D58">
        <w:tc>
          <w:tcPr>
            <w:tcW w:w="3404" w:type="dxa"/>
            <w:tcBorders>
              <w:top w:val="single" w:sz="4" w:space="0" w:color="000000"/>
              <w:left w:val="single" w:sz="4" w:space="0" w:color="000000"/>
              <w:bottom w:val="single" w:sz="4" w:space="0" w:color="000000"/>
            </w:tcBorders>
            <w:shd w:val="clear" w:color="auto" w:fill="auto"/>
          </w:tcPr>
          <w:p w14:paraId="4E4DFA68" w14:textId="77777777" w:rsidR="008B3D58" w:rsidRPr="00175E32" w:rsidRDefault="008B3D58" w:rsidP="0048723E">
            <w:pPr>
              <w:ind w:firstLine="0"/>
              <w:rPr>
                <w:bCs/>
                <w:szCs w:val="24"/>
              </w:rPr>
            </w:pPr>
            <w:r w:rsidRPr="00175E32">
              <w:rPr>
                <w:bCs/>
                <w:szCs w:val="24"/>
              </w:rPr>
              <w:t xml:space="preserve">Индекс промышленного производства </w:t>
            </w:r>
          </w:p>
        </w:tc>
        <w:tc>
          <w:tcPr>
            <w:tcW w:w="1134" w:type="dxa"/>
            <w:tcBorders>
              <w:top w:val="single" w:sz="4" w:space="0" w:color="000000"/>
              <w:left w:val="single" w:sz="4" w:space="0" w:color="000000"/>
              <w:bottom w:val="single" w:sz="4" w:space="0" w:color="000000"/>
            </w:tcBorders>
            <w:shd w:val="clear" w:color="auto" w:fill="auto"/>
            <w:vAlign w:val="center"/>
          </w:tcPr>
          <w:p w14:paraId="208C34E2" w14:textId="77777777" w:rsidR="008B3D58" w:rsidRPr="00175E32" w:rsidRDefault="008B3D58" w:rsidP="0048723E">
            <w:pPr>
              <w:ind w:firstLine="0"/>
              <w:jc w:val="center"/>
              <w:rPr>
                <w:bCs/>
                <w:szCs w:val="24"/>
              </w:rPr>
            </w:pPr>
            <w:r w:rsidRPr="00175E32">
              <w:rPr>
                <w:bCs/>
                <w:szCs w:val="24"/>
              </w:rPr>
              <w:t>%</w:t>
            </w:r>
          </w:p>
        </w:tc>
        <w:tc>
          <w:tcPr>
            <w:tcW w:w="1701" w:type="dxa"/>
            <w:tcBorders>
              <w:top w:val="single" w:sz="4" w:space="0" w:color="000000"/>
              <w:left w:val="single" w:sz="4" w:space="0" w:color="000000"/>
              <w:bottom w:val="single" w:sz="4" w:space="0" w:color="000000"/>
            </w:tcBorders>
            <w:vAlign w:val="center"/>
          </w:tcPr>
          <w:p w14:paraId="3DD5986B" w14:textId="77777777" w:rsidR="008B3D58" w:rsidRPr="00175E32" w:rsidRDefault="009C730D" w:rsidP="0048723E">
            <w:pPr>
              <w:ind w:firstLine="0"/>
              <w:jc w:val="center"/>
              <w:rPr>
                <w:bCs/>
                <w:szCs w:val="24"/>
              </w:rPr>
            </w:pPr>
            <w:r w:rsidRPr="00175E32">
              <w:rPr>
                <w:bCs/>
                <w:szCs w:val="24"/>
              </w:rPr>
              <w:t>100,2</w:t>
            </w:r>
          </w:p>
        </w:tc>
        <w:tc>
          <w:tcPr>
            <w:tcW w:w="1701" w:type="dxa"/>
            <w:tcBorders>
              <w:top w:val="single" w:sz="4" w:space="0" w:color="000000"/>
              <w:left w:val="single" w:sz="4" w:space="0" w:color="000000"/>
              <w:bottom w:val="single" w:sz="4" w:space="0" w:color="000000"/>
            </w:tcBorders>
            <w:vAlign w:val="center"/>
          </w:tcPr>
          <w:p w14:paraId="4645244D" w14:textId="77777777" w:rsidR="008B3D58" w:rsidRPr="00175E32" w:rsidRDefault="009C730D" w:rsidP="0048723E">
            <w:pPr>
              <w:ind w:firstLine="0"/>
              <w:jc w:val="center"/>
              <w:rPr>
                <w:bCs/>
                <w:szCs w:val="24"/>
              </w:rPr>
            </w:pPr>
            <w:r w:rsidRPr="00175E32">
              <w:rPr>
                <w:bCs/>
                <w:szCs w:val="24"/>
              </w:rPr>
              <w:t>103,8</w:t>
            </w:r>
          </w:p>
        </w:tc>
        <w:tc>
          <w:tcPr>
            <w:tcW w:w="1559" w:type="dxa"/>
            <w:tcBorders>
              <w:top w:val="single" w:sz="4" w:space="0" w:color="000000"/>
              <w:left w:val="single" w:sz="4" w:space="0" w:color="000000"/>
              <w:bottom w:val="single" w:sz="4" w:space="0" w:color="000000"/>
              <w:right w:val="single" w:sz="4" w:space="0" w:color="000000"/>
            </w:tcBorders>
            <w:vAlign w:val="center"/>
          </w:tcPr>
          <w:p w14:paraId="658E793C" w14:textId="77777777" w:rsidR="008B3D58" w:rsidRPr="00175E32" w:rsidRDefault="008B7A4D" w:rsidP="0048723E">
            <w:pPr>
              <w:ind w:firstLine="0"/>
              <w:jc w:val="center"/>
              <w:rPr>
                <w:bCs/>
                <w:szCs w:val="24"/>
              </w:rPr>
            </w:pPr>
            <w:r w:rsidRPr="00175E32">
              <w:rPr>
                <w:bCs/>
                <w:szCs w:val="24"/>
              </w:rPr>
              <w:t>90,4</w:t>
            </w:r>
          </w:p>
        </w:tc>
      </w:tr>
      <w:tr w:rsidR="008B3D58" w:rsidRPr="00175E32" w14:paraId="6FC30701" w14:textId="77777777" w:rsidTr="008B3D58">
        <w:trPr>
          <w:trHeight w:val="487"/>
        </w:trPr>
        <w:tc>
          <w:tcPr>
            <w:tcW w:w="3404" w:type="dxa"/>
            <w:tcBorders>
              <w:top w:val="single" w:sz="4" w:space="0" w:color="000000"/>
              <w:left w:val="single" w:sz="4" w:space="0" w:color="000000"/>
              <w:bottom w:val="single" w:sz="4" w:space="0" w:color="000000"/>
            </w:tcBorders>
            <w:shd w:val="clear" w:color="auto" w:fill="auto"/>
          </w:tcPr>
          <w:p w14:paraId="648F0B1B" w14:textId="77777777" w:rsidR="008B3D58" w:rsidRPr="00175E32" w:rsidRDefault="008B3D58" w:rsidP="008B3D58">
            <w:pPr>
              <w:ind w:firstLine="0"/>
              <w:rPr>
                <w:bCs/>
                <w:szCs w:val="24"/>
              </w:rPr>
            </w:pPr>
            <w:r w:rsidRPr="00175E32">
              <w:rPr>
                <w:bCs/>
                <w:szCs w:val="24"/>
              </w:rPr>
              <w:t>в том числе по видам деятельности:</w:t>
            </w:r>
          </w:p>
        </w:tc>
        <w:tc>
          <w:tcPr>
            <w:tcW w:w="1134" w:type="dxa"/>
            <w:tcBorders>
              <w:top w:val="single" w:sz="4" w:space="0" w:color="000000"/>
              <w:left w:val="single" w:sz="4" w:space="0" w:color="000000"/>
              <w:bottom w:val="single" w:sz="4" w:space="0" w:color="000000"/>
            </w:tcBorders>
            <w:shd w:val="clear" w:color="auto" w:fill="auto"/>
            <w:vAlign w:val="center"/>
          </w:tcPr>
          <w:p w14:paraId="5EAA0683" w14:textId="77777777" w:rsidR="008B3D58" w:rsidRPr="00175E32" w:rsidRDefault="008B3D58" w:rsidP="0048723E">
            <w:pPr>
              <w:snapToGrid w:val="0"/>
              <w:ind w:firstLine="0"/>
              <w:jc w:val="center"/>
              <w:rPr>
                <w:bCs/>
                <w:szCs w:val="24"/>
              </w:rPr>
            </w:pPr>
          </w:p>
        </w:tc>
        <w:tc>
          <w:tcPr>
            <w:tcW w:w="1701" w:type="dxa"/>
            <w:tcBorders>
              <w:top w:val="single" w:sz="4" w:space="0" w:color="000000"/>
              <w:left w:val="single" w:sz="4" w:space="0" w:color="000000"/>
              <w:bottom w:val="single" w:sz="4" w:space="0" w:color="000000"/>
            </w:tcBorders>
            <w:vAlign w:val="center"/>
          </w:tcPr>
          <w:p w14:paraId="3BC8CB86" w14:textId="77777777" w:rsidR="008B3D58" w:rsidRPr="00175E32" w:rsidRDefault="008B3D58" w:rsidP="0048723E">
            <w:pPr>
              <w:snapToGrid w:val="0"/>
              <w:ind w:firstLine="0"/>
              <w:jc w:val="center"/>
              <w:rPr>
                <w:bCs/>
                <w:szCs w:val="24"/>
              </w:rPr>
            </w:pPr>
          </w:p>
        </w:tc>
        <w:tc>
          <w:tcPr>
            <w:tcW w:w="1701" w:type="dxa"/>
            <w:tcBorders>
              <w:top w:val="single" w:sz="4" w:space="0" w:color="000000"/>
              <w:left w:val="single" w:sz="4" w:space="0" w:color="000000"/>
              <w:bottom w:val="single" w:sz="4" w:space="0" w:color="000000"/>
            </w:tcBorders>
            <w:vAlign w:val="center"/>
          </w:tcPr>
          <w:p w14:paraId="213497CB" w14:textId="77777777" w:rsidR="008B3D58" w:rsidRPr="00175E32" w:rsidRDefault="008B3D58" w:rsidP="0048723E">
            <w:pPr>
              <w:snapToGrid w:val="0"/>
              <w:ind w:firstLine="0"/>
              <w:jc w:val="center"/>
              <w:rPr>
                <w:bCs/>
                <w:szCs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9AFFE7D" w14:textId="77777777" w:rsidR="008B3D58" w:rsidRPr="00175E32" w:rsidRDefault="008B3D58" w:rsidP="0048723E">
            <w:pPr>
              <w:snapToGrid w:val="0"/>
              <w:ind w:firstLine="0"/>
              <w:jc w:val="center"/>
              <w:rPr>
                <w:bCs/>
                <w:szCs w:val="24"/>
              </w:rPr>
            </w:pPr>
          </w:p>
        </w:tc>
      </w:tr>
      <w:tr w:rsidR="008B3D58" w:rsidRPr="00175E32" w14:paraId="669BE5F9" w14:textId="77777777" w:rsidTr="008B3D58">
        <w:tc>
          <w:tcPr>
            <w:tcW w:w="3404" w:type="dxa"/>
            <w:tcBorders>
              <w:top w:val="single" w:sz="4" w:space="0" w:color="000000"/>
              <w:left w:val="single" w:sz="4" w:space="0" w:color="000000"/>
              <w:bottom w:val="single" w:sz="4" w:space="0" w:color="000000"/>
            </w:tcBorders>
            <w:shd w:val="clear" w:color="auto" w:fill="auto"/>
          </w:tcPr>
          <w:p w14:paraId="27F0AC79" w14:textId="77777777" w:rsidR="008B3D58" w:rsidRPr="00175E32" w:rsidRDefault="008B3D58" w:rsidP="0048723E">
            <w:pPr>
              <w:ind w:firstLine="0"/>
              <w:rPr>
                <w:bCs/>
                <w:szCs w:val="24"/>
              </w:rPr>
            </w:pPr>
            <w:r w:rsidRPr="00175E32">
              <w:rPr>
                <w:bCs/>
                <w:szCs w:val="24"/>
              </w:rPr>
              <w:t>Обрабатывающие производства</w:t>
            </w:r>
          </w:p>
        </w:tc>
        <w:tc>
          <w:tcPr>
            <w:tcW w:w="1134" w:type="dxa"/>
            <w:tcBorders>
              <w:top w:val="single" w:sz="4" w:space="0" w:color="000000"/>
              <w:left w:val="single" w:sz="4" w:space="0" w:color="000000"/>
              <w:bottom w:val="single" w:sz="4" w:space="0" w:color="000000"/>
            </w:tcBorders>
            <w:shd w:val="clear" w:color="auto" w:fill="auto"/>
            <w:vAlign w:val="center"/>
          </w:tcPr>
          <w:p w14:paraId="57156237" w14:textId="77777777" w:rsidR="008B3D58" w:rsidRPr="00175E32" w:rsidRDefault="008B3D58" w:rsidP="0048723E">
            <w:pPr>
              <w:ind w:firstLine="0"/>
              <w:jc w:val="center"/>
              <w:rPr>
                <w:bCs/>
                <w:szCs w:val="24"/>
              </w:rPr>
            </w:pPr>
            <w:r w:rsidRPr="00175E32">
              <w:rPr>
                <w:bCs/>
                <w:szCs w:val="24"/>
              </w:rPr>
              <w:t>%</w:t>
            </w:r>
          </w:p>
        </w:tc>
        <w:tc>
          <w:tcPr>
            <w:tcW w:w="1701" w:type="dxa"/>
            <w:tcBorders>
              <w:top w:val="single" w:sz="4" w:space="0" w:color="000000"/>
              <w:left w:val="single" w:sz="4" w:space="0" w:color="000000"/>
              <w:bottom w:val="single" w:sz="4" w:space="0" w:color="000000"/>
            </w:tcBorders>
            <w:vAlign w:val="center"/>
          </w:tcPr>
          <w:p w14:paraId="6A65C406" w14:textId="77777777" w:rsidR="008B3D58" w:rsidRPr="00175E32" w:rsidRDefault="009C730D" w:rsidP="0048723E">
            <w:pPr>
              <w:ind w:firstLine="0"/>
              <w:jc w:val="center"/>
              <w:rPr>
                <w:bCs/>
                <w:szCs w:val="24"/>
              </w:rPr>
            </w:pPr>
            <w:r w:rsidRPr="00175E32">
              <w:rPr>
                <w:bCs/>
                <w:szCs w:val="24"/>
              </w:rPr>
              <w:t>100,4</w:t>
            </w:r>
          </w:p>
        </w:tc>
        <w:tc>
          <w:tcPr>
            <w:tcW w:w="1701" w:type="dxa"/>
            <w:tcBorders>
              <w:top w:val="single" w:sz="4" w:space="0" w:color="000000"/>
              <w:left w:val="single" w:sz="4" w:space="0" w:color="000000"/>
              <w:bottom w:val="single" w:sz="4" w:space="0" w:color="000000"/>
            </w:tcBorders>
            <w:vAlign w:val="center"/>
          </w:tcPr>
          <w:p w14:paraId="5D1E1789" w14:textId="77777777" w:rsidR="008B3D58" w:rsidRPr="00175E32" w:rsidRDefault="009C730D" w:rsidP="0048723E">
            <w:pPr>
              <w:ind w:firstLine="0"/>
              <w:jc w:val="center"/>
              <w:rPr>
                <w:bCs/>
                <w:szCs w:val="24"/>
              </w:rPr>
            </w:pPr>
            <w:r w:rsidRPr="00175E32">
              <w:rPr>
                <w:bCs/>
                <w:szCs w:val="24"/>
              </w:rPr>
              <w:t>104,0</w:t>
            </w:r>
          </w:p>
        </w:tc>
        <w:tc>
          <w:tcPr>
            <w:tcW w:w="1559" w:type="dxa"/>
            <w:tcBorders>
              <w:top w:val="single" w:sz="4" w:space="0" w:color="000000"/>
              <w:left w:val="single" w:sz="4" w:space="0" w:color="000000"/>
              <w:bottom w:val="single" w:sz="4" w:space="0" w:color="000000"/>
              <w:right w:val="single" w:sz="4" w:space="0" w:color="000000"/>
            </w:tcBorders>
            <w:vAlign w:val="center"/>
          </w:tcPr>
          <w:p w14:paraId="6679B830" w14:textId="77777777" w:rsidR="008B3D58" w:rsidRPr="00175E32" w:rsidRDefault="008B7A4D" w:rsidP="0048723E">
            <w:pPr>
              <w:ind w:firstLine="0"/>
              <w:jc w:val="center"/>
              <w:rPr>
                <w:bCs/>
                <w:szCs w:val="24"/>
              </w:rPr>
            </w:pPr>
            <w:r w:rsidRPr="00175E32">
              <w:rPr>
                <w:bCs/>
                <w:szCs w:val="24"/>
              </w:rPr>
              <w:t>90,8</w:t>
            </w:r>
          </w:p>
        </w:tc>
      </w:tr>
      <w:tr w:rsidR="008B3D58" w:rsidRPr="00175E32" w14:paraId="5083EFBD" w14:textId="77777777" w:rsidTr="008B3D58">
        <w:tc>
          <w:tcPr>
            <w:tcW w:w="3404" w:type="dxa"/>
            <w:tcBorders>
              <w:top w:val="single" w:sz="4" w:space="0" w:color="000000"/>
              <w:left w:val="single" w:sz="4" w:space="0" w:color="000000"/>
              <w:bottom w:val="single" w:sz="4" w:space="0" w:color="000000"/>
            </w:tcBorders>
            <w:shd w:val="clear" w:color="auto" w:fill="auto"/>
          </w:tcPr>
          <w:p w14:paraId="05D267D0" w14:textId="77777777" w:rsidR="008B3D58" w:rsidRPr="00175E32" w:rsidRDefault="008B3D58" w:rsidP="0048723E">
            <w:pPr>
              <w:ind w:firstLine="0"/>
              <w:rPr>
                <w:bCs/>
                <w:szCs w:val="24"/>
              </w:rPr>
            </w:pPr>
            <w:r w:rsidRPr="00175E32">
              <w:rPr>
                <w:bCs/>
                <w:szCs w:val="24"/>
              </w:rPr>
              <w:t>Производство пищевых продуктов</w:t>
            </w:r>
          </w:p>
        </w:tc>
        <w:tc>
          <w:tcPr>
            <w:tcW w:w="1134" w:type="dxa"/>
            <w:tcBorders>
              <w:top w:val="single" w:sz="4" w:space="0" w:color="000000"/>
              <w:left w:val="single" w:sz="4" w:space="0" w:color="000000"/>
              <w:bottom w:val="single" w:sz="4" w:space="0" w:color="000000"/>
            </w:tcBorders>
            <w:shd w:val="clear" w:color="auto" w:fill="auto"/>
            <w:vAlign w:val="center"/>
          </w:tcPr>
          <w:p w14:paraId="73E54EAE" w14:textId="77777777" w:rsidR="008B3D58" w:rsidRPr="00175E32" w:rsidRDefault="008B3D58" w:rsidP="0048723E">
            <w:pPr>
              <w:ind w:firstLine="0"/>
              <w:jc w:val="center"/>
              <w:rPr>
                <w:bCs/>
                <w:szCs w:val="24"/>
              </w:rPr>
            </w:pPr>
            <w:r w:rsidRPr="00175E32">
              <w:rPr>
                <w:bCs/>
                <w:szCs w:val="24"/>
              </w:rPr>
              <w:t>%</w:t>
            </w:r>
          </w:p>
        </w:tc>
        <w:tc>
          <w:tcPr>
            <w:tcW w:w="1701" w:type="dxa"/>
            <w:tcBorders>
              <w:top w:val="single" w:sz="4" w:space="0" w:color="000000"/>
              <w:left w:val="single" w:sz="4" w:space="0" w:color="000000"/>
              <w:bottom w:val="single" w:sz="4" w:space="0" w:color="000000"/>
            </w:tcBorders>
            <w:vAlign w:val="center"/>
          </w:tcPr>
          <w:p w14:paraId="3F086B49" w14:textId="77777777" w:rsidR="008B3D58" w:rsidRPr="00175E32" w:rsidRDefault="009C730D" w:rsidP="0048723E">
            <w:pPr>
              <w:ind w:firstLine="0"/>
              <w:jc w:val="center"/>
              <w:rPr>
                <w:bCs/>
                <w:szCs w:val="24"/>
              </w:rPr>
            </w:pPr>
            <w:r w:rsidRPr="00175E32">
              <w:rPr>
                <w:bCs/>
                <w:szCs w:val="24"/>
              </w:rPr>
              <w:t>101,0</w:t>
            </w:r>
          </w:p>
        </w:tc>
        <w:tc>
          <w:tcPr>
            <w:tcW w:w="1701" w:type="dxa"/>
            <w:tcBorders>
              <w:top w:val="single" w:sz="4" w:space="0" w:color="000000"/>
              <w:left w:val="single" w:sz="4" w:space="0" w:color="000000"/>
              <w:bottom w:val="single" w:sz="4" w:space="0" w:color="000000"/>
            </w:tcBorders>
            <w:vAlign w:val="center"/>
          </w:tcPr>
          <w:p w14:paraId="4108B5F2" w14:textId="77777777" w:rsidR="008B3D58" w:rsidRPr="00175E32" w:rsidRDefault="009C730D" w:rsidP="0048723E">
            <w:pPr>
              <w:ind w:firstLine="0"/>
              <w:jc w:val="center"/>
              <w:rPr>
                <w:bCs/>
                <w:szCs w:val="24"/>
              </w:rPr>
            </w:pPr>
            <w:r w:rsidRPr="00175E32">
              <w:rPr>
                <w:bCs/>
                <w:szCs w:val="24"/>
              </w:rPr>
              <w:t>104,6</w:t>
            </w:r>
          </w:p>
        </w:tc>
        <w:tc>
          <w:tcPr>
            <w:tcW w:w="1559" w:type="dxa"/>
            <w:tcBorders>
              <w:top w:val="single" w:sz="4" w:space="0" w:color="000000"/>
              <w:left w:val="single" w:sz="4" w:space="0" w:color="000000"/>
              <w:bottom w:val="single" w:sz="4" w:space="0" w:color="000000"/>
              <w:right w:val="single" w:sz="4" w:space="0" w:color="000000"/>
            </w:tcBorders>
            <w:vAlign w:val="center"/>
          </w:tcPr>
          <w:p w14:paraId="0638EA5F" w14:textId="77777777" w:rsidR="008B3D58" w:rsidRPr="00175E32" w:rsidRDefault="008B7A4D" w:rsidP="0048723E">
            <w:pPr>
              <w:ind w:firstLine="0"/>
              <w:jc w:val="center"/>
              <w:rPr>
                <w:bCs/>
                <w:szCs w:val="24"/>
              </w:rPr>
            </w:pPr>
            <w:r w:rsidRPr="00175E32">
              <w:rPr>
                <w:bCs/>
                <w:szCs w:val="24"/>
              </w:rPr>
              <w:t>125,6</w:t>
            </w:r>
          </w:p>
        </w:tc>
      </w:tr>
      <w:tr w:rsidR="008B3D58" w:rsidRPr="00175E32" w14:paraId="28A20586" w14:textId="77777777" w:rsidTr="008B3D58">
        <w:tc>
          <w:tcPr>
            <w:tcW w:w="3404" w:type="dxa"/>
            <w:tcBorders>
              <w:top w:val="single" w:sz="4" w:space="0" w:color="000000"/>
              <w:left w:val="single" w:sz="4" w:space="0" w:color="000000"/>
              <w:bottom w:val="single" w:sz="4" w:space="0" w:color="000000"/>
            </w:tcBorders>
            <w:shd w:val="clear" w:color="auto" w:fill="auto"/>
          </w:tcPr>
          <w:p w14:paraId="70910C76" w14:textId="77777777" w:rsidR="008B3D58" w:rsidRPr="00175E32" w:rsidRDefault="008B3D58" w:rsidP="0048723E">
            <w:pPr>
              <w:ind w:firstLine="0"/>
              <w:rPr>
                <w:bCs/>
                <w:szCs w:val="24"/>
              </w:rPr>
            </w:pPr>
            <w:r w:rsidRPr="00175E32">
              <w:rPr>
                <w:bCs/>
                <w:szCs w:val="24"/>
              </w:rPr>
              <w:lastRenderedPageBreak/>
              <w:t>Производство химических веществ и химических продуктов</w:t>
            </w:r>
          </w:p>
        </w:tc>
        <w:tc>
          <w:tcPr>
            <w:tcW w:w="1134" w:type="dxa"/>
            <w:tcBorders>
              <w:top w:val="single" w:sz="4" w:space="0" w:color="000000"/>
              <w:left w:val="single" w:sz="4" w:space="0" w:color="000000"/>
              <w:bottom w:val="single" w:sz="4" w:space="0" w:color="000000"/>
            </w:tcBorders>
            <w:shd w:val="clear" w:color="auto" w:fill="auto"/>
            <w:vAlign w:val="center"/>
          </w:tcPr>
          <w:p w14:paraId="0797ECCD" w14:textId="77777777" w:rsidR="008B3D58" w:rsidRPr="00175E32" w:rsidRDefault="008B3D58" w:rsidP="0048723E">
            <w:pPr>
              <w:ind w:firstLine="0"/>
              <w:jc w:val="center"/>
              <w:rPr>
                <w:bCs/>
                <w:szCs w:val="24"/>
              </w:rPr>
            </w:pPr>
            <w:r w:rsidRPr="00175E32">
              <w:rPr>
                <w:bCs/>
                <w:szCs w:val="24"/>
              </w:rPr>
              <w:t>%</w:t>
            </w:r>
          </w:p>
        </w:tc>
        <w:tc>
          <w:tcPr>
            <w:tcW w:w="1701" w:type="dxa"/>
            <w:tcBorders>
              <w:top w:val="single" w:sz="4" w:space="0" w:color="000000"/>
              <w:left w:val="single" w:sz="4" w:space="0" w:color="000000"/>
              <w:bottom w:val="single" w:sz="4" w:space="0" w:color="000000"/>
            </w:tcBorders>
            <w:vAlign w:val="center"/>
          </w:tcPr>
          <w:p w14:paraId="6A643788" w14:textId="77777777" w:rsidR="008B3D58" w:rsidRPr="00175E32" w:rsidRDefault="009C730D" w:rsidP="0048723E">
            <w:pPr>
              <w:ind w:firstLine="0"/>
              <w:jc w:val="center"/>
              <w:rPr>
                <w:bCs/>
                <w:szCs w:val="24"/>
              </w:rPr>
            </w:pPr>
            <w:r w:rsidRPr="00175E32">
              <w:rPr>
                <w:bCs/>
                <w:szCs w:val="24"/>
              </w:rPr>
              <w:t>102,0</w:t>
            </w:r>
          </w:p>
        </w:tc>
        <w:tc>
          <w:tcPr>
            <w:tcW w:w="1701" w:type="dxa"/>
            <w:tcBorders>
              <w:top w:val="single" w:sz="4" w:space="0" w:color="000000"/>
              <w:left w:val="single" w:sz="4" w:space="0" w:color="000000"/>
              <w:bottom w:val="single" w:sz="4" w:space="0" w:color="000000"/>
            </w:tcBorders>
            <w:vAlign w:val="center"/>
          </w:tcPr>
          <w:p w14:paraId="21B34C0D" w14:textId="77777777" w:rsidR="008B3D58" w:rsidRPr="00175E32" w:rsidRDefault="009C730D" w:rsidP="0048723E">
            <w:pPr>
              <w:ind w:firstLine="0"/>
              <w:jc w:val="center"/>
              <w:rPr>
                <w:bCs/>
                <w:szCs w:val="24"/>
              </w:rPr>
            </w:pPr>
            <w:r w:rsidRPr="00175E32">
              <w:rPr>
                <w:bCs/>
                <w:szCs w:val="24"/>
              </w:rPr>
              <w:t>103,1</w:t>
            </w:r>
          </w:p>
        </w:tc>
        <w:tc>
          <w:tcPr>
            <w:tcW w:w="1559" w:type="dxa"/>
            <w:tcBorders>
              <w:top w:val="single" w:sz="4" w:space="0" w:color="000000"/>
              <w:left w:val="single" w:sz="4" w:space="0" w:color="000000"/>
              <w:bottom w:val="single" w:sz="4" w:space="0" w:color="000000"/>
              <w:right w:val="single" w:sz="4" w:space="0" w:color="000000"/>
            </w:tcBorders>
            <w:vAlign w:val="center"/>
          </w:tcPr>
          <w:p w14:paraId="76795AEC" w14:textId="77777777" w:rsidR="008B3D58" w:rsidRPr="00175E32" w:rsidRDefault="008B7A4D" w:rsidP="0048723E">
            <w:pPr>
              <w:ind w:firstLine="0"/>
              <w:jc w:val="center"/>
              <w:rPr>
                <w:bCs/>
                <w:szCs w:val="24"/>
              </w:rPr>
            </w:pPr>
            <w:r w:rsidRPr="00175E32">
              <w:rPr>
                <w:bCs/>
                <w:szCs w:val="24"/>
              </w:rPr>
              <w:t>101,0</w:t>
            </w:r>
          </w:p>
        </w:tc>
      </w:tr>
      <w:tr w:rsidR="008B3D58" w:rsidRPr="00175E32" w14:paraId="04054138" w14:textId="77777777" w:rsidTr="008B3D58">
        <w:tc>
          <w:tcPr>
            <w:tcW w:w="3404" w:type="dxa"/>
            <w:tcBorders>
              <w:top w:val="single" w:sz="4" w:space="0" w:color="000000"/>
              <w:left w:val="single" w:sz="4" w:space="0" w:color="000000"/>
              <w:bottom w:val="single" w:sz="4" w:space="0" w:color="000000"/>
            </w:tcBorders>
            <w:shd w:val="clear" w:color="auto" w:fill="auto"/>
          </w:tcPr>
          <w:p w14:paraId="6ABAADD5" w14:textId="77777777" w:rsidR="008B3D58" w:rsidRPr="00175E32" w:rsidRDefault="008B3D58" w:rsidP="0048723E">
            <w:pPr>
              <w:ind w:firstLine="0"/>
              <w:rPr>
                <w:bCs/>
                <w:szCs w:val="24"/>
              </w:rPr>
            </w:pPr>
            <w:r w:rsidRPr="00175E32">
              <w:rPr>
                <w:bCs/>
                <w:szCs w:val="24"/>
              </w:rPr>
              <w:t>Производство автотранспортных средств, прицепов и полуприцепов</w:t>
            </w:r>
          </w:p>
        </w:tc>
        <w:tc>
          <w:tcPr>
            <w:tcW w:w="1134" w:type="dxa"/>
            <w:tcBorders>
              <w:top w:val="single" w:sz="4" w:space="0" w:color="000000"/>
              <w:left w:val="single" w:sz="4" w:space="0" w:color="000000"/>
              <w:bottom w:val="single" w:sz="4" w:space="0" w:color="000000"/>
            </w:tcBorders>
            <w:shd w:val="clear" w:color="auto" w:fill="auto"/>
            <w:vAlign w:val="center"/>
          </w:tcPr>
          <w:p w14:paraId="16ABC183" w14:textId="77777777" w:rsidR="008B3D58" w:rsidRPr="00175E32" w:rsidRDefault="008B3D58" w:rsidP="0048723E">
            <w:pPr>
              <w:snapToGrid w:val="0"/>
              <w:ind w:firstLine="0"/>
              <w:jc w:val="center"/>
              <w:rPr>
                <w:bCs/>
                <w:szCs w:val="24"/>
              </w:rPr>
            </w:pPr>
            <w:r w:rsidRPr="00175E32">
              <w:rPr>
                <w:bCs/>
                <w:szCs w:val="24"/>
              </w:rPr>
              <w:t>%</w:t>
            </w:r>
          </w:p>
        </w:tc>
        <w:tc>
          <w:tcPr>
            <w:tcW w:w="1701" w:type="dxa"/>
            <w:tcBorders>
              <w:top w:val="single" w:sz="4" w:space="0" w:color="000000"/>
              <w:left w:val="single" w:sz="4" w:space="0" w:color="000000"/>
              <w:bottom w:val="single" w:sz="4" w:space="0" w:color="000000"/>
            </w:tcBorders>
            <w:vAlign w:val="center"/>
          </w:tcPr>
          <w:p w14:paraId="562B7F1A" w14:textId="77777777" w:rsidR="008B3D58" w:rsidRPr="00175E32" w:rsidRDefault="009C730D" w:rsidP="0048723E">
            <w:pPr>
              <w:ind w:firstLine="0"/>
              <w:jc w:val="center"/>
              <w:rPr>
                <w:bCs/>
                <w:szCs w:val="24"/>
              </w:rPr>
            </w:pPr>
            <w:r w:rsidRPr="00175E32">
              <w:rPr>
                <w:bCs/>
                <w:szCs w:val="24"/>
              </w:rPr>
              <w:t>100,0</w:t>
            </w:r>
          </w:p>
        </w:tc>
        <w:tc>
          <w:tcPr>
            <w:tcW w:w="1701" w:type="dxa"/>
            <w:tcBorders>
              <w:top w:val="single" w:sz="4" w:space="0" w:color="000000"/>
              <w:left w:val="single" w:sz="4" w:space="0" w:color="000000"/>
              <w:bottom w:val="single" w:sz="4" w:space="0" w:color="000000"/>
            </w:tcBorders>
            <w:vAlign w:val="center"/>
          </w:tcPr>
          <w:p w14:paraId="5DB7F158" w14:textId="77777777" w:rsidR="008B3D58" w:rsidRPr="00175E32" w:rsidRDefault="009C730D" w:rsidP="0048723E">
            <w:pPr>
              <w:ind w:firstLine="0"/>
              <w:jc w:val="center"/>
              <w:rPr>
                <w:bCs/>
                <w:szCs w:val="24"/>
              </w:rPr>
            </w:pPr>
            <w:r w:rsidRPr="00175E32">
              <w:rPr>
                <w:bCs/>
                <w:szCs w:val="24"/>
              </w:rPr>
              <w:t>104,3</w:t>
            </w:r>
          </w:p>
        </w:tc>
        <w:tc>
          <w:tcPr>
            <w:tcW w:w="1559" w:type="dxa"/>
            <w:tcBorders>
              <w:top w:val="single" w:sz="4" w:space="0" w:color="000000"/>
              <w:left w:val="single" w:sz="4" w:space="0" w:color="000000"/>
              <w:bottom w:val="single" w:sz="4" w:space="0" w:color="000000"/>
              <w:right w:val="single" w:sz="4" w:space="0" w:color="000000"/>
            </w:tcBorders>
            <w:vAlign w:val="center"/>
          </w:tcPr>
          <w:p w14:paraId="74B2A232" w14:textId="77777777" w:rsidR="008B3D58" w:rsidRPr="00175E32" w:rsidRDefault="008B7A4D" w:rsidP="0048723E">
            <w:pPr>
              <w:ind w:firstLine="0"/>
              <w:jc w:val="center"/>
              <w:rPr>
                <w:bCs/>
                <w:szCs w:val="24"/>
              </w:rPr>
            </w:pPr>
            <w:r w:rsidRPr="00175E32">
              <w:rPr>
                <w:bCs/>
                <w:szCs w:val="24"/>
              </w:rPr>
              <w:t>85,6</w:t>
            </w:r>
          </w:p>
        </w:tc>
      </w:tr>
      <w:tr w:rsidR="008B3D58" w:rsidRPr="00175E32" w14:paraId="39BB9F83" w14:textId="77777777" w:rsidTr="008B3D58">
        <w:tc>
          <w:tcPr>
            <w:tcW w:w="3404" w:type="dxa"/>
            <w:tcBorders>
              <w:top w:val="single" w:sz="4" w:space="0" w:color="000000"/>
              <w:left w:val="single" w:sz="4" w:space="0" w:color="000000"/>
              <w:bottom w:val="single" w:sz="4" w:space="0" w:color="000000"/>
            </w:tcBorders>
            <w:shd w:val="clear" w:color="auto" w:fill="auto"/>
          </w:tcPr>
          <w:p w14:paraId="58A3A7EE" w14:textId="77777777" w:rsidR="008B3D58" w:rsidRPr="00175E32" w:rsidRDefault="008B3D58" w:rsidP="0048723E">
            <w:pPr>
              <w:ind w:firstLine="0"/>
              <w:rPr>
                <w:bCs/>
                <w:szCs w:val="24"/>
              </w:rPr>
            </w:pPr>
            <w:r w:rsidRPr="00175E32">
              <w:rPr>
                <w:bCs/>
                <w:szCs w:val="24"/>
              </w:rPr>
              <w:t>Обеспечение электрической энергией, газом и паром; кондиционирование воздуха</w:t>
            </w:r>
          </w:p>
        </w:tc>
        <w:tc>
          <w:tcPr>
            <w:tcW w:w="1134" w:type="dxa"/>
            <w:tcBorders>
              <w:top w:val="single" w:sz="4" w:space="0" w:color="000000"/>
              <w:left w:val="single" w:sz="4" w:space="0" w:color="000000"/>
              <w:bottom w:val="single" w:sz="4" w:space="0" w:color="000000"/>
            </w:tcBorders>
            <w:shd w:val="clear" w:color="auto" w:fill="auto"/>
            <w:vAlign w:val="center"/>
          </w:tcPr>
          <w:p w14:paraId="196E4435" w14:textId="77777777" w:rsidR="008B3D58" w:rsidRPr="00175E32" w:rsidRDefault="008B3D58" w:rsidP="0048723E">
            <w:pPr>
              <w:snapToGrid w:val="0"/>
              <w:ind w:firstLine="0"/>
              <w:jc w:val="center"/>
              <w:rPr>
                <w:bCs/>
                <w:szCs w:val="24"/>
              </w:rPr>
            </w:pPr>
            <w:r w:rsidRPr="00175E32">
              <w:rPr>
                <w:bCs/>
                <w:szCs w:val="24"/>
              </w:rPr>
              <w:t>%</w:t>
            </w:r>
          </w:p>
        </w:tc>
        <w:tc>
          <w:tcPr>
            <w:tcW w:w="1701" w:type="dxa"/>
            <w:tcBorders>
              <w:top w:val="single" w:sz="4" w:space="0" w:color="000000"/>
              <w:left w:val="single" w:sz="4" w:space="0" w:color="000000"/>
              <w:bottom w:val="single" w:sz="4" w:space="0" w:color="000000"/>
            </w:tcBorders>
            <w:vAlign w:val="center"/>
          </w:tcPr>
          <w:p w14:paraId="363B6A90" w14:textId="77777777" w:rsidR="008B3D58" w:rsidRPr="00175E32" w:rsidRDefault="003D7A6B" w:rsidP="0048723E">
            <w:pPr>
              <w:ind w:firstLine="0"/>
              <w:jc w:val="center"/>
              <w:rPr>
                <w:bCs/>
                <w:szCs w:val="24"/>
              </w:rPr>
            </w:pPr>
            <w:r w:rsidRPr="00175E32">
              <w:rPr>
                <w:bCs/>
                <w:szCs w:val="24"/>
              </w:rPr>
              <w:t>95,0</w:t>
            </w:r>
          </w:p>
        </w:tc>
        <w:tc>
          <w:tcPr>
            <w:tcW w:w="1701" w:type="dxa"/>
            <w:tcBorders>
              <w:top w:val="single" w:sz="4" w:space="0" w:color="000000"/>
              <w:left w:val="single" w:sz="4" w:space="0" w:color="000000"/>
              <w:bottom w:val="single" w:sz="4" w:space="0" w:color="000000"/>
            </w:tcBorders>
            <w:vAlign w:val="center"/>
          </w:tcPr>
          <w:p w14:paraId="2073F0D4" w14:textId="77777777" w:rsidR="008B3D58" w:rsidRPr="00175E32" w:rsidRDefault="003D7A6B" w:rsidP="0048723E">
            <w:pPr>
              <w:ind w:firstLine="0"/>
              <w:jc w:val="center"/>
              <w:rPr>
                <w:bCs/>
                <w:szCs w:val="24"/>
              </w:rPr>
            </w:pPr>
            <w:r w:rsidRPr="00175E32">
              <w:rPr>
                <w:bCs/>
                <w:szCs w:val="24"/>
              </w:rPr>
              <w:t>97,9</w:t>
            </w:r>
          </w:p>
        </w:tc>
        <w:tc>
          <w:tcPr>
            <w:tcW w:w="1559" w:type="dxa"/>
            <w:tcBorders>
              <w:top w:val="single" w:sz="4" w:space="0" w:color="000000"/>
              <w:left w:val="single" w:sz="4" w:space="0" w:color="000000"/>
              <w:bottom w:val="single" w:sz="4" w:space="0" w:color="000000"/>
              <w:right w:val="single" w:sz="4" w:space="0" w:color="000000"/>
            </w:tcBorders>
            <w:vAlign w:val="center"/>
          </w:tcPr>
          <w:p w14:paraId="1AEAB8AE" w14:textId="77777777" w:rsidR="008B3D58" w:rsidRPr="00595D6B" w:rsidRDefault="00851BDF" w:rsidP="0048723E">
            <w:pPr>
              <w:ind w:firstLine="0"/>
              <w:jc w:val="center"/>
              <w:rPr>
                <w:bCs/>
                <w:szCs w:val="24"/>
              </w:rPr>
            </w:pPr>
            <w:r w:rsidRPr="00595D6B">
              <w:rPr>
                <w:bCs/>
                <w:szCs w:val="24"/>
              </w:rPr>
              <w:t>91,3</w:t>
            </w:r>
          </w:p>
        </w:tc>
      </w:tr>
      <w:tr w:rsidR="008B3D58" w:rsidRPr="00175E32" w14:paraId="3B68C922" w14:textId="77777777" w:rsidTr="008B3D58">
        <w:tc>
          <w:tcPr>
            <w:tcW w:w="3404" w:type="dxa"/>
            <w:tcBorders>
              <w:top w:val="single" w:sz="4" w:space="0" w:color="000000"/>
              <w:left w:val="single" w:sz="4" w:space="0" w:color="000000"/>
              <w:bottom w:val="single" w:sz="4" w:space="0" w:color="000000"/>
            </w:tcBorders>
            <w:shd w:val="clear" w:color="auto" w:fill="auto"/>
          </w:tcPr>
          <w:p w14:paraId="6DE3362F" w14:textId="77777777" w:rsidR="008B3D58" w:rsidRPr="00175E32" w:rsidRDefault="008B3D58" w:rsidP="0048723E">
            <w:pPr>
              <w:ind w:firstLine="0"/>
              <w:rPr>
                <w:bCs/>
                <w:szCs w:val="24"/>
              </w:rPr>
            </w:pPr>
            <w:r w:rsidRPr="00175E32">
              <w:rPr>
                <w:bCs/>
                <w:szCs w:val="24"/>
              </w:rPr>
              <w:t>Водоснабжение; водоотведение, организация сбора и утилизации отходов, деятельность по ликвидации загрязнений</w:t>
            </w:r>
          </w:p>
        </w:tc>
        <w:tc>
          <w:tcPr>
            <w:tcW w:w="1134" w:type="dxa"/>
            <w:tcBorders>
              <w:top w:val="single" w:sz="4" w:space="0" w:color="000000"/>
              <w:left w:val="single" w:sz="4" w:space="0" w:color="000000"/>
              <w:bottom w:val="single" w:sz="4" w:space="0" w:color="000000"/>
            </w:tcBorders>
            <w:shd w:val="clear" w:color="auto" w:fill="auto"/>
            <w:vAlign w:val="center"/>
          </w:tcPr>
          <w:p w14:paraId="40A2A1DC" w14:textId="77777777" w:rsidR="008B3D58" w:rsidRPr="00175E32" w:rsidRDefault="008B3D58" w:rsidP="0048723E">
            <w:pPr>
              <w:ind w:firstLine="0"/>
              <w:jc w:val="center"/>
              <w:rPr>
                <w:bCs/>
                <w:szCs w:val="24"/>
              </w:rPr>
            </w:pPr>
            <w:r w:rsidRPr="00175E32">
              <w:rPr>
                <w:bCs/>
                <w:szCs w:val="24"/>
              </w:rPr>
              <w:t>%</w:t>
            </w:r>
          </w:p>
        </w:tc>
        <w:tc>
          <w:tcPr>
            <w:tcW w:w="1701" w:type="dxa"/>
            <w:tcBorders>
              <w:top w:val="single" w:sz="4" w:space="0" w:color="000000"/>
              <w:left w:val="single" w:sz="4" w:space="0" w:color="000000"/>
              <w:bottom w:val="single" w:sz="4" w:space="0" w:color="000000"/>
            </w:tcBorders>
            <w:vAlign w:val="center"/>
          </w:tcPr>
          <w:p w14:paraId="3A284745" w14:textId="77777777" w:rsidR="008B3D58" w:rsidRPr="00175E32" w:rsidRDefault="003D7A6B" w:rsidP="0048723E">
            <w:pPr>
              <w:ind w:firstLine="0"/>
              <w:jc w:val="center"/>
              <w:rPr>
                <w:bCs/>
                <w:szCs w:val="24"/>
              </w:rPr>
            </w:pPr>
            <w:r w:rsidRPr="00175E32">
              <w:rPr>
                <w:bCs/>
                <w:szCs w:val="24"/>
              </w:rPr>
              <w:t>100,0</w:t>
            </w:r>
          </w:p>
        </w:tc>
        <w:tc>
          <w:tcPr>
            <w:tcW w:w="1701" w:type="dxa"/>
            <w:tcBorders>
              <w:top w:val="single" w:sz="4" w:space="0" w:color="000000"/>
              <w:left w:val="single" w:sz="4" w:space="0" w:color="000000"/>
              <w:bottom w:val="single" w:sz="4" w:space="0" w:color="000000"/>
            </w:tcBorders>
            <w:vAlign w:val="center"/>
          </w:tcPr>
          <w:p w14:paraId="3642ED72" w14:textId="77777777" w:rsidR="008B3D58" w:rsidRPr="00175E32" w:rsidRDefault="003D7A6B" w:rsidP="0048723E">
            <w:pPr>
              <w:ind w:firstLine="0"/>
              <w:jc w:val="center"/>
              <w:rPr>
                <w:bCs/>
                <w:szCs w:val="24"/>
              </w:rPr>
            </w:pPr>
            <w:r w:rsidRPr="00175E32">
              <w:rPr>
                <w:bCs/>
                <w:szCs w:val="24"/>
              </w:rPr>
              <w:t>102,8</w:t>
            </w:r>
          </w:p>
        </w:tc>
        <w:tc>
          <w:tcPr>
            <w:tcW w:w="1559" w:type="dxa"/>
            <w:tcBorders>
              <w:top w:val="single" w:sz="4" w:space="0" w:color="000000"/>
              <w:left w:val="single" w:sz="4" w:space="0" w:color="000000"/>
              <w:bottom w:val="single" w:sz="4" w:space="0" w:color="000000"/>
              <w:right w:val="single" w:sz="4" w:space="0" w:color="000000"/>
            </w:tcBorders>
            <w:vAlign w:val="center"/>
          </w:tcPr>
          <w:p w14:paraId="409BFDEA" w14:textId="77777777" w:rsidR="008B3D58" w:rsidRPr="00595D6B" w:rsidRDefault="00851BDF" w:rsidP="0048723E">
            <w:pPr>
              <w:ind w:firstLine="0"/>
              <w:jc w:val="center"/>
              <w:rPr>
                <w:bCs/>
                <w:szCs w:val="24"/>
              </w:rPr>
            </w:pPr>
            <w:r w:rsidRPr="00595D6B">
              <w:rPr>
                <w:bCs/>
                <w:szCs w:val="24"/>
              </w:rPr>
              <w:t>79,8</w:t>
            </w:r>
          </w:p>
        </w:tc>
      </w:tr>
    </w:tbl>
    <w:p w14:paraId="3DF8EFFF" w14:textId="77777777" w:rsidR="009B09FE" w:rsidRPr="00175E32" w:rsidRDefault="002421C7" w:rsidP="002421C7">
      <w:pPr>
        <w:pStyle w:val="38"/>
        <w:jc w:val="both"/>
        <w:rPr>
          <w:rFonts w:ascii="Times New Roman" w:hAnsi="Times New Roman" w:cs="Times New Roman"/>
          <w:sz w:val="20"/>
          <w:szCs w:val="20"/>
        </w:rPr>
      </w:pPr>
      <w:r w:rsidRPr="00175E32">
        <w:rPr>
          <w:rFonts w:ascii="Times New Roman" w:hAnsi="Times New Roman" w:cs="Times New Roman"/>
          <w:sz w:val="20"/>
          <w:szCs w:val="20"/>
        </w:rPr>
        <w:t xml:space="preserve">* - в текущем году прогноз показателей промышленного комплекса представлен в разбивке по основным (ведущим) видам экономической деятельности аналогично среднесрочному прогнозу социально-экономического развития Самарской области. </w:t>
      </w:r>
    </w:p>
    <w:p w14:paraId="121BF0E4" w14:textId="77777777" w:rsidR="002421C7" w:rsidRPr="00175E32" w:rsidRDefault="002421C7" w:rsidP="0048723E">
      <w:pPr>
        <w:pStyle w:val="38"/>
        <w:jc w:val="center"/>
        <w:rPr>
          <w:rFonts w:ascii="Times New Roman" w:hAnsi="Times New Roman" w:cs="Times New Roman"/>
          <w:sz w:val="24"/>
          <w:szCs w:val="24"/>
        </w:rPr>
      </w:pPr>
    </w:p>
    <w:p w14:paraId="54F519D8" w14:textId="77777777" w:rsidR="002F1CCE" w:rsidRPr="00175E32" w:rsidRDefault="009B09FE" w:rsidP="0048723E">
      <w:pPr>
        <w:pStyle w:val="38"/>
        <w:jc w:val="center"/>
        <w:rPr>
          <w:rFonts w:ascii="Times New Roman" w:hAnsi="Times New Roman" w:cs="Times New Roman"/>
          <w:sz w:val="24"/>
          <w:szCs w:val="24"/>
        </w:rPr>
      </w:pPr>
      <w:r w:rsidRPr="00175E32">
        <w:rPr>
          <w:rFonts w:ascii="Times New Roman" w:hAnsi="Times New Roman" w:cs="Times New Roman"/>
          <w:sz w:val="24"/>
          <w:szCs w:val="24"/>
        </w:rPr>
        <w:t>О</w:t>
      </w:r>
      <w:r w:rsidR="002F1CCE" w:rsidRPr="00175E32">
        <w:rPr>
          <w:rFonts w:ascii="Times New Roman" w:hAnsi="Times New Roman" w:cs="Times New Roman"/>
          <w:sz w:val="24"/>
          <w:szCs w:val="24"/>
        </w:rPr>
        <w:t>жидаемое выполнение прогнозных показателей</w:t>
      </w:r>
    </w:p>
    <w:p w14:paraId="59ED4417" w14:textId="77777777" w:rsidR="002F1CCE" w:rsidRPr="00175E32" w:rsidRDefault="002F1CCE" w:rsidP="0048723E">
      <w:pPr>
        <w:pStyle w:val="38"/>
        <w:jc w:val="center"/>
        <w:rPr>
          <w:rFonts w:ascii="Times New Roman" w:hAnsi="Times New Roman" w:cs="Times New Roman"/>
          <w:sz w:val="24"/>
          <w:szCs w:val="24"/>
        </w:rPr>
      </w:pPr>
      <w:r w:rsidRPr="00175E32">
        <w:rPr>
          <w:rFonts w:ascii="Times New Roman" w:hAnsi="Times New Roman" w:cs="Times New Roman"/>
          <w:sz w:val="24"/>
          <w:szCs w:val="24"/>
        </w:rPr>
        <w:t>по производству промышленной продукции в натуральном выражении на 20</w:t>
      </w:r>
      <w:r w:rsidR="008B3D58" w:rsidRPr="00175E32">
        <w:rPr>
          <w:rFonts w:ascii="Times New Roman" w:hAnsi="Times New Roman" w:cs="Times New Roman"/>
          <w:sz w:val="24"/>
          <w:szCs w:val="24"/>
        </w:rPr>
        <w:t>20</w:t>
      </w:r>
      <w:r w:rsidRPr="00175E32">
        <w:rPr>
          <w:rFonts w:ascii="Times New Roman" w:hAnsi="Times New Roman" w:cs="Times New Roman"/>
          <w:sz w:val="24"/>
          <w:szCs w:val="24"/>
        </w:rPr>
        <w:t xml:space="preserve"> год</w:t>
      </w:r>
    </w:p>
    <w:p w14:paraId="7E5A1146" w14:textId="77777777" w:rsidR="00742686" w:rsidRPr="00175E32" w:rsidRDefault="00742686" w:rsidP="0048723E">
      <w:pPr>
        <w:pStyle w:val="38"/>
        <w:jc w:val="center"/>
        <w:rPr>
          <w:rFonts w:ascii="Times New Roman" w:hAnsi="Times New Roman" w:cs="Times New Roman"/>
          <w:sz w:val="24"/>
          <w:szCs w:val="24"/>
        </w:rPr>
      </w:pPr>
    </w:p>
    <w:tbl>
      <w:tblPr>
        <w:tblW w:w="9378" w:type="dxa"/>
        <w:tblInd w:w="-7" w:type="dxa"/>
        <w:tblLayout w:type="fixed"/>
        <w:tblCellMar>
          <w:left w:w="15" w:type="dxa"/>
          <w:right w:w="15" w:type="dxa"/>
        </w:tblCellMar>
        <w:tblLook w:val="0000" w:firstRow="0" w:lastRow="0" w:firstColumn="0" w:lastColumn="0" w:noHBand="0" w:noVBand="0"/>
      </w:tblPr>
      <w:tblGrid>
        <w:gridCol w:w="3283"/>
        <w:gridCol w:w="1134"/>
        <w:gridCol w:w="1701"/>
        <w:gridCol w:w="1701"/>
        <w:gridCol w:w="1559"/>
      </w:tblGrid>
      <w:tr w:rsidR="008B3D58" w:rsidRPr="00175E32" w14:paraId="032427CB" w14:textId="77777777" w:rsidTr="00FC1C3D">
        <w:trPr>
          <w:trHeight w:val="416"/>
          <w:tblHeader/>
        </w:trPr>
        <w:tc>
          <w:tcPr>
            <w:tcW w:w="3283" w:type="dxa"/>
            <w:vMerge w:val="restart"/>
            <w:tcBorders>
              <w:top w:val="single" w:sz="4" w:space="0" w:color="000000"/>
              <w:left w:val="single" w:sz="4" w:space="0" w:color="000000"/>
              <w:bottom w:val="single" w:sz="4" w:space="0" w:color="000000"/>
            </w:tcBorders>
            <w:vAlign w:val="center"/>
          </w:tcPr>
          <w:p w14:paraId="6055B259" w14:textId="77777777" w:rsidR="008B3D58" w:rsidRPr="00175E32" w:rsidRDefault="008B3D58" w:rsidP="00FC1C3D">
            <w:pPr>
              <w:snapToGrid w:val="0"/>
              <w:ind w:firstLine="0"/>
              <w:jc w:val="center"/>
              <w:rPr>
                <w:szCs w:val="24"/>
              </w:rPr>
            </w:pPr>
            <w:r w:rsidRPr="00175E32">
              <w:rPr>
                <w:noProof/>
                <w:szCs w:val="24"/>
                <w:lang w:eastAsia="ru-RU"/>
              </w:rPr>
              <w:drawing>
                <wp:inline distT="0" distB="0" distL="0" distR="0" wp14:anchorId="69C37196" wp14:editId="09E98899">
                  <wp:extent cx="22860" cy="2286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22860" cy="22860"/>
                          </a:xfrm>
                          <a:prstGeom prst="rect">
                            <a:avLst/>
                          </a:prstGeom>
                          <a:solidFill>
                            <a:srgbClr val="FFFFFF"/>
                          </a:solidFill>
                          <a:ln w="9525">
                            <a:noFill/>
                            <a:miter lim="800000"/>
                            <a:headEnd/>
                            <a:tailEnd/>
                          </a:ln>
                        </pic:spPr>
                      </pic:pic>
                    </a:graphicData>
                  </a:graphic>
                </wp:inline>
              </w:drawing>
            </w:r>
            <w:r w:rsidRPr="00175E32">
              <w:rPr>
                <w:szCs w:val="24"/>
              </w:rPr>
              <w:t>Наименование продукции</w:t>
            </w:r>
          </w:p>
        </w:tc>
        <w:tc>
          <w:tcPr>
            <w:tcW w:w="1134" w:type="dxa"/>
            <w:vMerge w:val="restart"/>
            <w:tcBorders>
              <w:top w:val="single" w:sz="4" w:space="0" w:color="000000"/>
              <w:left w:val="single" w:sz="4" w:space="0" w:color="000000"/>
              <w:bottom w:val="single" w:sz="4" w:space="0" w:color="000000"/>
            </w:tcBorders>
            <w:vAlign w:val="center"/>
          </w:tcPr>
          <w:p w14:paraId="52A7ED5A" w14:textId="77777777" w:rsidR="008B3D58" w:rsidRPr="00175E32" w:rsidRDefault="008B3D58" w:rsidP="00FC1C3D">
            <w:pPr>
              <w:snapToGrid w:val="0"/>
              <w:ind w:firstLine="0"/>
              <w:jc w:val="center"/>
              <w:rPr>
                <w:szCs w:val="24"/>
              </w:rPr>
            </w:pPr>
            <w:r w:rsidRPr="00175E32">
              <w:rPr>
                <w:szCs w:val="24"/>
              </w:rPr>
              <w:t>Единица</w:t>
            </w:r>
          </w:p>
          <w:p w14:paraId="0F497A8D" w14:textId="77777777" w:rsidR="008B3D58" w:rsidRPr="00175E32" w:rsidRDefault="008B3D58" w:rsidP="00FC1C3D">
            <w:pPr>
              <w:snapToGrid w:val="0"/>
              <w:ind w:firstLine="0"/>
              <w:jc w:val="center"/>
              <w:rPr>
                <w:szCs w:val="24"/>
              </w:rPr>
            </w:pPr>
            <w:r w:rsidRPr="00175E32">
              <w:rPr>
                <w:szCs w:val="24"/>
              </w:rPr>
              <w:t>измерения</w:t>
            </w:r>
          </w:p>
        </w:tc>
        <w:tc>
          <w:tcPr>
            <w:tcW w:w="3402" w:type="dxa"/>
            <w:gridSpan w:val="2"/>
            <w:tcBorders>
              <w:top w:val="single" w:sz="4" w:space="0" w:color="000000"/>
              <w:left w:val="single" w:sz="4" w:space="0" w:color="000000"/>
              <w:bottom w:val="single" w:sz="4" w:space="0" w:color="000000"/>
            </w:tcBorders>
            <w:vAlign w:val="center"/>
          </w:tcPr>
          <w:p w14:paraId="10EF396F" w14:textId="77777777" w:rsidR="008B3D58" w:rsidRPr="00175E32" w:rsidRDefault="008B3D58" w:rsidP="00FC1C3D">
            <w:pPr>
              <w:ind w:firstLine="0"/>
              <w:jc w:val="center"/>
              <w:rPr>
                <w:szCs w:val="24"/>
              </w:rPr>
            </w:pPr>
            <w:r w:rsidRPr="00175E32">
              <w:rPr>
                <w:szCs w:val="24"/>
              </w:rPr>
              <w:t>Прогноз на 2020 год</w:t>
            </w:r>
          </w:p>
        </w:tc>
        <w:tc>
          <w:tcPr>
            <w:tcW w:w="1559" w:type="dxa"/>
            <w:vMerge w:val="restart"/>
            <w:tcBorders>
              <w:top w:val="single" w:sz="4" w:space="0" w:color="000000"/>
              <w:left w:val="single" w:sz="4" w:space="0" w:color="000000"/>
              <w:bottom w:val="single" w:sz="4" w:space="0" w:color="000000"/>
              <w:right w:val="single" w:sz="4" w:space="0" w:color="000000"/>
            </w:tcBorders>
            <w:vAlign w:val="center"/>
          </w:tcPr>
          <w:p w14:paraId="447B125E" w14:textId="77777777" w:rsidR="008B3D58" w:rsidRPr="00175E32" w:rsidRDefault="008B3D58" w:rsidP="00FC1C3D">
            <w:pPr>
              <w:ind w:firstLine="0"/>
              <w:jc w:val="center"/>
              <w:rPr>
                <w:szCs w:val="24"/>
              </w:rPr>
            </w:pPr>
            <w:r w:rsidRPr="00175E32">
              <w:rPr>
                <w:szCs w:val="24"/>
              </w:rPr>
              <w:t>2020 год</w:t>
            </w:r>
          </w:p>
          <w:p w14:paraId="407C7F15" w14:textId="77777777" w:rsidR="008B3D58" w:rsidRPr="00175E32" w:rsidRDefault="008B3D58" w:rsidP="00FC1C3D">
            <w:pPr>
              <w:ind w:firstLine="0"/>
              <w:jc w:val="center"/>
              <w:rPr>
                <w:szCs w:val="24"/>
              </w:rPr>
            </w:pPr>
            <w:r w:rsidRPr="00175E32">
              <w:rPr>
                <w:szCs w:val="24"/>
              </w:rPr>
              <w:t>(оценка)</w:t>
            </w:r>
          </w:p>
        </w:tc>
      </w:tr>
      <w:tr w:rsidR="008B3D58" w:rsidRPr="00175E32" w14:paraId="7CF7A9F6" w14:textId="77777777" w:rsidTr="00FC1C3D">
        <w:trPr>
          <w:trHeight w:val="481"/>
          <w:tblHeader/>
        </w:trPr>
        <w:tc>
          <w:tcPr>
            <w:tcW w:w="3283" w:type="dxa"/>
            <w:vMerge/>
            <w:tcBorders>
              <w:top w:val="single" w:sz="4" w:space="0" w:color="000000"/>
              <w:left w:val="single" w:sz="4" w:space="0" w:color="000000"/>
              <w:bottom w:val="single" w:sz="4" w:space="0" w:color="000000"/>
            </w:tcBorders>
            <w:vAlign w:val="center"/>
          </w:tcPr>
          <w:p w14:paraId="1D173E16" w14:textId="77777777" w:rsidR="008B3D58" w:rsidRPr="00175E32" w:rsidRDefault="008B3D58" w:rsidP="0048723E">
            <w:pPr>
              <w:snapToGrid w:val="0"/>
              <w:ind w:firstLine="0"/>
              <w:jc w:val="center"/>
              <w:rPr>
                <w:szCs w:val="24"/>
              </w:rPr>
            </w:pPr>
          </w:p>
        </w:tc>
        <w:tc>
          <w:tcPr>
            <w:tcW w:w="1134" w:type="dxa"/>
            <w:vMerge/>
            <w:tcBorders>
              <w:top w:val="single" w:sz="4" w:space="0" w:color="000000"/>
              <w:left w:val="single" w:sz="4" w:space="0" w:color="000000"/>
              <w:bottom w:val="single" w:sz="4" w:space="0" w:color="000000"/>
            </w:tcBorders>
            <w:vAlign w:val="center"/>
          </w:tcPr>
          <w:p w14:paraId="1FB59356" w14:textId="77777777" w:rsidR="008B3D58" w:rsidRPr="00175E32" w:rsidRDefault="008B3D58" w:rsidP="0048723E">
            <w:pPr>
              <w:snapToGrid w:val="0"/>
              <w:ind w:firstLine="0"/>
              <w:jc w:val="center"/>
              <w:rPr>
                <w:szCs w:val="24"/>
              </w:rPr>
            </w:pPr>
          </w:p>
        </w:tc>
        <w:tc>
          <w:tcPr>
            <w:tcW w:w="1701" w:type="dxa"/>
            <w:tcBorders>
              <w:top w:val="single" w:sz="4" w:space="0" w:color="000000"/>
              <w:left w:val="single" w:sz="4" w:space="0" w:color="000000"/>
              <w:bottom w:val="single" w:sz="4" w:space="0" w:color="000000"/>
            </w:tcBorders>
            <w:vAlign w:val="center"/>
          </w:tcPr>
          <w:p w14:paraId="13E1FD59" w14:textId="77777777" w:rsidR="008B3D58" w:rsidRPr="00175E32" w:rsidRDefault="008B3D58" w:rsidP="00FC1C3D">
            <w:pPr>
              <w:ind w:firstLine="0"/>
              <w:jc w:val="center"/>
              <w:rPr>
                <w:szCs w:val="24"/>
              </w:rPr>
            </w:pPr>
            <w:r w:rsidRPr="00175E32">
              <w:rPr>
                <w:szCs w:val="24"/>
              </w:rPr>
              <w:t>1 вариант (консерва</w:t>
            </w:r>
          </w:p>
          <w:p w14:paraId="5FC0EE29" w14:textId="77777777" w:rsidR="008B3D58" w:rsidRPr="00175E32" w:rsidRDefault="008B3D58" w:rsidP="00FC1C3D">
            <w:pPr>
              <w:ind w:firstLine="0"/>
              <w:jc w:val="center"/>
              <w:rPr>
                <w:szCs w:val="24"/>
              </w:rPr>
            </w:pPr>
            <w:proofErr w:type="spellStart"/>
            <w:r w:rsidRPr="00175E32">
              <w:rPr>
                <w:szCs w:val="24"/>
              </w:rPr>
              <w:t>тивный</w:t>
            </w:r>
            <w:proofErr w:type="spellEnd"/>
            <w:r w:rsidRPr="00175E32">
              <w:rPr>
                <w:szCs w:val="24"/>
              </w:rPr>
              <w:t>)</w:t>
            </w:r>
          </w:p>
        </w:tc>
        <w:tc>
          <w:tcPr>
            <w:tcW w:w="1701" w:type="dxa"/>
            <w:tcBorders>
              <w:top w:val="single" w:sz="4" w:space="0" w:color="000000"/>
              <w:left w:val="single" w:sz="4" w:space="0" w:color="000000"/>
              <w:bottom w:val="single" w:sz="4" w:space="0" w:color="000000"/>
            </w:tcBorders>
            <w:vAlign w:val="center"/>
          </w:tcPr>
          <w:p w14:paraId="077D88E5" w14:textId="77777777" w:rsidR="008B3D58" w:rsidRPr="00175E32" w:rsidRDefault="008B3D58" w:rsidP="00FC1C3D">
            <w:pPr>
              <w:ind w:firstLine="0"/>
              <w:jc w:val="center"/>
              <w:rPr>
                <w:szCs w:val="24"/>
              </w:rPr>
            </w:pPr>
            <w:r w:rsidRPr="00175E32">
              <w:rPr>
                <w:szCs w:val="24"/>
              </w:rPr>
              <w:t>2 вариант</w:t>
            </w:r>
          </w:p>
          <w:p w14:paraId="75F95F2D" w14:textId="77777777" w:rsidR="008B3D58" w:rsidRPr="00175E32" w:rsidRDefault="008B3D58" w:rsidP="00FC1C3D">
            <w:pPr>
              <w:ind w:firstLine="0"/>
              <w:jc w:val="center"/>
              <w:rPr>
                <w:szCs w:val="24"/>
              </w:rPr>
            </w:pPr>
            <w:r w:rsidRPr="00175E32">
              <w:rPr>
                <w:szCs w:val="24"/>
              </w:rPr>
              <w:t>(базовый)</w:t>
            </w:r>
          </w:p>
        </w:tc>
        <w:tc>
          <w:tcPr>
            <w:tcW w:w="1559" w:type="dxa"/>
            <w:vMerge/>
            <w:tcBorders>
              <w:top w:val="single" w:sz="4" w:space="0" w:color="000000"/>
              <w:left w:val="single" w:sz="4" w:space="0" w:color="000000"/>
              <w:bottom w:val="single" w:sz="4" w:space="0" w:color="000000"/>
              <w:right w:val="single" w:sz="4" w:space="0" w:color="000000"/>
            </w:tcBorders>
            <w:vAlign w:val="center"/>
          </w:tcPr>
          <w:p w14:paraId="7AC54511" w14:textId="77777777" w:rsidR="008B3D58" w:rsidRPr="00175E32" w:rsidRDefault="008B3D58" w:rsidP="0048723E">
            <w:pPr>
              <w:snapToGrid w:val="0"/>
              <w:ind w:firstLine="0"/>
              <w:jc w:val="center"/>
              <w:rPr>
                <w:szCs w:val="24"/>
              </w:rPr>
            </w:pPr>
          </w:p>
        </w:tc>
      </w:tr>
      <w:tr w:rsidR="008B3D58" w:rsidRPr="00175E32" w14:paraId="10773EBA" w14:textId="77777777" w:rsidTr="008B3D58">
        <w:trPr>
          <w:trHeight w:val="481"/>
          <w:tblHeader/>
        </w:trPr>
        <w:tc>
          <w:tcPr>
            <w:tcW w:w="3283" w:type="dxa"/>
            <w:tcBorders>
              <w:top w:val="single" w:sz="4" w:space="0" w:color="000000"/>
              <w:left w:val="single" w:sz="4" w:space="0" w:color="000000"/>
              <w:bottom w:val="single" w:sz="4" w:space="0" w:color="000000"/>
            </w:tcBorders>
            <w:vAlign w:val="center"/>
          </w:tcPr>
          <w:p w14:paraId="44404E42" w14:textId="77777777" w:rsidR="008B3D58" w:rsidRPr="00175E32" w:rsidRDefault="008B3D58" w:rsidP="0048723E">
            <w:pPr>
              <w:snapToGrid w:val="0"/>
              <w:ind w:firstLine="0"/>
              <w:rPr>
                <w:szCs w:val="24"/>
              </w:rPr>
            </w:pPr>
            <w:r w:rsidRPr="00175E32">
              <w:rPr>
                <w:szCs w:val="24"/>
              </w:rPr>
              <w:t>Аммиак</w:t>
            </w:r>
          </w:p>
        </w:tc>
        <w:tc>
          <w:tcPr>
            <w:tcW w:w="1134" w:type="dxa"/>
            <w:tcBorders>
              <w:top w:val="single" w:sz="4" w:space="0" w:color="000000"/>
              <w:left w:val="single" w:sz="4" w:space="0" w:color="000000"/>
              <w:bottom w:val="single" w:sz="4" w:space="0" w:color="000000"/>
            </w:tcBorders>
            <w:vAlign w:val="center"/>
          </w:tcPr>
          <w:p w14:paraId="7207189C" w14:textId="77777777" w:rsidR="008B3D58" w:rsidRPr="00175E32" w:rsidRDefault="008B3D58" w:rsidP="0048723E">
            <w:pPr>
              <w:snapToGrid w:val="0"/>
              <w:ind w:firstLine="0"/>
              <w:jc w:val="center"/>
              <w:rPr>
                <w:szCs w:val="24"/>
              </w:rPr>
            </w:pPr>
            <w:r w:rsidRPr="00175E32">
              <w:rPr>
                <w:szCs w:val="24"/>
              </w:rPr>
              <w:t>тыс.</w:t>
            </w:r>
            <w:r w:rsidR="00851BDF">
              <w:rPr>
                <w:szCs w:val="24"/>
              </w:rPr>
              <w:t xml:space="preserve"> </w:t>
            </w:r>
            <w:r w:rsidRPr="00175E32">
              <w:rPr>
                <w:szCs w:val="24"/>
              </w:rPr>
              <w:t>тонн</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5480253" w14:textId="77777777" w:rsidR="008B3D58" w:rsidRPr="00175E32" w:rsidRDefault="00A06023" w:rsidP="0048723E">
            <w:pPr>
              <w:suppressAutoHyphens w:val="0"/>
              <w:ind w:firstLine="0"/>
              <w:jc w:val="center"/>
              <w:rPr>
                <w:szCs w:val="24"/>
                <w:lang w:eastAsia="ru-RU"/>
              </w:rPr>
            </w:pPr>
            <w:r w:rsidRPr="00175E32">
              <w:rPr>
                <w:szCs w:val="24"/>
                <w:lang w:eastAsia="ru-RU"/>
              </w:rPr>
              <w:t>4 210,0</w:t>
            </w:r>
          </w:p>
        </w:tc>
        <w:tc>
          <w:tcPr>
            <w:tcW w:w="1701" w:type="dxa"/>
            <w:tcBorders>
              <w:top w:val="single" w:sz="4" w:space="0" w:color="auto"/>
              <w:left w:val="nil"/>
              <w:bottom w:val="single" w:sz="4" w:space="0" w:color="auto"/>
              <w:right w:val="single" w:sz="4" w:space="0" w:color="auto"/>
            </w:tcBorders>
            <w:shd w:val="clear" w:color="auto" w:fill="auto"/>
            <w:vAlign w:val="center"/>
          </w:tcPr>
          <w:p w14:paraId="068DE221" w14:textId="77777777" w:rsidR="008B3D58" w:rsidRPr="00175E32" w:rsidRDefault="00A06023" w:rsidP="0048723E">
            <w:pPr>
              <w:ind w:firstLine="0"/>
              <w:jc w:val="center"/>
              <w:rPr>
                <w:szCs w:val="24"/>
              </w:rPr>
            </w:pPr>
            <w:r w:rsidRPr="00175E32">
              <w:rPr>
                <w:szCs w:val="24"/>
              </w:rPr>
              <w:t>4 365,0</w:t>
            </w:r>
          </w:p>
        </w:tc>
        <w:tc>
          <w:tcPr>
            <w:tcW w:w="1559" w:type="dxa"/>
            <w:tcBorders>
              <w:top w:val="single" w:sz="4" w:space="0" w:color="000000"/>
              <w:left w:val="single" w:sz="4" w:space="0" w:color="000000"/>
              <w:bottom w:val="single" w:sz="4" w:space="0" w:color="000000"/>
              <w:right w:val="single" w:sz="4" w:space="0" w:color="000000"/>
            </w:tcBorders>
            <w:vAlign w:val="center"/>
          </w:tcPr>
          <w:p w14:paraId="0C28B367" w14:textId="77777777" w:rsidR="008B3D58" w:rsidRPr="00175E32" w:rsidRDefault="009C730D" w:rsidP="0048723E">
            <w:pPr>
              <w:snapToGrid w:val="0"/>
              <w:ind w:firstLine="0"/>
              <w:jc w:val="center"/>
              <w:rPr>
                <w:szCs w:val="24"/>
              </w:rPr>
            </w:pPr>
            <w:r w:rsidRPr="00175E32">
              <w:rPr>
                <w:szCs w:val="24"/>
              </w:rPr>
              <w:t>4 224,8</w:t>
            </w:r>
          </w:p>
        </w:tc>
      </w:tr>
      <w:tr w:rsidR="009C730D" w:rsidRPr="00175E32" w14:paraId="0201DA8D" w14:textId="77777777" w:rsidTr="008B3D58">
        <w:trPr>
          <w:trHeight w:val="481"/>
          <w:tblHeader/>
        </w:trPr>
        <w:tc>
          <w:tcPr>
            <w:tcW w:w="3283" w:type="dxa"/>
            <w:tcBorders>
              <w:top w:val="single" w:sz="4" w:space="0" w:color="000000"/>
              <w:left w:val="single" w:sz="4" w:space="0" w:color="000000"/>
              <w:bottom w:val="single" w:sz="4" w:space="0" w:color="000000"/>
            </w:tcBorders>
            <w:vAlign w:val="center"/>
          </w:tcPr>
          <w:p w14:paraId="49AE23E9" w14:textId="77777777" w:rsidR="009C730D" w:rsidRPr="00175E32" w:rsidRDefault="009C730D" w:rsidP="0048723E">
            <w:pPr>
              <w:snapToGrid w:val="0"/>
              <w:ind w:firstLine="0"/>
              <w:rPr>
                <w:szCs w:val="24"/>
              </w:rPr>
            </w:pPr>
            <w:r w:rsidRPr="00175E32">
              <w:rPr>
                <w:szCs w:val="24"/>
              </w:rPr>
              <w:t>Удобрения минеральные или химические</w:t>
            </w:r>
          </w:p>
        </w:tc>
        <w:tc>
          <w:tcPr>
            <w:tcW w:w="1134" w:type="dxa"/>
            <w:tcBorders>
              <w:top w:val="single" w:sz="4" w:space="0" w:color="000000"/>
              <w:left w:val="single" w:sz="4" w:space="0" w:color="000000"/>
              <w:bottom w:val="single" w:sz="4" w:space="0" w:color="000000"/>
            </w:tcBorders>
            <w:vAlign w:val="center"/>
          </w:tcPr>
          <w:p w14:paraId="38A48048" w14:textId="77777777" w:rsidR="009C730D" w:rsidRPr="00175E32" w:rsidRDefault="009C730D" w:rsidP="0048723E">
            <w:pPr>
              <w:snapToGrid w:val="0"/>
              <w:ind w:firstLine="0"/>
              <w:jc w:val="center"/>
              <w:rPr>
                <w:szCs w:val="24"/>
              </w:rPr>
            </w:pPr>
            <w:r w:rsidRPr="00175E32">
              <w:rPr>
                <w:szCs w:val="24"/>
              </w:rPr>
              <w:t>тыс. тонн</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9DA0D72" w14:textId="77777777" w:rsidR="009C730D" w:rsidRPr="00175E32" w:rsidRDefault="009C730D" w:rsidP="0048723E">
            <w:pPr>
              <w:suppressAutoHyphens w:val="0"/>
              <w:ind w:firstLine="0"/>
              <w:jc w:val="center"/>
              <w:rPr>
                <w:szCs w:val="24"/>
              </w:rPr>
            </w:pPr>
            <w:r w:rsidRPr="00175E32">
              <w:rPr>
                <w:szCs w:val="24"/>
              </w:rPr>
              <w:t>-</w:t>
            </w:r>
          </w:p>
        </w:tc>
        <w:tc>
          <w:tcPr>
            <w:tcW w:w="1701" w:type="dxa"/>
            <w:tcBorders>
              <w:top w:val="single" w:sz="4" w:space="0" w:color="auto"/>
              <w:left w:val="nil"/>
              <w:bottom w:val="single" w:sz="4" w:space="0" w:color="auto"/>
              <w:right w:val="single" w:sz="4" w:space="0" w:color="auto"/>
            </w:tcBorders>
            <w:shd w:val="clear" w:color="auto" w:fill="auto"/>
            <w:vAlign w:val="center"/>
          </w:tcPr>
          <w:p w14:paraId="5D42863C" w14:textId="77777777" w:rsidR="009C730D" w:rsidRPr="00175E32" w:rsidRDefault="009C730D" w:rsidP="0048723E">
            <w:pPr>
              <w:ind w:firstLine="0"/>
              <w:jc w:val="center"/>
              <w:rPr>
                <w:szCs w:val="24"/>
              </w:rPr>
            </w:pPr>
            <w:r w:rsidRPr="00175E32">
              <w:rPr>
                <w:szCs w:val="24"/>
              </w:rPr>
              <w:t>-</w:t>
            </w:r>
          </w:p>
        </w:tc>
        <w:tc>
          <w:tcPr>
            <w:tcW w:w="1559" w:type="dxa"/>
            <w:tcBorders>
              <w:top w:val="single" w:sz="4" w:space="0" w:color="000000"/>
              <w:left w:val="single" w:sz="4" w:space="0" w:color="000000"/>
              <w:bottom w:val="single" w:sz="4" w:space="0" w:color="000000"/>
              <w:right w:val="single" w:sz="4" w:space="0" w:color="000000"/>
            </w:tcBorders>
            <w:vAlign w:val="center"/>
          </w:tcPr>
          <w:p w14:paraId="5C2491FF" w14:textId="77777777" w:rsidR="009C730D" w:rsidRPr="00175E32" w:rsidRDefault="009C730D" w:rsidP="0048723E">
            <w:pPr>
              <w:snapToGrid w:val="0"/>
              <w:ind w:firstLine="0"/>
              <w:jc w:val="center"/>
              <w:rPr>
                <w:szCs w:val="24"/>
              </w:rPr>
            </w:pPr>
            <w:r w:rsidRPr="00175E32">
              <w:rPr>
                <w:szCs w:val="24"/>
              </w:rPr>
              <w:t>2 790,0</w:t>
            </w:r>
          </w:p>
        </w:tc>
      </w:tr>
      <w:tr w:rsidR="008B3D58" w:rsidRPr="00175E32" w14:paraId="704B1356" w14:textId="77777777" w:rsidTr="008B3D58">
        <w:trPr>
          <w:trHeight w:val="481"/>
          <w:tblHeader/>
        </w:trPr>
        <w:tc>
          <w:tcPr>
            <w:tcW w:w="3283" w:type="dxa"/>
            <w:tcBorders>
              <w:top w:val="single" w:sz="4" w:space="0" w:color="000000"/>
              <w:left w:val="single" w:sz="4" w:space="0" w:color="000000"/>
              <w:bottom w:val="single" w:sz="4" w:space="0" w:color="000000"/>
            </w:tcBorders>
            <w:vAlign w:val="center"/>
          </w:tcPr>
          <w:p w14:paraId="1C2A10D1" w14:textId="77777777" w:rsidR="008B3D58" w:rsidRPr="00175E32" w:rsidRDefault="008B3D58" w:rsidP="0048723E">
            <w:pPr>
              <w:snapToGrid w:val="0"/>
              <w:ind w:firstLine="0"/>
              <w:rPr>
                <w:szCs w:val="24"/>
              </w:rPr>
            </w:pPr>
            <w:r w:rsidRPr="00175E32">
              <w:rPr>
                <w:szCs w:val="24"/>
              </w:rPr>
              <w:t>Пластмассы в первичных формах</w:t>
            </w:r>
          </w:p>
        </w:tc>
        <w:tc>
          <w:tcPr>
            <w:tcW w:w="1134" w:type="dxa"/>
            <w:tcBorders>
              <w:top w:val="single" w:sz="4" w:space="0" w:color="000000"/>
              <w:left w:val="single" w:sz="4" w:space="0" w:color="000000"/>
              <w:bottom w:val="single" w:sz="4" w:space="0" w:color="000000"/>
            </w:tcBorders>
          </w:tcPr>
          <w:p w14:paraId="14D3E13F" w14:textId="77777777" w:rsidR="008B3D58" w:rsidRPr="00175E32" w:rsidRDefault="008B3D58" w:rsidP="0048723E">
            <w:pPr>
              <w:snapToGrid w:val="0"/>
              <w:ind w:firstLine="0"/>
              <w:jc w:val="center"/>
              <w:rPr>
                <w:szCs w:val="24"/>
              </w:rPr>
            </w:pPr>
            <w:r w:rsidRPr="00175E32">
              <w:rPr>
                <w:szCs w:val="24"/>
              </w:rPr>
              <w:t>тыс.</w:t>
            </w:r>
            <w:r w:rsidR="00851BDF">
              <w:rPr>
                <w:szCs w:val="24"/>
              </w:rPr>
              <w:t xml:space="preserve"> </w:t>
            </w:r>
            <w:r w:rsidRPr="00175E32">
              <w:rPr>
                <w:szCs w:val="24"/>
              </w:rPr>
              <w:t>тонн</w:t>
            </w:r>
          </w:p>
        </w:tc>
        <w:tc>
          <w:tcPr>
            <w:tcW w:w="1701" w:type="dxa"/>
            <w:tcBorders>
              <w:top w:val="nil"/>
              <w:left w:val="single" w:sz="4" w:space="0" w:color="auto"/>
              <w:bottom w:val="single" w:sz="4" w:space="0" w:color="auto"/>
              <w:right w:val="single" w:sz="4" w:space="0" w:color="auto"/>
            </w:tcBorders>
            <w:shd w:val="clear" w:color="auto" w:fill="auto"/>
            <w:vAlign w:val="center"/>
          </w:tcPr>
          <w:p w14:paraId="1F74E4A9" w14:textId="77777777" w:rsidR="008B3D58" w:rsidRPr="00175E32" w:rsidRDefault="00A06023" w:rsidP="0048723E">
            <w:pPr>
              <w:ind w:firstLine="0"/>
              <w:jc w:val="center"/>
              <w:rPr>
                <w:szCs w:val="24"/>
              </w:rPr>
            </w:pPr>
            <w:r w:rsidRPr="00175E32">
              <w:rPr>
                <w:szCs w:val="24"/>
              </w:rPr>
              <w:t>259,0</w:t>
            </w:r>
          </w:p>
        </w:tc>
        <w:tc>
          <w:tcPr>
            <w:tcW w:w="1701" w:type="dxa"/>
            <w:tcBorders>
              <w:top w:val="nil"/>
              <w:left w:val="nil"/>
              <w:bottom w:val="single" w:sz="4" w:space="0" w:color="auto"/>
              <w:right w:val="single" w:sz="4" w:space="0" w:color="auto"/>
            </w:tcBorders>
            <w:shd w:val="clear" w:color="auto" w:fill="auto"/>
            <w:vAlign w:val="center"/>
          </w:tcPr>
          <w:p w14:paraId="6274F8C4" w14:textId="77777777" w:rsidR="008B3D58" w:rsidRPr="00175E32" w:rsidRDefault="00A06023" w:rsidP="0048723E">
            <w:pPr>
              <w:ind w:firstLine="0"/>
              <w:jc w:val="center"/>
              <w:rPr>
                <w:szCs w:val="24"/>
              </w:rPr>
            </w:pPr>
            <w:r w:rsidRPr="00175E32">
              <w:rPr>
                <w:szCs w:val="24"/>
              </w:rPr>
              <w:t>261,0</w:t>
            </w:r>
          </w:p>
        </w:tc>
        <w:tc>
          <w:tcPr>
            <w:tcW w:w="1559" w:type="dxa"/>
            <w:tcBorders>
              <w:top w:val="single" w:sz="4" w:space="0" w:color="000000"/>
              <w:left w:val="single" w:sz="4" w:space="0" w:color="000000"/>
              <w:bottom w:val="single" w:sz="4" w:space="0" w:color="000000"/>
              <w:right w:val="single" w:sz="4" w:space="0" w:color="000000"/>
            </w:tcBorders>
            <w:vAlign w:val="center"/>
          </w:tcPr>
          <w:p w14:paraId="3C785B15" w14:textId="77777777" w:rsidR="008B3D58" w:rsidRPr="00175E32" w:rsidRDefault="009C730D" w:rsidP="0048723E">
            <w:pPr>
              <w:snapToGrid w:val="0"/>
              <w:ind w:firstLine="0"/>
              <w:jc w:val="center"/>
              <w:rPr>
                <w:szCs w:val="24"/>
              </w:rPr>
            </w:pPr>
            <w:r w:rsidRPr="00175E32">
              <w:rPr>
                <w:szCs w:val="24"/>
              </w:rPr>
              <w:t>245,4</w:t>
            </w:r>
          </w:p>
        </w:tc>
      </w:tr>
      <w:tr w:rsidR="008B3D58" w:rsidRPr="00175E32" w14:paraId="0A269360" w14:textId="77777777" w:rsidTr="008B3D58">
        <w:trPr>
          <w:trHeight w:val="481"/>
          <w:tblHeader/>
        </w:trPr>
        <w:tc>
          <w:tcPr>
            <w:tcW w:w="3283" w:type="dxa"/>
            <w:tcBorders>
              <w:top w:val="single" w:sz="4" w:space="0" w:color="000000"/>
              <w:left w:val="single" w:sz="4" w:space="0" w:color="000000"/>
              <w:bottom w:val="single" w:sz="4" w:space="0" w:color="000000"/>
            </w:tcBorders>
            <w:vAlign w:val="center"/>
          </w:tcPr>
          <w:p w14:paraId="0B31BADD" w14:textId="77777777" w:rsidR="008B3D58" w:rsidRPr="00175E32" w:rsidRDefault="008B3D58" w:rsidP="0048723E">
            <w:pPr>
              <w:snapToGrid w:val="0"/>
              <w:ind w:firstLine="0"/>
              <w:rPr>
                <w:szCs w:val="24"/>
              </w:rPr>
            </w:pPr>
            <w:r w:rsidRPr="00175E32">
              <w:rPr>
                <w:szCs w:val="24"/>
              </w:rPr>
              <w:t xml:space="preserve">Автомобили легковые </w:t>
            </w:r>
          </w:p>
        </w:tc>
        <w:tc>
          <w:tcPr>
            <w:tcW w:w="1134" w:type="dxa"/>
            <w:tcBorders>
              <w:top w:val="single" w:sz="4" w:space="0" w:color="000000"/>
              <w:left w:val="single" w:sz="4" w:space="0" w:color="000000"/>
              <w:bottom w:val="single" w:sz="4" w:space="0" w:color="000000"/>
            </w:tcBorders>
            <w:vAlign w:val="center"/>
          </w:tcPr>
          <w:p w14:paraId="0DDA6410" w14:textId="77777777" w:rsidR="008B3D58" w:rsidRPr="00175E32" w:rsidRDefault="008B3D58" w:rsidP="0048723E">
            <w:pPr>
              <w:snapToGrid w:val="0"/>
              <w:ind w:firstLine="0"/>
              <w:jc w:val="center"/>
              <w:rPr>
                <w:szCs w:val="24"/>
              </w:rPr>
            </w:pPr>
            <w:r w:rsidRPr="00175E32">
              <w:rPr>
                <w:szCs w:val="24"/>
              </w:rPr>
              <w:t>тыс.</w:t>
            </w:r>
            <w:r w:rsidR="00851BDF">
              <w:rPr>
                <w:szCs w:val="24"/>
              </w:rPr>
              <w:t xml:space="preserve"> </w:t>
            </w:r>
            <w:r w:rsidRPr="00175E32">
              <w:rPr>
                <w:szCs w:val="24"/>
              </w:rPr>
              <w:t>штук</w:t>
            </w:r>
          </w:p>
        </w:tc>
        <w:tc>
          <w:tcPr>
            <w:tcW w:w="1701" w:type="dxa"/>
            <w:tcBorders>
              <w:top w:val="nil"/>
              <w:left w:val="single" w:sz="4" w:space="0" w:color="auto"/>
              <w:bottom w:val="single" w:sz="4" w:space="0" w:color="auto"/>
              <w:right w:val="single" w:sz="4" w:space="0" w:color="auto"/>
            </w:tcBorders>
            <w:shd w:val="clear" w:color="auto" w:fill="auto"/>
            <w:vAlign w:val="center"/>
          </w:tcPr>
          <w:p w14:paraId="0E3D80FF" w14:textId="77777777" w:rsidR="008B3D58" w:rsidRPr="00175E32" w:rsidRDefault="00A06023" w:rsidP="0048723E">
            <w:pPr>
              <w:ind w:firstLine="0"/>
              <w:jc w:val="center"/>
              <w:rPr>
                <w:szCs w:val="24"/>
              </w:rPr>
            </w:pPr>
            <w:r w:rsidRPr="00175E32">
              <w:rPr>
                <w:szCs w:val="24"/>
              </w:rPr>
              <w:t>407,0</w:t>
            </w:r>
          </w:p>
        </w:tc>
        <w:tc>
          <w:tcPr>
            <w:tcW w:w="1701" w:type="dxa"/>
            <w:tcBorders>
              <w:top w:val="nil"/>
              <w:left w:val="nil"/>
              <w:bottom w:val="single" w:sz="4" w:space="0" w:color="auto"/>
              <w:right w:val="single" w:sz="4" w:space="0" w:color="auto"/>
            </w:tcBorders>
            <w:shd w:val="clear" w:color="auto" w:fill="auto"/>
            <w:vAlign w:val="center"/>
          </w:tcPr>
          <w:p w14:paraId="688A7F8A" w14:textId="77777777" w:rsidR="008B3D58" w:rsidRPr="00175E32" w:rsidRDefault="00A06023" w:rsidP="0048723E">
            <w:pPr>
              <w:ind w:firstLine="0"/>
              <w:jc w:val="center"/>
              <w:rPr>
                <w:szCs w:val="24"/>
              </w:rPr>
            </w:pPr>
            <w:r w:rsidRPr="00175E32">
              <w:rPr>
                <w:szCs w:val="24"/>
              </w:rPr>
              <w:t>423,5</w:t>
            </w:r>
          </w:p>
        </w:tc>
        <w:tc>
          <w:tcPr>
            <w:tcW w:w="1559" w:type="dxa"/>
            <w:tcBorders>
              <w:top w:val="single" w:sz="4" w:space="0" w:color="000000"/>
              <w:left w:val="single" w:sz="4" w:space="0" w:color="000000"/>
              <w:bottom w:val="single" w:sz="4" w:space="0" w:color="000000"/>
              <w:right w:val="single" w:sz="4" w:space="0" w:color="000000"/>
            </w:tcBorders>
            <w:vAlign w:val="center"/>
          </w:tcPr>
          <w:p w14:paraId="244BC739" w14:textId="77777777" w:rsidR="008B3D58" w:rsidRPr="00175E32" w:rsidRDefault="00851BDF" w:rsidP="0048723E">
            <w:pPr>
              <w:snapToGrid w:val="0"/>
              <w:ind w:firstLine="0"/>
              <w:jc w:val="center"/>
              <w:rPr>
                <w:szCs w:val="24"/>
              </w:rPr>
            </w:pPr>
            <w:r w:rsidRPr="00595D6B">
              <w:rPr>
                <w:szCs w:val="24"/>
              </w:rPr>
              <w:t>326</w:t>
            </w:r>
            <w:r w:rsidR="009C730D" w:rsidRPr="00595D6B">
              <w:rPr>
                <w:szCs w:val="24"/>
              </w:rPr>
              <w:t>,0</w:t>
            </w:r>
          </w:p>
        </w:tc>
      </w:tr>
      <w:tr w:rsidR="008B3D58" w:rsidRPr="00175E32" w14:paraId="157DB2D8" w14:textId="77777777" w:rsidTr="008B3D58">
        <w:trPr>
          <w:trHeight w:val="481"/>
          <w:tblHeader/>
        </w:trPr>
        <w:tc>
          <w:tcPr>
            <w:tcW w:w="3283" w:type="dxa"/>
            <w:tcBorders>
              <w:top w:val="single" w:sz="4" w:space="0" w:color="000000"/>
              <w:left w:val="single" w:sz="4" w:space="0" w:color="000000"/>
              <w:bottom w:val="single" w:sz="4" w:space="0" w:color="000000"/>
            </w:tcBorders>
            <w:vAlign w:val="center"/>
          </w:tcPr>
          <w:p w14:paraId="04F09029" w14:textId="77777777" w:rsidR="008B3D58" w:rsidRPr="00175E32" w:rsidRDefault="008B3D58" w:rsidP="0048723E">
            <w:pPr>
              <w:snapToGrid w:val="0"/>
              <w:ind w:firstLine="0"/>
              <w:rPr>
                <w:szCs w:val="24"/>
              </w:rPr>
            </w:pPr>
            <w:r w:rsidRPr="00175E32">
              <w:rPr>
                <w:szCs w:val="24"/>
              </w:rPr>
              <w:t>Электроэнергия</w:t>
            </w:r>
          </w:p>
        </w:tc>
        <w:tc>
          <w:tcPr>
            <w:tcW w:w="1134" w:type="dxa"/>
            <w:tcBorders>
              <w:top w:val="single" w:sz="4" w:space="0" w:color="000000"/>
              <w:left w:val="single" w:sz="4" w:space="0" w:color="000000"/>
              <w:bottom w:val="single" w:sz="4" w:space="0" w:color="000000"/>
            </w:tcBorders>
          </w:tcPr>
          <w:p w14:paraId="1BD736E9" w14:textId="77777777" w:rsidR="008B3D58" w:rsidRPr="00175E32" w:rsidRDefault="008B3D58" w:rsidP="0048723E">
            <w:pPr>
              <w:snapToGrid w:val="0"/>
              <w:ind w:firstLine="0"/>
              <w:jc w:val="center"/>
              <w:rPr>
                <w:szCs w:val="24"/>
              </w:rPr>
            </w:pPr>
            <w:r w:rsidRPr="00175E32">
              <w:rPr>
                <w:szCs w:val="24"/>
              </w:rPr>
              <w:t>гигаватт-час</w:t>
            </w:r>
          </w:p>
        </w:tc>
        <w:tc>
          <w:tcPr>
            <w:tcW w:w="1701" w:type="dxa"/>
            <w:tcBorders>
              <w:top w:val="nil"/>
              <w:left w:val="single" w:sz="4" w:space="0" w:color="auto"/>
              <w:bottom w:val="single" w:sz="4" w:space="0" w:color="auto"/>
              <w:right w:val="single" w:sz="4" w:space="0" w:color="auto"/>
            </w:tcBorders>
            <w:shd w:val="clear" w:color="auto" w:fill="auto"/>
            <w:vAlign w:val="center"/>
          </w:tcPr>
          <w:p w14:paraId="2A623D19" w14:textId="77777777" w:rsidR="008B3D58" w:rsidRPr="00175E32" w:rsidRDefault="00A06023" w:rsidP="0048723E">
            <w:pPr>
              <w:ind w:firstLine="0"/>
              <w:jc w:val="center"/>
              <w:rPr>
                <w:szCs w:val="24"/>
              </w:rPr>
            </w:pPr>
            <w:r w:rsidRPr="00175E32">
              <w:rPr>
                <w:szCs w:val="24"/>
              </w:rPr>
              <w:t>4 135,0</w:t>
            </w:r>
          </w:p>
        </w:tc>
        <w:tc>
          <w:tcPr>
            <w:tcW w:w="1701" w:type="dxa"/>
            <w:tcBorders>
              <w:top w:val="nil"/>
              <w:left w:val="nil"/>
              <w:bottom w:val="single" w:sz="4" w:space="0" w:color="auto"/>
              <w:right w:val="single" w:sz="4" w:space="0" w:color="auto"/>
            </w:tcBorders>
            <w:shd w:val="clear" w:color="auto" w:fill="auto"/>
            <w:vAlign w:val="center"/>
          </w:tcPr>
          <w:p w14:paraId="15CEA141" w14:textId="77777777" w:rsidR="008B3D58" w:rsidRPr="00175E32" w:rsidRDefault="00A06023" w:rsidP="0048723E">
            <w:pPr>
              <w:ind w:firstLine="0"/>
              <w:jc w:val="center"/>
              <w:rPr>
                <w:szCs w:val="24"/>
              </w:rPr>
            </w:pPr>
            <w:r w:rsidRPr="00175E32">
              <w:rPr>
                <w:szCs w:val="24"/>
              </w:rPr>
              <w:t xml:space="preserve">4 276,0 </w:t>
            </w:r>
          </w:p>
        </w:tc>
        <w:tc>
          <w:tcPr>
            <w:tcW w:w="1559" w:type="dxa"/>
            <w:tcBorders>
              <w:top w:val="single" w:sz="4" w:space="0" w:color="000000"/>
              <w:left w:val="single" w:sz="4" w:space="0" w:color="000000"/>
              <w:bottom w:val="single" w:sz="4" w:space="0" w:color="000000"/>
              <w:right w:val="single" w:sz="4" w:space="0" w:color="000000"/>
            </w:tcBorders>
            <w:vAlign w:val="center"/>
          </w:tcPr>
          <w:p w14:paraId="330D04CB" w14:textId="77777777" w:rsidR="008B3D58" w:rsidRPr="00175E32" w:rsidRDefault="009C730D" w:rsidP="0048723E">
            <w:pPr>
              <w:snapToGrid w:val="0"/>
              <w:ind w:firstLine="0"/>
              <w:jc w:val="center"/>
              <w:rPr>
                <w:szCs w:val="24"/>
              </w:rPr>
            </w:pPr>
            <w:r w:rsidRPr="00175E32">
              <w:rPr>
                <w:szCs w:val="24"/>
              </w:rPr>
              <w:t>3 790,5</w:t>
            </w:r>
          </w:p>
        </w:tc>
      </w:tr>
      <w:tr w:rsidR="008B3D58" w:rsidRPr="00175E32" w14:paraId="198679FF" w14:textId="77777777" w:rsidTr="008B3D58">
        <w:trPr>
          <w:trHeight w:val="481"/>
          <w:tblHeader/>
        </w:trPr>
        <w:tc>
          <w:tcPr>
            <w:tcW w:w="3283" w:type="dxa"/>
            <w:tcBorders>
              <w:top w:val="single" w:sz="4" w:space="0" w:color="000000"/>
              <w:left w:val="single" w:sz="4" w:space="0" w:color="000000"/>
              <w:bottom w:val="single" w:sz="4" w:space="0" w:color="000000"/>
            </w:tcBorders>
            <w:vAlign w:val="center"/>
          </w:tcPr>
          <w:p w14:paraId="1242CCCE" w14:textId="77777777" w:rsidR="008B3D58" w:rsidRPr="00175E32" w:rsidRDefault="008B3D58" w:rsidP="0048723E">
            <w:pPr>
              <w:snapToGrid w:val="0"/>
              <w:ind w:firstLine="0"/>
              <w:rPr>
                <w:szCs w:val="24"/>
              </w:rPr>
            </w:pPr>
            <w:r w:rsidRPr="00175E32">
              <w:rPr>
                <w:szCs w:val="24"/>
              </w:rPr>
              <w:t>Пар и горячая вода</w:t>
            </w:r>
          </w:p>
        </w:tc>
        <w:tc>
          <w:tcPr>
            <w:tcW w:w="1134" w:type="dxa"/>
            <w:tcBorders>
              <w:top w:val="single" w:sz="4" w:space="0" w:color="000000"/>
              <w:left w:val="single" w:sz="4" w:space="0" w:color="000000"/>
              <w:bottom w:val="single" w:sz="4" w:space="0" w:color="000000"/>
            </w:tcBorders>
          </w:tcPr>
          <w:p w14:paraId="27B7C77D" w14:textId="77777777" w:rsidR="008B3D58" w:rsidRPr="00175E32" w:rsidRDefault="008B3D58" w:rsidP="00851BDF">
            <w:pPr>
              <w:snapToGrid w:val="0"/>
              <w:ind w:firstLine="0"/>
              <w:jc w:val="center"/>
              <w:rPr>
                <w:szCs w:val="24"/>
              </w:rPr>
            </w:pPr>
            <w:proofErr w:type="spellStart"/>
            <w:proofErr w:type="gramStart"/>
            <w:r w:rsidRPr="00175E32">
              <w:rPr>
                <w:szCs w:val="24"/>
              </w:rPr>
              <w:t>тыс.гигакалорий</w:t>
            </w:r>
            <w:proofErr w:type="spellEnd"/>
            <w:proofErr w:type="gramEnd"/>
          </w:p>
        </w:tc>
        <w:tc>
          <w:tcPr>
            <w:tcW w:w="1701" w:type="dxa"/>
            <w:tcBorders>
              <w:top w:val="nil"/>
              <w:left w:val="single" w:sz="4" w:space="0" w:color="auto"/>
              <w:bottom w:val="single" w:sz="4" w:space="0" w:color="auto"/>
              <w:right w:val="single" w:sz="4" w:space="0" w:color="auto"/>
            </w:tcBorders>
            <w:shd w:val="clear" w:color="auto" w:fill="auto"/>
            <w:vAlign w:val="center"/>
          </w:tcPr>
          <w:p w14:paraId="506CD948" w14:textId="77777777" w:rsidR="008B3D58" w:rsidRPr="00175E32" w:rsidRDefault="00A06023" w:rsidP="0048723E">
            <w:pPr>
              <w:ind w:firstLine="0"/>
              <w:jc w:val="center"/>
              <w:rPr>
                <w:szCs w:val="24"/>
              </w:rPr>
            </w:pPr>
            <w:r w:rsidRPr="00175E32">
              <w:rPr>
                <w:szCs w:val="24"/>
              </w:rPr>
              <w:t>13 435,0</w:t>
            </w:r>
          </w:p>
        </w:tc>
        <w:tc>
          <w:tcPr>
            <w:tcW w:w="1701" w:type="dxa"/>
            <w:tcBorders>
              <w:top w:val="nil"/>
              <w:left w:val="nil"/>
              <w:bottom w:val="single" w:sz="4" w:space="0" w:color="auto"/>
              <w:right w:val="single" w:sz="4" w:space="0" w:color="auto"/>
            </w:tcBorders>
            <w:shd w:val="clear" w:color="auto" w:fill="auto"/>
            <w:vAlign w:val="center"/>
          </w:tcPr>
          <w:p w14:paraId="7AD874F2" w14:textId="77777777" w:rsidR="008B3D58" w:rsidRPr="00175E32" w:rsidRDefault="00A06023" w:rsidP="0048723E">
            <w:pPr>
              <w:ind w:firstLine="0"/>
              <w:jc w:val="center"/>
              <w:rPr>
                <w:szCs w:val="24"/>
              </w:rPr>
            </w:pPr>
            <w:r w:rsidRPr="00175E32">
              <w:rPr>
                <w:szCs w:val="24"/>
              </w:rPr>
              <w:t>13 776,0</w:t>
            </w:r>
          </w:p>
        </w:tc>
        <w:tc>
          <w:tcPr>
            <w:tcW w:w="1559" w:type="dxa"/>
            <w:tcBorders>
              <w:top w:val="single" w:sz="4" w:space="0" w:color="000000"/>
              <w:left w:val="single" w:sz="4" w:space="0" w:color="000000"/>
              <w:bottom w:val="single" w:sz="4" w:space="0" w:color="000000"/>
              <w:right w:val="single" w:sz="4" w:space="0" w:color="000000"/>
            </w:tcBorders>
            <w:vAlign w:val="center"/>
          </w:tcPr>
          <w:p w14:paraId="5D0B674A" w14:textId="77777777" w:rsidR="008B3D58" w:rsidRPr="00175E32" w:rsidRDefault="009C730D" w:rsidP="0048723E">
            <w:pPr>
              <w:snapToGrid w:val="0"/>
              <w:ind w:firstLine="0"/>
              <w:jc w:val="center"/>
              <w:rPr>
                <w:szCs w:val="24"/>
              </w:rPr>
            </w:pPr>
            <w:r w:rsidRPr="00175E32">
              <w:rPr>
                <w:szCs w:val="24"/>
              </w:rPr>
              <w:t>13 318,0</w:t>
            </w:r>
          </w:p>
        </w:tc>
      </w:tr>
      <w:tr w:rsidR="008B3D58" w:rsidRPr="00175E32" w14:paraId="24548BB7" w14:textId="77777777" w:rsidTr="008B3D58">
        <w:trPr>
          <w:trHeight w:val="481"/>
          <w:tblHeader/>
        </w:trPr>
        <w:tc>
          <w:tcPr>
            <w:tcW w:w="3283" w:type="dxa"/>
            <w:tcBorders>
              <w:top w:val="single" w:sz="4" w:space="0" w:color="000000"/>
              <w:left w:val="single" w:sz="4" w:space="0" w:color="000000"/>
              <w:bottom w:val="single" w:sz="4" w:space="0" w:color="000000"/>
            </w:tcBorders>
            <w:vAlign w:val="center"/>
          </w:tcPr>
          <w:p w14:paraId="5702E5A1" w14:textId="77777777" w:rsidR="008B3D58" w:rsidRPr="00175E32" w:rsidRDefault="008B3D58" w:rsidP="0048723E">
            <w:pPr>
              <w:snapToGrid w:val="0"/>
              <w:ind w:firstLine="0"/>
              <w:rPr>
                <w:szCs w:val="24"/>
              </w:rPr>
            </w:pPr>
            <w:r w:rsidRPr="00175E32">
              <w:rPr>
                <w:szCs w:val="24"/>
              </w:rPr>
              <w:t>Изделия колбасные, в том числе для детского питания</w:t>
            </w:r>
          </w:p>
        </w:tc>
        <w:tc>
          <w:tcPr>
            <w:tcW w:w="1134" w:type="dxa"/>
            <w:tcBorders>
              <w:top w:val="single" w:sz="4" w:space="0" w:color="000000"/>
              <w:left w:val="single" w:sz="4" w:space="0" w:color="000000"/>
              <w:bottom w:val="single" w:sz="4" w:space="0" w:color="000000"/>
            </w:tcBorders>
          </w:tcPr>
          <w:p w14:paraId="253041F5" w14:textId="77777777" w:rsidR="008B3D58" w:rsidRPr="00175E32" w:rsidRDefault="008B3D58" w:rsidP="0048723E">
            <w:pPr>
              <w:snapToGrid w:val="0"/>
              <w:ind w:firstLine="0"/>
              <w:jc w:val="center"/>
              <w:rPr>
                <w:szCs w:val="24"/>
              </w:rPr>
            </w:pPr>
            <w:r w:rsidRPr="00175E32">
              <w:rPr>
                <w:szCs w:val="24"/>
              </w:rPr>
              <w:t>тыс. тонн</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75F2022" w14:textId="77777777" w:rsidR="008B3D58" w:rsidRPr="00175E32" w:rsidRDefault="00A06023" w:rsidP="0048723E">
            <w:pPr>
              <w:suppressAutoHyphens w:val="0"/>
              <w:ind w:firstLine="0"/>
              <w:jc w:val="center"/>
              <w:rPr>
                <w:szCs w:val="24"/>
                <w:lang w:eastAsia="ru-RU"/>
              </w:rPr>
            </w:pPr>
            <w:r w:rsidRPr="00175E32">
              <w:rPr>
                <w:szCs w:val="24"/>
                <w:lang w:eastAsia="ru-RU"/>
              </w:rPr>
              <w:t>30,3</w:t>
            </w:r>
          </w:p>
        </w:tc>
        <w:tc>
          <w:tcPr>
            <w:tcW w:w="1701" w:type="dxa"/>
            <w:tcBorders>
              <w:top w:val="single" w:sz="4" w:space="0" w:color="auto"/>
              <w:left w:val="nil"/>
              <w:bottom w:val="single" w:sz="4" w:space="0" w:color="auto"/>
              <w:right w:val="single" w:sz="4" w:space="0" w:color="auto"/>
            </w:tcBorders>
            <w:shd w:val="clear" w:color="auto" w:fill="auto"/>
            <w:vAlign w:val="center"/>
          </w:tcPr>
          <w:p w14:paraId="276080CF" w14:textId="77777777" w:rsidR="008B3D58" w:rsidRPr="00175E32" w:rsidRDefault="00A06023" w:rsidP="0048723E">
            <w:pPr>
              <w:ind w:firstLine="0"/>
              <w:jc w:val="center"/>
              <w:rPr>
                <w:szCs w:val="24"/>
              </w:rPr>
            </w:pPr>
            <w:r w:rsidRPr="00175E32">
              <w:rPr>
                <w:szCs w:val="24"/>
              </w:rPr>
              <w:t>31,0</w:t>
            </w:r>
          </w:p>
        </w:tc>
        <w:tc>
          <w:tcPr>
            <w:tcW w:w="1559" w:type="dxa"/>
            <w:tcBorders>
              <w:top w:val="single" w:sz="4" w:space="0" w:color="000000"/>
              <w:left w:val="single" w:sz="4" w:space="0" w:color="000000"/>
              <w:bottom w:val="single" w:sz="4" w:space="0" w:color="000000"/>
              <w:right w:val="single" w:sz="4" w:space="0" w:color="000000"/>
            </w:tcBorders>
            <w:vAlign w:val="center"/>
          </w:tcPr>
          <w:p w14:paraId="3C3A517A" w14:textId="77777777" w:rsidR="008B3D58" w:rsidRPr="00175E32" w:rsidRDefault="009C730D" w:rsidP="0048723E">
            <w:pPr>
              <w:snapToGrid w:val="0"/>
              <w:ind w:firstLine="0"/>
              <w:jc w:val="center"/>
              <w:rPr>
                <w:szCs w:val="24"/>
              </w:rPr>
            </w:pPr>
            <w:r w:rsidRPr="00175E32">
              <w:rPr>
                <w:szCs w:val="24"/>
              </w:rPr>
              <w:t>34,0</w:t>
            </w:r>
          </w:p>
        </w:tc>
      </w:tr>
      <w:tr w:rsidR="008B3D58" w:rsidRPr="00175E32" w14:paraId="5AFBAC17" w14:textId="77777777" w:rsidTr="008B3D58">
        <w:trPr>
          <w:trHeight w:val="481"/>
        </w:trPr>
        <w:tc>
          <w:tcPr>
            <w:tcW w:w="3283" w:type="dxa"/>
            <w:tcBorders>
              <w:top w:val="single" w:sz="4" w:space="0" w:color="000000"/>
              <w:left w:val="single" w:sz="4" w:space="0" w:color="000000"/>
              <w:bottom w:val="single" w:sz="4" w:space="0" w:color="000000"/>
            </w:tcBorders>
            <w:vAlign w:val="center"/>
          </w:tcPr>
          <w:p w14:paraId="5A80AF84" w14:textId="77777777" w:rsidR="008B3D58" w:rsidRPr="00175E32" w:rsidRDefault="008B3D58" w:rsidP="0048723E">
            <w:pPr>
              <w:snapToGrid w:val="0"/>
              <w:ind w:firstLine="0"/>
              <w:rPr>
                <w:szCs w:val="24"/>
              </w:rPr>
            </w:pPr>
            <w:r w:rsidRPr="00175E32">
              <w:rPr>
                <w:szCs w:val="24"/>
              </w:rPr>
              <w:t>Полуфабрикаты мясные</w:t>
            </w:r>
            <w:r w:rsidR="009C730D" w:rsidRPr="00175E32">
              <w:rPr>
                <w:szCs w:val="24"/>
              </w:rPr>
              <w:t xml:space="preserve">, </w:t>
            </w:r>
            <w:proofErr w:type="spellStart"/>
            <w:r w:rsidR="009C730D" w:rsidRPr="00175E32">
              <w:rPr>
                <w:szCs w:val="24"/>
              </w:rPr>
              <w:t>мясосодержащие</w:t>
            </w:r>
            <w:proofErr w:type="spellEnd"/>
            <w:r w:rsidR="009C730D" w:rsidRPr="00175E32">
              <w:rPr>
                <w:szCs w:val="24"/>
              </w:rPr>
              <w:t>, охлажденные, замороженные</w:t>
            </w:r>
          </w:p>
        </w:tc>
        <w:tc>
          <w:tcPr>
            <w:tcW w:w="1134" w:type="dxa"/>
            <w:tcBorders>
              <w:top w:val="single" w:sz="4" w:space="0" w:color="000000"/>
              <w:left w:val="single" w:sz="4" w:space="0" w:color="000000"/>
              <w:bottom w:val="single" w:sz="4" w:space="0" w:color="000000"/>
            </w:tcBorders>
          </w:tcPr>
          <w:p w14:paraId="15DA3219" w14:textId="77777777" w:rsidR="008B3D58" w:rsidRPr="00175E32" w:rsidRDefault="008B3D58" w:rsidP="0048723E">
            <w:pPr>
              <w:snapToGrid w:val="0"/>
              <w:ind w:firstLine="0"/>
              <w:jc w:val="center"/>
              <w:rPr>
                <w:szCs w:val="24"/>
              </w:rPr>
            </w:pPr>
            <w:r w:rsidRPr="00175E32">
              <w:rPr>
                <w:szCs w:val="24"/>
              </w:rPr>
              <w:t>тыс.</w:t>
            </w:r>
            <w:r w:rsidR="00851BDF">
              <w:rPr>
                <w:szCs w:val="24"/>
              </w:rPr>
              <w:t xml:space="preserve"> </w:t>
            </w:r>
            <w:r w:rsidRPr="00175E32">
              <w:rPr>
                <w:szCs w:val="24"/>
              </w:rPr>
              <w:t>тонн</w:t>
            </w:r>
          </w:p>
        </w:tc>
        <w:tc>
          <w:tcPr>
            <w:tcW w:w="1701" w:type="dxa"/>
            <w:tcBorders>
              <w:top w:val="nil"/>
              <w:left w:val="single" w:sz="4" w:space="0" w:color="auto"/>
              <w:bottom w:val="single" w:sz="4" w:space="0" w:color="auto"/>
              <w:right w:val="single" w:sz="4" w:space="0" w:color="auto"/>
            </w:tcBorders>
            <w:shd w:val="clear" w:color="auto" w:fill="auto"/>
            <w:vAlign w:val="center"/>
          </w:tcPr>
          <w:p w14:paraId="6EC0A612" w14:textId="77777777" w:rsidR="008B3D58" w:rsidRPr="00175E32" w:rsidRDefault="00A06023" w:rsidP="0048723E">
            <w:pPr>
              <w:ind w:firstLine="0"/>
              <w:jc w:val="center"/>
              <w:rPr>
                <w:szCs w:val="24"/>
              </w:rPr>
            </w:pPr>
            <w:r w:rsidRPr="00175E32">
              <w:rPr>
                <w:szCs w:val="24"/>
              </w:rPr>
              <w:t>7,4</w:t>
            </w:r>
          </w:p>
        </w:tc>
        <w:tc>
          <w:tcPr>
            <w:tcW w:w="1701" w:type="dxa"/>
            <w:tcBorders>
              <w:top w:val="nil"/>
              <w:left w:val="nil"/>
              <w:bottom w:val="single" w:sz="4" w:space="0" w:color="auto"/>
              <w:right w:val="single" w:sz="4" w:space="0" w:color="auto"/>
            </w:tcBorders>
            <w:shd w:val="clear" w:color="auto" w:fill="auto"/>
            <w:vAlign w:val="center"/>
          </w:tcPr>
          <w:p w14:paraId="6FAFFB32" w14:textId="77777777" w:rsidR="008B3D58" w:rsidRPr="00175E32" w:rsidRDefault="00A06023" w:rsidP="0048723E">
            <w:pPr>
              <w:ind w:firstLine="0"/>
              <w:jc w:val="center"/>
              <w:rPr>
                <w:szCs w:val="24"/>
              </w:rPr>
            </w:pPr>
            <w:r w:rsidRPr="00175E32">
              <w:rPr>
                <w:szCs w:val="24"/>
              </w:rPr>
              <w:t>7,5</w:t>
            </w:r>
          </w:p>
        </w:tc>
        <w:tc>
          <w:tcPr>
            <w:tcW w:w="1559" w:type="dxa"/>
            <w:tcBorders>
              <w:top w:val="single" w:sz="4" w:space="0" w:color="000000"/>
              <w:left w:val="single" w:sz="4" w:space="0" w:color="000000"/>
              <w:bottom w:val="single" w:sz="4" w:space="0" w:color="000000"/>
              <w:right w:val="single" w:sz="4" w:space="0" w:color="000000"/>
            </w:tcBorders>
            <w:vAlign w:val="center"/>
          </w:tcPr>
          <w:p w14:paraId="4D449457" w14:textId="77777777" w:rsidR="008B3D58" w:rsidRPr="00175E32" w:rsidRDefault="009C730D" w:rsidP="0048723E">
            <w:pPr>
              <w:snapToGrid w:val="0"/>
              <w:ind w:firstLine="0"/>
              <w:jc w:val="center"/>
              <w:rPr>
                <w:szCs w:val="24"/>
              </w:rPr>
            </w:pPr>
            <w:r w:rsidRPr="00175E32">
              <w:rPr>
                <w:szCs w:val="24"/>
              </w:rPr>
              <w:t>8,3</w:t>
            </w:r>
          </w:p>
        </w:tc>
      </w:tr>
      <w:tr w:rsidR="008B3D58" w:rsidRPr="00175E32" w14:paraId="08405FBD" w14:textId="77777777" w:rsidTr="008B3D58">
        <w:trPr>
          <w:trHeight w:val="481"/>
        </w:trPr>
        <w:tc>
          <w:tcPr>
            <w:tcW w:w="3283" w:type="dxa"/>
            <w:tcBorders>
              <w:top w:val="single" w:sz="4" w:space="0" w:color="000000"/>
              <w:left w:val="single" w:sz="4" w:space="0" w:color="000000"/>
              <w:bottom w:val="single" w:sz="4" w:space="0" w:color="000000"/>
            </w:tcBorders>
            <w:shd w:val="clear" w:color="auto" w:fill="auto"/>
            <w:vAlign w:val="center"/>
          </w:tcPr>
          <w:p w14:paraId="0405CA12" w14:textId="77777777" w:rsidR="008B3D58" w:rsidRPr="00175E32" w:rsidRDefault="008B3D58" w:rsidP="009C730D">
            <w:pPr>
              <w:snapToGrid w:val="0"/>
              <w:ind w:firstLine="0"/>
              <w:jc w:val="left"/>
              <w:rPr>
                <w:szCs w:val="24"/>
              </w:rPr>
            </w:pPr>
            <w:r w:rsidRPr="00175E32">
              <w:rPr>
                <w:szCs w:val="24"/>
              </w:rPr>
              <w:t>Хлеб и хлебобулочные изделия</w:t>
            </w:r>
            <w:r w:rsidR="009C730D" w:rsidRPr="00175E32">
              <w:rPr>
                <w:szCs w:val="24"/>
              </w:rPr>
              <w:t>, включая полуфабрикаты</w:t>
            </w:r>
          </w:p>
        </w:tc>
        <w:tc>
          <w:tcPr>
            <w:tcW w:w="1134" w:type="dxa"/>
            <w:tcBorders>
              <w:top w:val="single" w:sz="4" w:space="0" w:color="000000"/>
              <w:left w:val="single" w:sz="4" w:space="0" w:color="000000"/>
              <w:bottom w:val="single" w:sz="4" w:space="0" w:color="000000"/>
            </w:tcBorders>
            <w:shd w:val="clear" w:color="auto" w:fill="auto"/>
          </w:tcPr>
          <w:p w14:paraId="6D25D49A" w14:textId="77777777" w:rsidR="008B3D58" w:rsidRPr="00175E32" w:rsidRDefault="008B3D58" w:rsidP="0048723E">
            <w:pPr>
              <w:snapToGrid w:val="0"/>
              <w:ind w:firstLine="0"/>
              <w:jc w:val="center"/>
              <w:rPr>
                <w:szCs w:val="24"/>
              </w:rPr>
            </w:pPr>
            <w:r w:rsidRPr="00175E32">
              <w:rPr>
                <w:szCs w:val="24"/>
              </w:rPr>
              <w:t>тыс.</w:t>
            </w:r>
            <w:r w:rsidR="00851BDF">
              <w:rPr>
                <w:szCs w:val="24"/>
              </w:rPr>
              <w:t xml:space="preserve"> </w:t>
            </w:r>
            <w:r w:rsidRPr="00175E32">
              <w:rPr>
                <w:szCs w:val="24"/>
              </w:rPr>
              <w:t>тонн</w:t>
            </w:r>
          </w:p>
        </w:tc>
        <w:tc>
          <w:tcPr>
            <w:tcW w:w="1701" w:type="dxa"/>
            <w:tcBorders>
              <w:top w:val="nil"/>
              <w:left w:val="single" w:sz="4" w:space="0" w:color="auto"/>
              <w:bottom w:val="single" w:sz="4" w:space="0" w:color="auto"/>
              <w:right w:val="single" w:sz="4" w:space="0" w:color="auto"/>
            </w:tcBorders>
            <w:shd w:val="clear" w:color="auto" w:fill="auto"/>
            <w:vAlign w:val="center"/>
          </w:tcPr>
          <w:p w14:paraId="5F59FD66" w14:textId="77777777" w:rsidR="008B3D58" w:rsidRPr="00175E32" w:rsidRDefault="00A06023" w:rsidP="0048723E">
            <w:pPr>
              <w:ind w:firstLine="0"/>
              <w:jc w:val="center"/>
              <w:rPr>
                <w:szCs w:val="24"/>
              </w:rPr>
            </w:pPr>
            <w:r w:rsidRPr="00175E32">
              <w:rPr>
                <w:szCs w:val="24"/>
              </w:rPr>
              <w:t>28,2</w:t>
            </w:r>
          </w:p>
        </w:tc>
        <w:tc>
          <w:tcPr>
            <w:tcW w:w="1701" w:type="dxa"/>
            <w:tcBorders>
              <w:top w:val="nil"/>
              <w:left w:val="nil"/>
              <w:bottom w:val="single" w:sz="4" w:space="0" w:color="auto"/>
              <w:right w:val="single" w:sz="4" w:space="0" w:color="auto"/>
            </w:tcBorders>
            <w:shd w:val="clear" w:color="auto" w:fill="auto"/>
            <w:vAlign w:val="center"/>
          </w:tcPr>
          <w:p w14:paraId="1A5B09CC" w14:textId="77777777" w:rsidR="008B3D58" w:rsidRPr="00175E32" w:rsidRDefault="00A06023" w:rsidP="0048723E">
            <w:pPr>
              <w:ind w:firstLine="0"/>
              <w:jc w:val="center"/>
              <w:rPr>
                <w:szCs w:val="24"/>
              </w:rPr>
            </w:pPr>
            <w:r w:rsidRPr="00175E32">
              <w:rPr>
                <w:szCs w:val="24"/>
              </w:rPr>
              <w:t>29,6</w:t>
            </w:r>
          </w:p>
        </w:tc>
        <w:tc>
          <w:tcPr>
            <w:tcW w:w="1559" w:type="dxa"/>
            <w:tcBorders>
              <w:top w:val="single" w:sz="4" w:space="0" w:color="000000"/>
              <w:left w:val="single" w:sz="4" w:space="0" w:color="000000"/>
              <w:bottom w:val="single" w:sz="4" w:space="0" w:color="000000"/>
              <w:right w:val="single" w:sz="4" w:space="0" w:color="000000"/>
            </w:tcBorders>
            <w:vAlign w:val="center"/>
          </w:tcPr>
          <w:p w14:paraId="3193A57C" w14:textId="77777777" w:rsidR="008B3D58" w:rsidRPr="00175E32" w:rsidRDefault="009C730D" w:rsidP="0048723E">
            <w:pPr>
              <w:snapToGrid w:val="0"/>
              <w:ind w:firstLine="0"/>
              <w:jc w:val="center"/>
              <w:rPr>
                <w:szCs w:val="24"/>
              </w:rPr>
            </w:pPr>
            <w:r w:rsidRPr="00175E32">
              <w:rPr>
                <w:szCs w:val="24"/>
              </w:rPr>
              <w:t>28,7</w:t>
            </w:r>
          </w:p>
        </w:tc>
      </w:tr>
      <w:tr w:rsidR="008B3D58" w:rsidRPr="00175E32" w14:paraId="635A08D4" w14:textId="77777777" w:rsidTr="008B3D58">
        <w:trPr>
          <w:trHeight w:val="481"/>
        </w:trPr>
        <w:tc>
          <w:tcPr>
            <w:tcW w:w="3283" w:type="dxa"/>
            <w:tcBorders>
              <w:top w:val="single" w:sz="4" w:space="0" w:color="000000"/>
              <w:left w:val="single" w:sz="4" w:space="0" w:color="000000"/>
              <w:bottom w:val="single" w:sz="4" w:space="0" w:color="000000"/>
            </w:tcBorders>
            <w:shd w:val="clear" w:color="auto" w:fill="auto"/>
            <w:vAlign w:val="center"/>
          </w:tcPr>
          <w:p w14:paraId="28A59966" w14:textId="77777777" w:rsidR="008B3D58" w:rsidRPr="00175E32" w:rsidRDefault="008B3D58" w:rsidP="0048723E">
            <w:pPr>
              <w:snapToGrid w:val="0"/>
              <w:ind w:firstLine="0"/>
              <w:rPr>
                <w:szCs w:val="24"/>
              </w:rPr>
            </w:pPr>
            <w:r w:rsidRPr="00175E32">
              <w:rPr>
                <w:szCs w:val="24"/>
              </w:rPr>
              <w:t>Кондитерские изделия</w:t>
            </w:r>
          </w:p>
        </w:tc>
        <w:tc>
          <w:tcPr>
            <w:tcW w:w="1134" w:type="dxa"/>
            <w:tcBorders>
              <w:top w:val="single" w:sz="4" w:space="0" w:color="000000"/>
              <w:left w:val="single" w:sz="4" w:space="0" w:color="000000"/>
              <w:bottom w:val="single" w:sz="4" w:space="0" w:color="000000"/>
            </w:tcBorders>
            <w:shd w:val="clear" w:color="auto" w:fill="auto"/>
          </w:tcPr>
          <w:p w14:paraId="73FA9952" w14:textId="77777777" w:rsidR="008B3D58" w:rsidRPr="00175E32" w:rsidRDefault="008B3D58" w:rsidP="0048723E">
            <w:pPr>
              <w:snapToGrid w:val="0"/>
              <w:ind w:firstLine="0"/>
              <w:jc w:val="center"/>
              <w:rPr>
                <w:szCs w:val="24"/>
              </w:rPr>
            </w:pPr>
            <w:r w:rsidRPr="00175E32">
              <w:rPr>
                <w:szCs w:val="24"/>
              </w:rPr>
              <w:t>тыс.</w:t>
            </w:r>
            <w:r w:rsidR="00851BDF">
              <w:rPr>
                <w:szCs w:val="24"/>
              </w:rPr>
              <w:t xml:space="preserve"> </w:t>
            </w:r>
            <w:r w:rsidRPr="00175E32">
              <w:rPr>
                <w:szCs w:val="24"/>
              </w:rPr>
              <w:t>тонн</w:t>
            </w:r>
          </w:p>
        </w:tc>
        <w:tc>
          <w:tcPr>
            <w:tcW w:w="1701" w:type="dxa"/>
            <w:tcBorders>
              <w:top w:val="nil"/>
              <w:left w:val="single" w:sz="4" w:space="0" w:color="auto"/>
              <w:bottom w:val="single" w:sz="4" w:space="0" w:color="auto"/>
              <w:right w:val="single" w:sz="4" w:space="0" w:color="auto"/>
            </w:tcBorders>
            <w:shd w:val="clear" w:color="auto" w:fill="auto"/>
            <w:vAlign w:val="center"/>
          </w:tcPr>
          <w:p w14:paraId="6FD8D2A0" w14:textId="77777777" w:rsidR="008B3D58" w:rsidRPr="00175E32" w:rsidRDefault="00A06023" w:rsidP="0048723E">
            <w:pPr>
              <w:ind w:firstLine="0"/>
              <w:jc w:val="center"/>
              <w:rPr>
                <w:szCs w:val="24"/>
              </w:rPr>
            </w:pPr>
            <w:r w:rsidRPr="00175E32">
              <w:rPr>
                <w:szCs w:val="24"/>
              </w:rPr>
              <w:t>7,2</w:t>
            </w:r>
          </w:p>
        </w:tc>
        <w:tc>
          <w:tcPr>
            <w:tcW w:w="1701" w:type="dxa"/>
            <w:tcBorders>
              <w:top w:val="nil"/>
              <w:left w:val="nil"/>
              <w:bottom w:val="single" w:sz="4" w:space="0" w:color="auto"/>
              <w:right w:val="single" w:sz="4" w:space="0" w:color="auto"/>
            </w:tcBorders>
            <w:shd w:val="clear" w:color="auto" w:fill="auto"/>
            <w:vAlign w:val="center"/>
          </w:tcPr>
          <w:p w14:paraId="6C153D6E" w14:textId="77777777" w:rsidR="008B3D58" w:rsidRPr="00175E32" w:rsidRDefault="00A06023" w:rsidP="0048723E">
            <w:pPr>
              <w:ind w:firstLine="0"/>
              <w:jc w:val="center"/>
              <w:rPr>
                <w:szCs w:val="24"/>
              </w:rPr>
            </w:pPr>
            <w:r w:rsidRPr="00175E32">
              <w:rPr>
                <w:szCs w:val="24"/>
              </w:rPr>
              <w:t>7,5</w:t>
            </w:r>
          </w:p>
        </w:tc>
        <w:tc>
          <w:tcPr>
            <w:tcW w:w="1559" w:type="dxa"/>
            <w:tcBorders>
              <w:top w:val="single" w:sz="4" w:space="0" w:color="000000"/>
              <w:left w:val="single" w:sz="4" w:space="0" w:color="000000"/>
              <w:bottom w:val="single" w:sz="4" w:space="0" w:color="000000"/>
              <w:right w:val="single" w:sz="4" w:space="0" w:color="000000"/>
            </w:tcBorders>
            <w:vAlign w:val="center"/>
          </w:tcPr>
          <w:p w14:paraId="05E2A82A" w14:textId="77777777" w:rsidR="008B3D58" w:rsidRPr="00175E32" w:rsidRDefault="009C730D" w:rsidP="0048723E">
            <w:pPr>
              <w:snapToGrid w:val="0"/>
              <w:ind w:firstLine="0"/>
              <w:jc w:val="center"/>
              <w:rPr>
                <w:szCs w:val="24"/>
              </w:rPr>
            </w:pPr>
            <w:r w:rsidRPr="00175E32">
              <w:rPr>
                <w:szCs w:val="24"/>
              </w:rPr>
              <w:t>9,3</w:t>
            </w:r>
          </w:p>
        </w:tc>
      </w:tr>
    </w:tbl>
    <w:p w14:paraId="1011A85A" w14:textId="77777777" w:rsidR="00742686" w:rsidRPr="00175E32" w:rsidRDefault="00742686" w:rsidP="00261A6E">
      <w:pPr>
        <w:spacing w:line="276" w:lineRule="auto"/>
        <w:rPr>
          <w:szCs w:val="24"/>
        </w:rPr>
      </w:pPr>
    </w:p>
    <w:p w14:paraId="1074376D" w14:textId="77777777" w:rsidR="00021F14" w:rsidRPr="00175E32" w:rsidRDefault="002F1CCE" w:rsidP="001B16BB">
      <w:pPr>
        <w:spacing w:line="276" w:lineRule="auto"/>
        <w:rPr>
          <w:szCs w:val="24"/>
        </w:rPr>
      </w:pPr>
      <w:r w:rsidRPr="00175E32">
        <w:rPr>
          <w:szCs w:val="24"/>
        </w:rPr>
        <w:lastRenderedPageBreak/>
        <w:t>Значения показателей промышленного сектора экономики на 20</w:t>
      </w:r>
      <w:r w:rsidR="00A06023" w:rsidRPr="00175E32">
        <w:rPr>
          <w:szCs w:val="24"/>
        </w:rPr>
        <w:t>20</w:t>
      </w:r>
      <w:r w:rsidRPr="00175E32">
        <w:rPr>
          <w:szCs w:val="24"/>
        </w:rPr>
        <w:t xml:space="preserve"> год скорректированы относительно прошлогоднего прогноза </w:t>
      </w:r>
      <w:r w:rsidR="00BD6D70" w:rsidRPr="00175E32">
        <w:rPr>
          <w:szCs w:val="24"/>
        </w:rPr>
        <w:t>на основании</w:t>
      </w:r>
      <w:r w:rsidRPr="00175E32">
        <w:rPr>
          <w:szCs w:val="24"/>
        </w:rPr>
        <w:t xml:space="preserve"> сложившейся в текущем году динамики фактических значений показателей. </w:t>
      </w:r>
      <w:r w:rsidR="00A06023" w:rsidRPr="00175E32">
        <w:rPr>
          <w:szCs w:val="24"/>
        </w:rPr>
        <w:t>Практически все показатели</w:t>
      </w:r>
      <w:r w:rsidR="007403FF" w:rsidRPr="00175E32">
        <w:rPr>
          <w:szCs w:val="24"/>
        </w:rPr>
        <w:t xml:space="preserve"> </w:t>
      </w:r>
      <w:r w:rsidRPr="00175E32">
        <w:rPr>
          <w:szCs w:val="24"/>
        </w:rPr>
        <w:t xml:space="preserve">скорректированы </w:t>
      </w:r>
      <w:r w:rsidR="00021F14" w:rsidRPr="00175E32">
        <w:rPr>
          <w:szCs w:val="24"/>
        </w:rPr>
        <w:t>в сторону снижения</w:t>
      </w:r>
      <w:r w:rsidR="00A06023" w:rsidRPr="00175E32">
        <w:rPr>
          <w:szCs w:val="24"/>
        </w:rPr>
        <w:t xml:space="preserve">, более </w:t>
      </w:r>
      <w:r w:rsidR="00923023" w:rsidRPr="00175E32">
        <w:rPr>
          <w:szCs w:val="24"/>
        </w:rPr>
        <w:t>всего –</w:t>
      </w:r>
      <w:r w:rsidR="00A06023" w:rsidRPr="00175E32">
        <w:rPr>
          <w:szCs w:val="24"/>
        </w:rPr>
        <w:t xml:space="preserve"> </w:t>
      </w:r>
      <w:r w:rsidR="00D57AA5" w:rsidRPr="00175E32">
        <w:rPr>
          <w:szCs w:val="24"/>
        </w:rPr>
        <w:t>в обрабатывающем секторе</w:t>
      </w:r>
      <w:r w:rsidR="00021F14" w:rsidRPr="00175E32">
        <w:rPr>
          <w:szCs w:val="24"/>
        </w:rPr>
        <w:t xml:space="preserve"> </w:t>
      </w:r>
      <w:r w:rsidRPr="00175E32">
        <w:rPr>
          <w:szCs w:val="24"/>
        </w:rPr>
        <w:t xml:space="preserve">ввиду </w:t>
      </w:r>
      <w:r w:rsidR="00A06023" w:rsidRPr="00175E32">
        <w:rPr>
          <w:szCs w:val="24"/>
        </w:rPr>
        <w:t xml:space="preserve">значительного сокращения производства в текущем году. Исключением является производство пищевой продукции, которое выросло в 1 полугодии 2020 </w:t>
      </w:r>
      <w:r w:rsidR="00923023" w:rsidRPr="00175E32">
        <w:rPr>
          <w:szCs w:val="24"/>
        </w:rPr>
        <w:t>года на</w:t>
      </w:r>
      <w:r w:rsidR="00A06023" w:rsidRPr="00175E32">
        <w:rPr>
          <w:szCs w:val="24"/>
        </w:rPr>
        <w:t xml:space="preserve"> 24,7% к соответствующему периоду прошлого года</w:t>
      </w:r>
      <w:r w:rsidR="00D57AA5" w:rsidRPr="00175E32">
        <w:rPr>
          <w:szCs w:val="24"/>
        </w:rPr>
        <w:t>.</w:t>
      </w:r>
    </w:p>
    <w:p w14:paraId="557F02F3" w14:textId="77777777" w:rsidR="006D5FCF" w:rsidRPr="00175E32" w:rsidRDefault="006D5FCF" w:rsidP="00261A6E">
      <w:pPr>
        <w:pStyle w:val="1f0"/>
        <w:spacing w:line="276" w:lineRule="auto"/>
        <w:ind w:right="-1"/>
        <w:jc w:val="center"/>
        <w:rPr>
          <w:rFonts w:ascii="Times New Roman" w:hAnsi="Times New Roman" w:cs="Times New Roman"/>
          <w:b/>
          <w:szCs w:val="24"/>
        </w:rPr>
      </w:pPr>
    </w:p>
    <w:p w14:paraId="04A10085" w14:textId="77777777" w:rsidR="006D5FCF" w:rsidRPr="00175E32" w:rsidRDefault="006D5FCF" w:rsidP="0048723E">
      <w:pPr>
        <w:pStyle w:val="3"/>
      </w:pPr>
      <w:r w:rsidRPr="00175E32">
        <w:t>Малое и среднее предпринимательство</w:t>
      </w:r>
      <w:bookmarkStart w:id="1" w:name="пред"/>
      <w:bookmarkEnd w:id="1"/>
    </w:p>
    <w:p w14:paraId="2F9D926F" w14:textId="77777777" w:rsidR="006D5FCF" w:rsidRPr="00175E32" w:rsidRDefault="006D5FCF" w:rsidP="00261A6E">
      <w:pPr>
        <w:pStyle w:val="1f0"/>
        <w:spacing w:line="276" w:lineRule="auto"/>
        <w:ind w:right="-1"/>
        <w:jc w:val="center"/>
        <w:rPr>
          <w:rFonts w:ascii="Times New Roman" w:hAnsi="Times New Roman" w:cs="Times New Roman"/>
          <w:b/>
          <w:szCs w:val="24"/>
        </w:rPr>
      </w:pPr>
    </w:p>
    <w:p w14:paraId="4B0774EE" w14:textId="77777777" w:rsidR="006B267A" w:rsidRPr="00175E32" w:rsidRDefault="006D5FCF" w:rsidP="007103B4">
      <w:pPr>
        <w:spacing w:line="276" w:lineRule="auto"/>
        <w:rPr>
          <w:szCs w:val="24"/>
        </w:rPr>
      </w:pPr>
      <w:r w:rsidRPr="00175E32">
        <w:rPr>
          <w:szCs w:val="24"/>
        </w:rPr>
        <w:t xml:space="preserve">Сведения о количестве субъектов малого и среднего предпринимательства </w:t>
      </w:r>
      <w:r w:rsidR="00792023" w:rsidRPr="00175E32">
        <w:rPr>
          <w:szCs w:val="24"/>
        </w:rPr>
        <w:t xml:space="preserve">(далее </w:t>
      </w:r>
      <w:r w:rsidR="0078642D" w:rsidRPr="00175E32">
        <w:rPr>
          <w:szCs w:val="24"/>
        </w:rPr>
        <w:t xml:space="preserve">по разделу </w:t>
      </w:r>
      <w:r w:rsidR="00792023" w:rsidRPr="00175E32">
        <w:rPr>
          <w:szCs w:val="24"/>
        </w:rPr>
        <w:t xml:space="preserve">– СМСП) </w:t>
      </w:r>
      <w:r w:rsidRPr="00175E32">
        <w:rPr>
          <w:szCs w:val="24"/>
        </w:rPr>
        <w:t>в городском округе Тольятти получены на основании данных, содержащихся в Едином реестре субъектов малого и среднего предпринимательства (далее по разделу – Реестр</w:t>
      </w:r>
      <w:r w:rsidR="00851BDF">
        <w:rPr>
          <w:szCs w:val="24"/>
        </w:rPr>
        <w:t xml:space="preserve"> СМСП</w:t>
      </w:r>
      <w:r w:rsidRPr="00175E32">
        <w:rPr>
          <w:szCs w:val="24"/>
        </w:rPr>
        <w:t>)</w:t>
      </w:r>
      <w:r w:rsidR="00792023" w:rsidRPr="00175E32">
        <w:rPr>
          <w:szCs w:val="24"/>
        </w:rPr>
        <w:t>, в свободном доступе в сети «Интернет» на сайте ФНС России</w:t>
      </w:r>
      <w:r w:rsidRPr="00175E32">
        <w:rPr>
          <w:szCs w:val="24"/>
        </w:rPr>
        <w:t>.</w:t>
      </w:r>
      <w:r w:rsidR="00792023" w:rsidRPr="00175E32">
        <w:rPr>
          <w:szCs w:val="24"/>
        </w:rPr>
        <w:t xml:space="preserve"> </w:t>
      </w:r>
      <w:r w:rsidRPr="00175E32">
        <w:rPr>
          <w:szCs w:val="24"/>
        </w:rPr>
        <w:t>При ведении Реестра</w:t>
      </w:r>
      <w:r w:rsidR="00851BDF">
        <w:rPr>
          <w:szCs w:val="24"/>
        </w:rPr>
        <w:t xml:space="preserve"> СМСП</w:t>
      </w:r>
      <w:r w:rsidRPr="00175E32">
        <w:rPr>
          <w:szCs w:val="24"/>
        </w:rPr>
        <w:t xml:space="preserve"> предусмотрено ежемесячное (10 числа каждого месяца) обновление сведений о </w:t>
      </w:r>
      <w:r w:rsidR="00792023" w:rsidRPr="00175E32">
        <w:rPr>
          <w:szCs w:val="24"/>
        </w:rPr>
        <w:t>СМСП.</w:t>
      </w:r>
      <w:r w:rsidR="00651F5A" w:rsidRPr="00175E32">
        <w:rPr>
          <w:szCs w:val="24"/>
        </w:rPr>
        <w:t xml:space="preserve"> Сведения о принадлежности хозяйствующего субъекта к категории </w:t>
      </w:r>
      <w:r w:rsidR="00742686" w:rsidRPr="00175E32">
        <w:rPr>
          <w:szCs w:val="24"/>
        </w:rPr>
        <w:t>СМСП</w:t>
      </w:r>
      <w:r w:rsidR="00651F5A" w:rsidRPr="00175E32">
        <w:rPr>
          <w:szCs w:val="24"/>
        </w:rPr>
        <w:t xml:space="preserve"> обновляются налоговыми органами ежегодно 10 августа.</w:t>
      </w:r>
    </w:p>
    <w:p w14:paraId="781DA8AC" w14:textId="77777777" w:rsidR="006D5FCF" w:rsidRPr="00175E32" w:rsidRDefault="006D5FCF" w:rsidP="007103B4">
      <w:pPr>
        <w:spacing w:line="276" w:lineRule="auto"/>
        <w:rPr>
          <w:szCs w:val="24"/>
        </w:rPr>
      </w:pPr>
      <w:r w:rsidRPr="00175E32">
        <w:rPr>
          <w:szCs w:val="24"/>
        </w:rPr>
        <w:t xml:space="preserve">Стоит отметить, что Реестр </w:t>
      </w:r>
      <w:r w:rsidR="00851BDF">
        <w:rPr>
          <w:szCs w:val="24"/>
        </w:rPr>
        <w:t xml:space="preserve">СМСП </w:t>
      </w:r>
      <w:r w:rsidRPr="00175E32">
        <w:rPr>
          <w:szCs w:val="24"/>
        </w:rPr>
        <w:t xml:space="preserve">позволяет сформировать достаточно ограниченную информацию и не предусматривает возможность получения </w:t>
      </w:r>
      <w:r w:rsidR="00935A83" w:rsidRPr="00175E32">
        <w:rPr>
          <w:szCs w:val="24"/>
        </w:rPr>
        <w:t xml:space="preserve">в полном объеме </w:t>
      </w:r>
      <w:r w:rsidRPr="00175E32">
        <w:rPr>
          <w:szCs w:val="24"/>
        </w:rPr>
        <w:t>данных о среднесписочной численности и выручке СМСП (обороте СМСП).</w:t>
      </w:r>
    </w:p>
    <w:p w14:paraId="24DCC300" w14:textId="77777777" w:rsidR="00C45261" w:rsidRPr="00175E32" w:rsidRDefault="00935A83" w:rsidP="007103B4">
      <w:pPr>
        <w:spacing w:line="276" w:lineRule="auto"/>
        <w:rPr>
          <w:szCs w:val="24"/>
        </w:rPr>
      </w:pPr>
      <w:r w:rsidRPr="00175E32">
        <w:rPr>
          <w:szCs w:val="24"/>
        </w:rPr>
        <w:t>П</w:t>
      </w:r>
      <w:r w:rsidR="006D5FCF" w:rsidRPr="00175E32">
        <w:rPr>
          <w:szCs w:val="24"/>
        </w:rPr>
        <w:t xml:space="preserve">о данным Реестра, количество СМСП в городском округе Тольятти </w:t>
      </w:r>
      <w:r w:rsidRPr="00175E32">
        <w:rPr>
          <w:szCs w:val="24"/>
        </w:rPr>
        <w:t>за 2019 год</w:t>
      </w:r>
      <w:r w:rsidR="006D5FCF" w:rsidRPr="00175E32">
        <w:rPr>
          <w:szCs w:val="24"/>
        </w:rPr>
        <w:t xml:space="preserve"> (сведения получены 10.0</w:t>
      </w:r>
      <w:r w:rsidR="00792023" w:rsidRPr="00175E32">
        <w:rPr>
          <w:szCs w:val="24"/>
        </w:rPr>
        <w:t>8</w:t>
      </w:r>
      <w:r w:rsidR="006D5FCF" w:rsidRPr="00175E32">
        <w:rPr>
          <w:szCs w:val="24"/>
        </w:rPr>
        <w:t>.20</w:t>
      </w:r>
      <w:r w:rsidRPr="00175E32">
        <w:rPr>
          <w:szCs w:val="24"/>
        </w:rPr>
        <w:t>20</w:t>
      </w:r>
      <w:r w:rsidR="006D5FCF" w:rsidRPr="00175E32">
        <w:rPr>
          <w:szCs w:val="24"/>
        </w:rPr>
        <w:t xml:space="preserve">), составило </w:t>
      </w:r>
      <w:r w:rsidRPr="00175E32">
        <w:rPr>
          <w:szCs w:val="24"/>
        </w:rPr>
        <w:t>31,095</w:t>
      </w:r>
      <w:r w:rsidR="006D5FCF" w:rsidRPr="00175E32">
        <w:rPr>
          <w:szCs w:val="24"/>
        </w:rPr>
        <w:t xml:space="preserve"> тыс. единиц</w:t>
      </w:r>
      <w:r w:rsidR="0030735E" w:rsidRPr="00175E32">
        <w:rPr>
          <w:szCs w:val="24"/>
        </w:rPr>
        <w:t>,</w:t>
      </w:r>
      <w:r w:rsidR="00651F5A" w:rsidRPr="00175E32">
        <w:rPr>
          <w:szCs w:val="24"/>
        </w:rPr>
        <w:t xml:space="preserve"> в том числе: </w:t>
      </w:r>
      <w:r w:rsidR="00633EB2" w:rsidRPr="00175E32">
        <w:rPr>
          <w:szCs w:val="24"/>
        </w:rPr>
        <w:t>17,7</w:t>
      </w:r>
      <w:r w:rsidR="00FC1C3D">
        <w:rPr>
          <w:szCs w:val="24"/>
        </w:rPr>
        <w:t> тыс. </w:t>
      </w:r>
      <w:r w:rsidR="00651F5A" w:rsidRPr="00175E32">
        <w:rPr>
          <w:szCs w:val="24"/>
        </w:rPr>
        <w:t xml:space="preserve">юридических </w:t>
      </w:r>
      <w:r w:rsidR="00923023" w:rsidRPr="00175E32">
        <w:rPr>
          <w:szCs w:val="24"/>
        </w:rPr>
        <w:t>лиц и</w:t>
      </w:r>
      <w:r w:rsidR="00651F5A" w:rsidRPr="00175E32">
        <w:rPr>
          <w:szCs w:val="24"/>
        </w:rPr>
        <w:t xml:space="preserve"> </w:t>
      </w:r>
      <w:r w:rsidR="00633EB2" w:rsidRPr="00175E32">
        <w:rPr>
          <w:szCs w:val="24"/>
        </w:rPr>
        <w:t>13,4</w:t>
      </w:r>
      <w:r w:rsidR="00651F5A" w:rsidRPr="00175E32">
        <w:rPr>
          <w:szCs w:val="24"/>
        </w:rPr>
        <w:t xml:space="preserve"> тыс. физических лиц (индивидуальных предпринимателей).</w:t>
      </w:r>
    </w:p>
    <w:p w14:paraId="44319BDC" w14:textId="77777777" w:rsidR="001340F7" w:rsidRPr="00175E32" w:rsidRDefault="001340F7" w:rsidP="007103B4">
      <w:pPr>
        <w:numPr>
          <w:ilvl w:val="0"/>
          <w:numId w:val="5"/>
        </w:numPr>
        <w:tabs>
          <w:tab w:val="left" w:pos="142"/>
          <w:tab w:val="left" w:pos="9720"/>
        </w:tabs>
        <w:suppressAutoHyphens w:val="0"/>
        <w:spacing w:line="276" w:lineRule="auto"/>
        <w:ind w:left="0" w:firstLine="709"/>
        <w:contextualSpacing/>
        <w:textAlignment w:val="top"/>
        <w:rPr>
          <w:szCs w:val="24"/>
          <w:lang w:eastAsia="ru-RU"/>
        </w:rPr>
      </w:pPr>
      <w:r w:rsidRPr="00175E32">
        <w:rPr>
          <w:szCs w:val="24"/>
          <w:lang w:eastAsia="ru-RU"/>
        </w:rPr>
        <w:t xml:space="preserve">Малый бизнес значительнее всего пострадал в период ограничений, </w:t>
      </w:r>
      <w:r w:rsidR="00851BDF">
        <w:rPr>
          <w:szCs w:val="24"/>
          <w:lang w:eastAsia="ru-RU"/>
        </w:rPr>
        <w:t xml:space="preserve">связанных с пандемией коронавируса, </w:t>
      </w:r>
      <w:r w:rsidRPr="00175E32">
        <w:rPr>
          <w:szCs w:val="24"/>
          <w:lang w:eastAsia="ru-RU"/>
        </w:rPr>
        <w:t>особенно в отраслях, признанных государством наиболее пострадавшими</w:t>
      </w:r>
      <w:r w:rsidR="00633EB2" w:rsidRPr="00175E32">
        <w:rPr>
          <w:szCs w:val="24"/>
          <w:lang w:eastAsia="ru-RU"/>
        </w:rPr>
        <w:t xml:space="preserve"> (туризм, гостиничный бизнес, организации общественного питания и другие)</w:t>
      </w:r>
      <w:r w:rsidRPr="00175E32">
        <w:rPr>
          <w:szCs w:val="24"/>
          <w:lang w:eastAsia="ru-RU"/>
        </w:rPr>
        <w:t>, а это порядка 10 тыс. организаций и индивиду</w:t>
      </w:r>
      <w:r w:rsidR="00FC1C3D">
        <w:rPr>
          <w:szCs w:val="24"/>
          <w:lang w:eastAsia="ru-RU"/>
        </w:rPr>
        <w:t>альных предпринимателей город</w:t>
      </w:r>
      <w:r w:rsidR="00851BDF">
        <w:rPr>
          <w:szCs w:val="24"/>
          <w:lang w:eastAsia="ru-RU"/>
        </w:rPr>
        <w:t>ского округа Тольятти</w:t>
      </w:r>
      <w:r w:rsidR="00FC1C3D">
        <w:rPr>
          <w:szCs w:val="24"/>
          <w:lang w:eastAsia="ru-RU"/>
        </w:rPr>
        <w:t>.</w:t>
      </w:r>
    </w:p>
    <w:p w14:paraId="3E351DFD" w14:textId="77777777" w:rsidR="007103B4" w:rsidRPr="00175E32" w:rsidRDefault="00935A83" w:rsidP="007103B4">
      <w:pPr>
        <w:numPr>
          <w:ilvl w:val="0"/>
          <w:numId w:val="5"/>
        </w:numPr>
        <w:tabs>
          <w:tab w:val="left" w:pos="142"/>
          <w:tab w:val="left" w:pos="9720"/>
        </w:tabs>
        <w:suppressAutoHyphens w:val="0"/>
        <w:spacing w:line="276" w:lineRule="auto"/>
        <w:ind w:left="0" w:firstLine="709"/>
        <w:contextualSpacing/>
        <w:textAlignment w:val="top"/>
        <w:rPr>
          <w:szCs w:val="24"/>
          <w:lang w:eastAsia="ru-RU"/>
        </w:rPr>
      </w:pPr>
      <w:r w:rsidRPr="00175E32">
        <w:rPr>
          <w:szCs w:val="24"/>
          <w:lang w:eastAsia="ru-RU"/>
        </w:rPr>
        <w:t>На основании сложившейся динамики количество СМСП в 2020 году по оценке снизится на 6,2% и составит 29,2 тыс. единиц, что ниже значений,</w:t>
      </w:r>
      <w:r w:rsidR="00EB7B3A" w:rsidRPr="00175E32">
        <w:rPr>
          <w:szCs w:val="24"/>
          <w:lang w:eastAsia="ru-RU"/>
        </w:rPr>
        <w:t xml:space="preserve"> </w:t>
      </w:r>
      <w:r w:rsidRPr="00175E32">
        <w:rPr>
          <w:szCs w:val="24"/>
          <w:lang w:eastAsia="ru-RU"/>
        </w:rPr>
        <w:t>прогнозируемых на 2020 год в предыдущем году.</w:t>
      </w:r>
      <w:r w:rsidR="007103B4" w:rsidRPr="00175E32">
        <w:rPr>
          <w:szCs w:val="24"/>
          <w:lang w:eastAsia="ru-RU"/>
        </w:rPr>
        <w:t xml:space="preserve"> Фактические данные о количестве СМСП за 2020 год буду</w:t>
      </w:r>
      <w:r w:rsidR="00FC1C3D">
        <w:rPr>
          <w:szCs w:val="24"/>
          <w:lang w:eastAsia="ru-RU"/>
        </w:rPr>
        <w:t>т получены в августе 2021 года.</w:t>
      </w:r>
    </w:p>
    <w:p w14:paraId="16CC4F4D" w14:textId="77777777" w:rsidR="00935A83" w:rsidRPr="00175E32" w:rsidRDefault="00935A83" w:rsidP="00651F5A">
      <w:pPr>
        <w:spacing w:line="276" w:lineRule="auto"/>
        <w:rPr>
          <w:szCs w:val="24"/>
        </w:rPr>
      </w:pPr>
    </w:p>
    <w:p w14:paraId="370AEF07" w14:textId="77777777" w:rsidR="00FC1C3D" w:rsidRDefault="00DB5EA3" w:rsidP="00FC1C3D">
      <w:pPr>
        <w:spacing w:line="276" w:lineRule="auto"/>
        <w:ind w:firstLine="0"/>
        <w:jc w:val="center"/>
        <w:rPr>
          <w:szCs w:val="24"/>
        </w:rPr>
      </w:pPr>
      <w:r w:rsidRPr="00175E32">
        <w:rPr>
          <w:szCs w:val="24"/>
        </w:rPr>
        <w:t>Ожидаемое выполнение прогнозного показател</w:t>
      </w:r>
      <w:r w:rsidR="00C45939" w:rsidRPr="00175E32">
        <w:rPr>
          <w:szCs w:val="24"/>
        </w:rPr>
        <w:t>я</w:t>
      </w:r>
      <w:r w:rsidRPr="00175E32">
        <w:rPr>
          <w:szCs w:val="24"/>
        </w:rPr>
        <w:t xml:space="preserve"> </w:t>
      </w:r>
      <w:r w:rsidR="00C45939" w:rsidRPr="00175E32">
        <w:rPr>
          <w:szCs w:val="24"/>
        </w:rPr>
        <w:t xml:space="preserve">по разделу </w:t>
      </w:r>
    </w:p>
    <w:p w14:paraId="39809FE8" w14:textId="77777777" w:rsidR="00DB5EA3" w:rsidRPr="00175E32" w:rsidRDefault="00C45939" w:rsidP="00FC1C3D">
      <w:pPr>
        <w:spacing w:line="276" w:lineRule="auto"/>
        <w:ind w:firstLine="0"/>
        <w:jc w:val="center"/>
        <w:rPr>
          <w:szCs w:val="24"/>
        </w:rPr>
      </w:pPr>
      <w:r w:rsidRPr="00175E32">
        <w:rPr>
          <w:szCs w:val="24"/>
        </w:rPr>
        <w:t>«М</w:t>
      </w:r>
      <w:r w:rsidR="00D26531" w:rsidRPr="00175E32">
        <w:rPr>
          <w:szCs w:val="24"/>
        </w:rPr>
        <w:t>ало</w:t>
      </w:r>
      <w:r w:rsidRPr="00175E32">
        <w:rPr>
          <w:szCs w:val="24"/>
        </w:rPr>
        <w:t>е</w:t>
      </w:r>
      <w:r w:rsidR="00D26531" w:rsidRPr="00175E32">
        <w:rPr>
          <w:szCs w:val="24"/>
        </w:rPr>
        <w:t xml:space="preserve"> и средне</w:t>
      </w:r>
      <w:r w:rsidRPr="00175E32">
        <w:rPr>
          <w:szCs w:val="24"/>
        </w:rPr>
        <w:t>е предпринимательство»</w:t>
      </w:r>
      <w:r w:rsidR="00D26531" w:rsidRPr="00175E32">
        <w:rPr>
          <w:szCs w:val="24"/>
        </w:rPr>
        <w:t xml:space="preserve"> </w:t>
      </w:r>
      <w:r w:rsidR="00DB5EA3" w:rsidRPr="00175E32">
        <w:rPr>
          <w:szCs w:val="24"/>
        </w:rPr>
        <w:t>на 20</w:t>
      </w:r>
      <w:r w:rsidR="00935A83" w:rsidRPr="00175E32">
        <w:rPr>
          <w:szCs w:val="24"/>
        </w:rPr>
        <w:t>20</w:t>
      </w:r>
      <w:r w:rsidR="00DB5EA3" w:rsidRPr="00175E32">
        <w:rPr>
          <w:szCs w:val="24"/>
        </w:rPr>
        <w:t xml:space="preserve"> год</w:t>
      </w:r>
    </w:p>
    <w:p w14:paraId="1683623F" w14:textId="77777777" w:rsidR="00DB5EA3" w:rsidRPr="00175E32" w:rsidRDefault="00DB5EA3" w:rsidP="00DB5EA3">
      <w:pPr>
        <w:spacing w:line="276" w:lineRule="auto"/>
        <w:jc w:val="center"/>
        <w:rPr>
          <w:szCs w:val="24"/>
        </w:rPr>
      </w:pPr>
    </w:p>
    <w:tbl>
      <w:tblPr>
        <w:tblW w:w="9356" w:type="dxa"/>
        <w:tblInd w:w="108" w:type="dxa"/>
        <w:tblLayout w:type="fixed"/>
        <w:tblLook w:val="0000" w:firstRow="0" w:lastRow="0" w:firstColumn="0" w:lastColumn="0" w:noHBand="0" w:noVBand="0"/>
      </w:tblPr>
      <w:tblGrid>
        <w:gridCol w:w="2693"/>
        <w:gridCol w:w="1418"/>
        <w:gridCol w:w="1985"/>
        <w:gridCol w:w="1559"/>
        <w:gridCol w:w="1701"/>
      </w:tblGrid>
      <w:tr w:rsidR="008C5F4E" w:rsidRPr="00175E32" w14:paraId="7CE2F696" w14:textId="77777777" w:rsidTr="00FC1C3D">
        <w:tc>
          <w:tcPr>
            <w:tcW w:w="2693" w:type="dxa"/>
            <w:vMerge w:val="restart"/>
            <w:tcBorders>
              <w:top w:val="single" w:sz="4" w:space="0" w:color="000000"/>
              <w:left w:val="single" w:sz="4" w:space="0" w:color="000000"/>
              <w:bottom w:val="single" w:sz="4" w:space="0" w:color="000000"/>
            </w:tcBorders>
            <w:shd w:val="clear" w:color="auto" w:fill="auto"/>
            <w:vAlign w:val="center"/>
          </w:tcPr>
          <w:p w14:paraId="495CD1FE" w14:textId="77777777" w:rsidR="008C5F4E" w:rsidRPr="00175E32" w:rsidRDefault="008C5F4E" w:rsidP="00FC1C3D">
            <w:pPr>
              <w:snapToGrid w:val="0"/>
              <w:ind w:firstLine="0"/>
              <w:jc w:val="center"/>
              <w:rPr>
                <w:szCs w:val="24"/>
              </w:rPr>
            </w:pPr>
          </w:p>
          <w:p w14:paraId="08F0E594" w14:textId="77777777" w:rsidR="008C5F4E" w:rsidRPr="00175E32" w:rsidRDefault="008C5F4E" w:rsidP="00FC1C3D">
            <w:pPr>
              <w:ind w:firstLine="0"/>
              <w:jc w:val="center"/>
              <w:rPr>
                <w:szCs w:val="24"/>
              </w:rPr>
            </w:pPr>
            <w:r w:rsidRPr="00175E32">
              <w:rPr>
                <w:szCs w:val="24"/>
              </w:rPr>
              <w:t>Показатели</w:t>
            </w:r>
          </w:p>
        </w:tc>
        <w:tc>
          <w:tcPr>
            <w:tcW w:w="1418" w:type="dxa"/>
            <w:vMerge w:val="restart"/>
            <w:tcBorders>
              <w:top w:val="single" w:sz="4" w:space="0" w:color="000000"/>
              <w:left w:val="single" w:sz="4" w:space="0" w:color="000000"/>
              <w:bottom w:val="single" w:sz="4" w:space="0" w:color="000000"/>
            </w:tcBorders>
            <w:shd w:val="clear" w:color="auto" w:fill="auto"/>
            <w:vAlign w:val="center"/>
          </w:tcPr>
          <w:p w14:paraId="1CA40C40" w14:textId="77777777" w:rsidR="008C5F4E" w:rsidRPr="00175E32" w:rsidRDefault="008C5F4E" w:rsidP="00FC1C3D">
            <w:pPr>
              <w:ind w:firstLine="0"/>
              <w:jc w:val="center"/>
              <w:rPr>
                <w:szCs w:val="24"/>
              </w:rPr>
            </w:pPr>
            <w:r w:rsidRPr="00175E32">
              <w:rPr>
                <w:szCs w:val="24"/>
              </w:rPr>
              <w:t>Единица измерения</w:t>
            </w:r>
          </w:p>
        </w:tc>
        <w:tc>
          <w:tcPr>
            <w:tcW w:w="3544" w:type="dxa"/>
            <w:gridSpan w:val="2"/>
            <w:tcBorders>
              <w:top w:val="single" w:sz="4" w:space="0" w:color="000000"/>
              <w:left w:val="single" w:sz="4" w:space="0" w:color="000000"/>
              <w:bottom w:val="single" w:sz="4" w:space="0" w:color="000000"/>
            </w:tcBorders>
            <w:shd w:val="clear" w:color="auto" w:fill="auto"/>
            <w:vAlign w:val="center"/>
          </w:tcPr>
          <w:p w14:paraId="5C76B08A" w14:textId="77777777" w:rsidR="008C5F4E" w:rsidRPr="00175E32" w:rsidRDefault="008C5F4E" w:rsidP="00FC1C3D">
            <w:pPr>
              <w:ind w:firstLine="0"/>
              <w:jc w:val="center"/>
              <w:rPr>
                <w:szCs w:val="24"/>
              </w:rPr>
            </w:pPr>
            <w:r w:rsidRPr="00175E32">
              <w:rPr>
                <w:szCs w:val="24"/>
              </w:rPr>
              <w:t>Прогноз на 20</w:t>
            </w:r>
            <w:r w:rsidR="00935A83" w:rsidRPr="00175E32">
              <w:rPr>
                <w:szCs w:val="24"/>
              </w:rPr>
              <w:t>20</w:t>
            </w:r>
            <w:r w:rsidRPr="00175E32">
              <w:rPr>
                <w:szCs w:val="24"/>
              </w:rPr>
              <w:t xml:space="preserve"> год</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05F8E4D" w14:textId="77777777" w:rsidR="008C5F4E" w:rsidRPr="00175E32" w:rsidRDefault="008C5F4E" w:rsidP="00FC1C3D">
            <w:pPr>
              <w:ind w:firstLine="0"/>
              <w:jc w:val="center"/>
              <w:rPr>
                <w:szCs w:val="24"/>
              </w:rPr>
            </w:pPr>
            <w:r w:rsidRPr="00175E32">
              <w:rPr>
                <w:szCs w:val="24"/>
              </w:rPr>
              <w:t>2020 год (оценка)</w:t>
            </w:r>
          </w:p>
        </w:tc>
      </w:tr>
      <w:tr w:rsidR="008C5F4E" w:rsidRPr="00175E32" w14:paraId="685B8715" w14:textId="77777777" w:rsidTr="00FC1C3D">
        <w:trPr>
          <w:trHeight w:val="249"/>
        </w:trPr>
        <w:tc>
          <w:tcPr>
            <w:tcW w:w="2693" w:type="dxa"/>
            <w:vMerge/>
            <w:tcBorders>
              <w:top w:val="single" w:sz="4" w:space="0" w:color="000000"/>
              <w:left w:val="single" w:sz="4" w:space="0" w:color="000000"/>
              <w:bottom w:val="single" w:sz="4" w:space="0" w:color="000000"/>
            </w:tcBorders>
            <w:shd w:val="clear" w:color="auto" w:fill="auto"/>
          </w:tcPr>
          <w:p w14:paraId="2A1AD7CC" w14:textId="77777777" w:rsidR="008C5F4E" w:rsidRPr="00175E32" w:rsidRDefault="008C5F4E" w:rsidP="0048723E">
            <w:pPr>
              <w:snapToGrid w:val="0"/>
              <w:ind w:firstLine="0"/>
              <w:jc w:val="center"/>
              <w:rPr>
                <w:szCs w:val="24"/>
              </w:rPr>
            </w:pPr>
          </w:p>
        </w:tc>
        <w:tc>
          <w:tcPr>
            <w:tcW w:w="1418" w:type="dxa"/>
            <w:vMerge/>
            <w:tcBorders>
              <w:top w:val="single" w:sz="4" w:space="0" w:color="000000"/>
              <w:left w:val="single" w:sz="4" w:space="0" w:color="000000"/>
              <w:bottom w:val="single" w:sz="4" w:space="0" w:color="000000"/>
            </w:tcBorders>
            <w:shd w:val="clear" w:color="auto" w:fill="auto"/>
          </w:tcPr>
          <w:p w14:paraId="62D577F6" w14:textId="77777777" w:rsidR="008C5F4E" w:rsidRPr="00175E32" w:rsidRDefault="008C5F4E" w:rsidP="0048723E">
            <w:pPr>
              <w:snapToGrid w:val="0"/>
              <w:ind w:firstLine="0"/>
              <w:jc w:val="center"/>
              <w:rPr>
                <w:szCs w:val="24"/>
              </w:rPr>
            </w:pPr>
          </w:p>
        </w:tc>
        <w:tc>
          <w:tcPr>
            <w:tcW w:w="1985" w:type="dxa"/>
            <w:tcBorders>
              <w:top w:val="single" w:sz="4" w:space="0" w:color="000000"/>
              <w:left w:val="single" w:sz="4" w:space="0" w:color="000000"/>
              <w:bottom w:val="single" w:sz="4" w:space="0" w:color="000000"/>
            </w:tcBorders>
            <w:vAlign w:val="center"/>
          </w:tcPr>
          <w:p w14:paraId="326803D1" w14:textId="77777777" w:rsidR="008C5F4E" w:rsidRPr="00175E32" w:rsidRDefault="008C5F4E" w:rsidP="00FC1C3D">
            <w:pPr>
              <w:ind w:firstLine="0"/>
              <w:jc w:val="center"/>
              <w:rPr>
                <w:szCs w:val="24"/>
              </w:rPr>
            </w:pPr>
            <w:r w:rsidRPr="00175E32">
              <w:rPr>
                <w:szCs w:val="24"/>
              </w:rPr>
              <w:t>1 вариант (консерва</w:t>
            </w:r>
          </w:p>
          <w:p w14:paraId="5B672E88" w14:textId="77777777" w:rsidR="008C5F4E" w:rsidRPr="00175E32" w:rsidRDefault="008C5F4E" w:rsidP="00FC1C3D">
            <w:pPr>
              <w:ind w:firstLine="0"/>
              <w:jc w:val="center"/>
              <w:rPr>
                <w:szCs w:val="24"/>
              </w:rPr>
            </w:pPr>
            <w:proofErr w:type="spellStart"/>
            <w:r w:rsidRPr="00175E32">
              <w:rPr>
                <w:szCs w:val="24"/>
              </w:rPr>
              <w:t>тивный</w:t>
            </w:r>
            <w:proofErr w:type="spellEnd"/>
            <w:r w:rsidRPr="00175E32">
              <w:rPr>
                <w:szCs w:val="24"/>
              </w:rPr>
              <w:t>)</w:t>
            </w:r>
          </w:p>
        </w:tc>
        <w:tc>
          <w:tcPr>
            <w:tcW w:w="1559" w:type="dxa"/>
            <w:tcBorders>
              <w:top w:val="single" w:sz="4" w:space="0" w:color="000000"/>
              <w:left w:val="single" w:sz="4" w:space="0" w:color="000000"/>
              <w:bottom w:val="single" w:sz="4" w:space="0" w:color="000000"/>
            </w:tcBorders>
            <w:vAlign w:val="center"/>
          </w:tcPr>
          <w:p w14:paraId="20710DCC" w14:textId="77777777" w:rsidR="008C5F4E" w:rsidRPr="00175E32" w:rsidRDefault="008C5F4E" w:rsidP="00FC1C3D">
            <w:pPr>
              <w:ind w:firstLine="0"/>
              <w:jc w:val="center"/>
              <w:rPr>
                <w:szCs w:val="24"/>
              </w:rPr>
            </w:pPr>
            <w:r w:rsidRPr="00175E32">
              <w:rPr>
                <w:szCs w:val="24"/>
              </w:rPr>
              <w:t>2 вариант</w:t>
            </w:r>
          </w:p>
          <w:p w14:paraId="2C2AFE49" w14:textId="77777777" w:rsidR="008C5F4E" w:rsidRPr="00175E32" w:rsidRDefault="008C5F4E" w:rsidP="00FC1C3D">
            <w:pPr>
              <w:ind w:firstLine="0"/>
              <w:jc w:val="center"/>
              <w:rPr>
                <w:szCs w:val="24"/>
              </w:rPr>
            </w:pPr>
            <w:r w:rsidRPr="00175E32">
              <w:rPr>
                <w:szCs w:val="24"/>
              </w:rPr>
              <w:t>(базовый)</w:t>
            </w: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14:paraId="086A12AF" w14:textId="77777777" w:rsidR="008C5F4E" w:rsidRPr="00175E32" w:rsidRDefault="008C5F4E" w:rsidP="0048723E">
            <w:pPr>
              <w:snapToGrid w:val="0"/>
              <w:ind w:firstLine="0"/>
              <w:jc w:val="center"/>
              <w:rPr>
                <w:szCs w:val="24"/>
              </w:rPr>
            </w:pPr>
          </w:p>
        </w:tc>
      </w:tr>
      <w:tr w:rsidR="008C5F4E" w:rsidRPr="00175E32" w14:paraId="4695D992" w14:textId="77777777" w:rsidTr="008C5F4E">
        <w:tc>
          <w:tcPr>
            <w:tcW w:w="2693" w:type="dxa"/>
            <w:tcBorders>
              <w:top w:val="single" w:sz="4" w:space="0" w:color="000000"/>
              <w:left w:val="single" w:sz="4" w:space="0" w:color="000000"/>
              <w:bottom w:val="single" w:sz="4" w:space="0" w:color="000000"/>
            </w:tcBorders>
            <w:shd w:val="clear" w:color="auto" w:fill="auto"/>
          </w:tcPr>
          <w:p w14:paraId="1A5A23B9" w14:textId="77777777" w:rsidR="008C5F4E" w:rsidRPr="00175E32" w:rsidRDefault="008C5F4E" w:rsidP="0048723E">
            <w:pPr>
              <w:ind w:firstLine="0"/>
              <w:rPr>
                <w:szCs w:val="24"/>
              </w:rPr>
            </w:pPr>
            <w:r w:rsidRPr="00175E32">
              <w:rPr>
                <w:szCs w:val="24"/>
              </w:rPr>
              <w:t>Количество субъектов малого и среднего предпринимательства</w:t>
            </w:r>
          </w:p>
        </w:tc>
        <w:tc>
          <w:tcPr>
            <w:tcW w:w="1418" w:type="dxa"/>
            <w:tcBorders>
              <w:top w:val="single" w:sz="4" w:space="0" w:color="000000"/>
              <w:left w:val="single" w:sz="4" w:space="0" w:color="000000"/>
              <w:bottom w:val="single" w:sz="4" w:space="0" w:color="000000"/>
            </w:tcBorders>
            <w:shd w:val="clear" w:color="auto" w:fill="auto"/>
            <w:vAlign w:val="center"/>
          </w:tcPr>
          <w:p w14:paraId="0F1923B0" w14:textId="77777777" w:rsidR="008C5F4E" w:rsidRPr="00175E32" w:rsidRDefault="008C5F4E" w:rsidP="0048723E">
            <w:pPr>
              <w:ind w:firstLine="0"/>
              <w:jc w:val="center"/>
              <w:rPr>
                <w:szCs w:val="24"/>
              </w:rPr>
            </w:pPr>
            <w:r w:rsidRPr="00175E32">
              <w:rPr>
                <w:szCs w:val="24"/>
              </w:rPr>
              <w:t>тыс. единиц</w:t>
            </w:r>
          </w:p>
        </w:tc>
        <w:tc>
          <w:tcPr>
            <w:tcW w:w="1985" w:type="dxa"/>
            <w:tcBorders>
              <w:top w:val="single" w:sz="4" w:space="0" w:color="000000"/>
              <w:left w:val="single" w:sz="4" w:space="0" w:color="000000"/>
              <w:bottom w:val="single" w:sz="4" w:space="0" w:color="000000"/>
            </w:tcBorders>
            <w:shd w:val="clear" w:color="auto" w:fill="auto"/>
            <w:vAlign w:val="center"/>
          </w:tcPr>
          <w:p w14:paraId="527AC23F" w14:textId="77777777" w:rsidR="008C5F4E" w:rsidRPr="00175E32" w:rsidRDefault="00D57AA5" w:rsidP="0048723E">
            <w:pPr>
              <w:ind w:firstLine="0"/>
              <w:jc w:val="center"/>
              <w:rPr>
                <w:szCs w:val="24"/>
              </w:rPr>
            </w:pPr>
            <w:r w:rsidRPr="00175E32">
              <w:rPr>
                <w:szCs w:val="24"/>
              </w:rPr>
              <w:t>33,7</w:t>
            </w:r>
          </w:p>
        </w:tc>
        <w:tc>
          <w:tcPr>
            <w:tcW w:w="1559" w:type="dxa"/>
            <w:tcBorders>
              <w:top w:val="single" w:sz="4" w:space="0" w:color="000000"/>
              <w:left w:val="single" w:sz="4" w:space="0" w:color="000000"/>
              <w:bottom w:val="single" w:sz="4" w:space="0" w:color="000000"/>
            </w:tcBorders>
            <w:shd w:val="clear" w:color="auto" w:fill="auto"/>
            <w:vAlign w:val="center"/>
          </w:tcPr>
          <w:p w14:paraId="4A7AC447" w14:textId="77777777" w:rsidR="008C5F4E" w:rsidRPr="00175E32" w:rsidRDefault="00D57AA5" w:rsidP="0048723E">
            <w:pPr>
              <w:ind w:firstLine="0"/>
              <w:jc w:val="center"/>
              <w:rPr>
                <w:szCs w:val="24"/>
              </w:rPr>
            </w:pPr>
            <w:r w:rsidRPr="00175E32">
              <w:rPr>
                <w:szCs w:val="24"/>
              </w:rPr>
              <w:t>34,2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C8A604" w14:textId="77777777" w:rsidR="008C5F4E" w:rsidRPr="00175E32" w:rsidRDefault="00935A83" w:rsidP="0048723E">
            <w:pPr>
              <w:ind w:firstLine="0"/>
              <w:jc w:val="center"/>
              <w:rPr>
                <w:szCs w:val="24"/>
              </w:rPr>
            </w:pPr>
            <w:r w:rsidRPr="00175E32">
              <w:rPr>
                <w:szCs w:val="24"/>
              </w:rPr>
              <w:t>29,2</w:t>
            </w:r>
          </w:p>
        </w:tc>
      </w:tr>
    </w:tbl>
    <w:p w14:paraId="7DC88203" w14:textId="77777777" w:rsidR="00DB5EA3" w:rsidRPr="00175E32" w:rsidRDefault="00DB5EA3" w:rsidP="00443EE9">
      <w:pPr>
        <w:pStyle w:val="aff8"/>
        <w:spacing w:before="0" w:line="276" w:lineRule="auto"/>
        <w:ind w:left="0" w:right="0"/>
        <w:jc w:val="both"/>
        <w:rPr>
          <w:sz w:val="24"/>
          <w:szCs w:val="24"/>
          <w:lang w:eastAsia="zh-CN"/>
        </w:rPr>
      </w:pPr>
    </w:p>
    <w:p w14:paraId="1030B457" w14:textId="77777777" w:rsidR="00EB7B3A" w:rsidRPr="00175E32" w:rsidRDefault="00344442" w:rsidP="007103B4">
      <w:pPr>
        <w:pStyle w:val="afb"/>
        <w:numPr>
          <w:ilvl w:val="0"/>
          <w:numId w:val="5"/>
        </w:numPr>
        <w:tabs>
          <w:tab w:val="clear" w:pos="0"/>
          <w:tab w:val="num" w:pos="432"/>
        </w:tabs>
        <w:suppressAutoHyphens w:val="0"/>
        <w:spacing w:line="276" w:lineRule="auto"/>
        <w:ind w:left="0" w:firstLine="709"/>
        <w:contextualSpacing/>
        <w:rPr>
          <w:szCs w:val="24"/>
          <w:lang w:eastAsia="ru-RU"/>
        </w:rPr>
      </w:pPr>
      <w:r w:rsidRPr="00175E32">
        <w:rPr>
          <w:szCs w:val="24"/>
          <w:lang w:eastAsia="ru-RU"/>
        </w:rPr>
        <w:lastRenderedPageBreak/>
        <w:t>За 1 полугодие 20</w:t>
      </w:r>
      <w:r w:rsidR="00EB7B3A" w:rsidRPr="00175E32">
        <w:rPr>
          <w:szCs w:val="24"/>
          <w:lang w:eastAsia="ru-RU"/>
        </w:rPr>
        <w:t>20</w:t>
      </w:r>
      <w:r w:rsidRPr="00175E32">
        <w:rPr>
          <w:szCs w:val="24"/>
          <w:lang w:eastAsia="ru-RU"/>
        </w:rPr>
        <w:t xml:space="preserve"> год в бюджетную систему от СМСП поступило налогов в сумме </w:t>
      </w:r>
      <w:r w:rsidR="00EB7B3A" w:rsidRPr="00175E32">
        <w:rPr>
          <w:szCs w:val="24"/>
          <w:lang w:eastAsia="ru-RU"/>
        </w:rPr>
        <w:t>844,4</w:t>
      </w:r>
      <w:r w:rsidRPr="00175E32">
        <w:rPr>
          <w:szCs w:val="24"/>
          <w:lang w:eastAsia="ru-RU"/>
        </w:rPr>
        <w:t xml:space="preserve"> млн. рублей, </w:t>
      </w:r>
      <w:r w:rsidR="00EB7B3A" w:rsidRPr="00175E32">
        <w:rPr>
          <w:szCs w:val="24"/>
          <w:lang w:eastAsia="ru-RU"/>
        </w:rPr>
        <w:t>что на 12</w:t>
      </w:r>
      <w:r w:rsidR="007103B4" w:rsidRPr="00175E32">
        <w:rPr>
          <w:szCs w:val="24"/>
          <w:lang w:eastAsia="ru-RU"/>
        </w:rPr>
        <w:t>,0</w:t>
      </w:r>
      <w:r w:rsidR="00EB7B3A" w:rsidRPr="00175E32">
        <w:rPr>
          <w:szCs w:val="24"/>
          <w:lang w:eastAsia="ru-RU"/>
        </w:rPr>
        <w:t>% меньше соответствующего периода 2019 года, в том числе в местный бюджет – 161,2 млн. рублей, что на 8,3% меньше соответствующего периода прошлого</w:t>
      </w:r>
      <w:r w:rsidR="00FC1C3D">
        <w:rPr>
          <w:szCs w:val="24"/>
          <w:lang w:eastAsia="ru-RU"/>
        </w:rPr>
        <w:t xml:space="preserve"> года.</w:t>
      </w:r>
    </w:p>
    <w:p w14:paraId="37831BD6" w14:textId="77777777" w:rsidR="007103B4" w:rsidRPr="00175E32" w:rsidRDefault="00EB7B3A" w:rsidP="007103B4">
      <w:pPr>
        <w:pStyle w:val="afb"/>
        <w:numPr>
          <w:ilvl w:val="0"/>
          <w:numId w:val="5"/>
        </w:numPr>
        <w:suppressAutoHyphens w:val="0"/>
        <w:spacing w:line="276" w:lineRule="auto"/>
        <w:ind w:left="0" w:firstLine="709"/>
        <w:contextualSpacing/>
        <w:rPr>
          <w:rFonts w:ascii="Calibri" w:eastAsia="Calibri" w:hAnsi="Calibri"/>
          <w:szCs w:val="24"/>
          <w:lang w:eastAsia="en-US"/>
        </w:rPr>
      </w:pPr>
      <w:r w:rsidRPr="00175E32">
        <w:rPr>
          <w:szCs w:val="24"/>
          <w:lang w:eastAsia="ru-RU"/>
        </w:rPr>
        <w:t xml:space="preserve">В условиях неблагоприятной экономической ситуации, связанной с распространением новой коронавирусной инфекции, </w:t>
      </w:r>
      <w:r w:rsidR="007103B4" w:rsidRPr="00175E32">
        <w:rPr>
          <w:szCs w:val="24"/>
          <w:lang w:eastAsia="ru-RU"/>
        </w:rPr>
        <w:t xml:space="preserve">в текущем году приняты и </w:t>
      </w:r>
      <w:r w:rsidRPr="00175E32">
        <w:rPr>
          <w:szCs w:val="24"/>
          <w:lang w:eastAsia="ru-RU"/>
        </w:rPr>
        <w:t>реализуются меры поддержки СМСП, принятые на федеральном и региональном уровне</w:t>
      </w:r>
      <w:r w:rsidR="007103B4" w:rsidRPr="00175E32">
        <w:rPr>
          <w:szCs w:val="24"/>
          <w:lang w:eastAsia="ru-RU"/>
        </w:rPr>
        <w:t>, такие как отсрочка по налоговым платежам</w:t>
      </w:r>
      <w:r w:rsidR="00EB2D68" w:rsidRPr="00175E32">
        <w:rPr>
          <w:szCs w:val="24"/>
          <w:lang w:eastAsia="ru-RU"/>
        </w:rPr>
        <w:t>, арендной плате,</w:t>
      </w:r>
      <w:r w:rsidR="007103B4" w:rsidRPr="00175E32">
        <w:rPr>
          <w:szCs w:val="24"/>
          <w:lang w:eastAsia="ru-RU"/>
        </w:rPr>
        <w:t xml:space="preserve"> предоставление субсидий на затраты, в том числе на сохранение занятости и оплаты труда своих работников</w:t>
      </w:r>
      <w:r w:rsidR="00EB2D68" w:rsidRPr="00175E32">
        <w:rPr>
          <w:szCs w:val="24"/>
          <w:lang w:eastAsia="ru-RU"/>
        </w:rPr>
        <w:t>, предоставление кредитов по сниженным ставкам</w:t>
      </w:r>
      <w:r w:rsidRPr="00175E32">
        <w:rPr>
          <w:szCs w:val="24"/>
          <w:lang w:eastAsia="ru-RU"/>
        </w:rPr>
        <w:t xml:space="preserve">. </w:t>
      </w:r>
      <w:r w:rsidR="007103B4" w:rsidRPr="00175E32">
        <w:rPr>
          <w:szCs w:val="24"/>
          <w:lang w:eastAsia="ru-RU"/>
        </w:rPr>
        <w:t xml:space="preserve">Эти меры позволили поддержать бизнес и сдержать еще более масштабное высвобождение рабочей силы. </w:t>
      </w:r>
    </w:p>
    <w:p w14:paraId="3BCFBD5B" w14:textId="77777777" w:rsidR="00EB7B3A" w:rsidRPr="00175E32" w:rsidRDefault="00EB7B3A" w:rsidP="007103B4">
      <w:pPr>
        <w:pStyle w:val="afb"/>
        <w:numPr>
          <w:ilvl w:val="0"/>
          <w:numId w:val="5"/>
        </w:numPr>
        <w:tabs>
          <w:tab w:val="clear" w:pos="0"/>
          <w:tab w:val="num" w:pos="432"/>
        </w:tabs>
        <w:suppressAutoHyphens w:val="0"/>
        <w:spacing w:line="276" w:lineRule="auto"/>
        <w:ind w:left="0" w:firstLine="709"/>
        <w:contextualSpacing/>
        <w:rPr>
          <w:szCs w:val="24"/>
          <w:lang w:eastAsia="ru-RU"/>
        </w:rPr>
      </w:pPr>
      <w:r w:rsidRPr="00175E32">
        <w:rPr>
          <w:szCs w:val="24"/>
          <w:lang w:eastAsia="ru-RU"/>
        </w:rPr>
        <w:t>На уровне городского округа Тольятти приняты следующие меры поддержки:</w:t>
      </w:r>
    </w:p>
    <w:p w14:paraId="2BA01304" w14:textId="77777777" w:rsidR="00EB7B3A" w:rsidRPr="00175E32" w:rsidRDefault="00EB7B3A" w:rsidP="007103B4">
      <w:pPr>
        <w:pStyle w:val="afb"/>
        <w:numPr>
          <w:ilvl w:val="0"/>
          <w:numId w:val="5"/>
        </w:numPr>
        <w:tabs>
          <w:tab w:val="clear" w:pos="0"/>
          <w:tab w:val="num" w:pos="432"/>
        </w:tabs>
        <w:suppressAutoHyphens w:val="0"/>
        <w:spacing w:line="276" w:lineRule="auto"/>
        <w:ind w:left="0" w:firstLine="709"/>
        <w:contextualSpacing/>
        <w:rPr>
          <w:szCs w:val="24"/>
          <w:lang w:eastAsia="ru-RU"/>
        </w:rPr>
      </w:pPr>
      <w:r w:rsidRPr="00175E32">
        <w:rPr>
          <w:szCs w:val="24"/>
          <w:lang w:eastAsia="ru-RU"/>
        </w:rPr>
        <w:t>1)</w:t>
      </w:r>
      <w:r w:rsidR="007103B4" w:rsidRPr="00175E32">
        <w:rPr>
          <w:szCs w:val="24"/>
          <w:lang w:eastAsia="ru-RU"/>
        </w:rPr>
        <w:t xml:space="preserve"> </w:t>
      </w:r>
      <w:r w:rsidRPr="00175E32">
        <w:rPr>
          <w:szCs w:val="24"/>
          <w:lang w:eastAsia="ru-RU"/>
        </w:rPr>
        <w:t xml:space="preserve">Имущественная поддержка в виде предоставления отсрочки от уплаты арендной платы по договорам аренды муниципального имущества, договорам аренды земельных участков, находящихся в собственности городского округа Тольятти, договорам аренды земельных участков, государственная собственность на которые не разграничена (постановление администрации городского округа Тольятти от 10.06.2020 №1810-п/1 «О предоставлении отсрочки от уплаты арендной платы по договорам аренды муниципального имущества, договорам аренды земельных участков, находящихся в собственности городского округа Тольятти, договорам аренды земельных участков, государственная собственность на которые не разграничена»). </w:t>
      </w:r>
    </w:p>
    <w:p w14:paraId="37065AD1" w14:textId="77777777" w:rsidR="00EB7B3A" w:rsidRPr="00175E32" w:rsidRDefault="00EB7B3A" w:rsidP="007103B4">
      <w:pPr>
        <w:pStyle w:val="afb"/>
        <w:numPr>
          <w:ilvl w:val="0"/>
          <w:numId w:val="5"/>
        </w:numPr>
        <w:tabs>
          <w:tab w:val="clear" w:pos="0"/>
          <w:tab w:val="num" w:pos="432"/>
        </w:tabs>
        <w:suppressAutoHyphens w:val="0"/>
        <w:spacing w:line="276" w:lineRule="auto"/>
        <w:ind w:left="0" w:firstLine="709"/>
        <w:contextualSpacing/>
        <w:rPr>
          <w:szCs w:val="24"/>
          <w:lang w:eastAsia="ru-RU"/>
        </w:rPr>
      </w:pPr>
      <w:r w:rsidRPr="00175E32">
        <w:rPr>
          <w:szCs w:val="24"/>
          <w:lang w:eastAsia="ru-RU"/>
        </w:rPr>
        <w:t>Отсрочка предоставляется:</w:t>
      </w:r>
    </w:p>
    <w:p w14:paraId="09D6E004" w14:textId="77777777" w:rsidR="00EB7B3A" w:rsidRPr="00175E32" w:rsidRDefault="00EB7B3A" w:rsidP="007103B4">
      <w:pPr>
        <w:pStyle w:val="afb"/>
        <w:numPr>
          <w:ilvl w:val="0"/>
          <w:numId w:val="5"/>
        </w:numPr>
        <w:tabs>
          <w:tab w:val="clear" w:pos="0"/>
          <w:tab w:val="num" w:pos="432"/>
        </w:tabs>
        <w:suppressAutoHyphens w:val="0"/>
        <w:spacing w:line="276" w:lineRule="auto"/>
        <w:ind w:left="0" w:firstLine="709"/>
        <w:contextualSpacing/>
        <w:rPr>
          <w:szCs w:val="24"/>
          <w:lang w:eastAsia="ru-RU"/>
        </w:rPr>
      </w:pPr>
      <w:r w:rsidRPr="00175E32">
        <w:rPr>
          <w:szCs w:val="24"/>
          <w:lang w:eastAsia="ru-RU"/>
        </w:rPr>
        <w:t xml:space="preserve">-  юридическим лицам и индивидуальным предпринимателям, включенным в Единый реестр </w:t>
      </w:r>
      <w:r w:rsidR="007103B4" w:rsidRPr="00175E32">
        <w:rPr>
          <w:szCs w:val="24"/>
          <w:lang w:eastAsia="ru-RU"/>
        </w:rPr>
        <w:t>С</w:t>
      </w:r>
      <w:r w:rsidRPr="00175E32">
        <w:rPr>
          <w:szCs w:val="24"/>
          <w:lang w:eastAsia="ru-RU"/>
        </w:rPr>
        <w:t xml:space="preserve">МСП, по договорам заключенным с </w:t>
      </w:r>
      <w:r w:rsidR="007103B4" w:rsidRPr="00175E32">
        <w:rPr>
          <w:szCs w:val="24"/>
          <w:lang w:eastAsia="ru-RU"/>
        </w:rPr>
        <w:t>С</w:t>
      </w:r>
      <w:r w:rsidR="00FC1C3D">
        <w:rPr>
          <w:szCs w:val="24"/>
          <w:lang w:eastAsia="ru-RU"/>
        </w:rPr>
        <w:t>МСП, за период апрель-июнь 2020 </w:t>
      </w:r>
      <w:r w:rsidRPr="00175E32">
        <w:rPr>
          <w:szCs w:val="24"/>
          <w:lang w:eastAsia="ru-RU"/>
        </w:rPr>
        <w:t>года на срок, предложенный такими арендат</w:t>
      </w:r>
      <w:r w:rsidR="007103B4" w:rsidRPr="00175E32">
        <w:rPr>
          <w:szCs w:val="24"/>
          <w:lang w:eastAsia="ru-RU"/>
        </w:rPr>
        <w:t>орами, но не позднее 31.12.2021;</w:t>
      </w:r>
    </w:p>
    <w:p w14:paraId="135CB600" w14:textId="77777777" w:rsidR="00EB7B3A" w:rsidRPr="00175E32" w:rsidRDefault="00EB7B3A" w:rsidP="007103B4">
      <w:pPr>
        <w:pStyle w:val="afb"/>
        <w:numPr>
          <w:ilvl w:val="0"/>
          <w:numId w:val="5"/>
        </w:numPr>
        <w:tabs>
          <w:tab w:val="clear" w:pos="0"/>
          <w:tab w:val="num" w:pos="432"/>
        </w:tabs>
        <w:suppressAutoHyphens w:val="0"/>
        <w:spacing w:line="276" w:lineRule="auto"/>
        <w:ind w:left="0" w:firstLine="709"/>
        <w:contextualSpacing/>
        <w:rPr>
          <w:szCs w:val="24"/>
          <w:lang w:eastAsia="ru-RU"/>
        </w:rPr>
      </w:pPr>
      <w:r w:rsidRPr="00175E32">
        <w:rPr>
          <w:szCs w:val="24"/>
          <w:lang w:eastAsia="ru-RU"/>
        </w:rPr>
        <w:t xml:space="preserve">- с 17.03.2020 по 01.10.2020 по договорам аренды муниципального недвижимого имущества, в том </w:t>
      </w:r>
      <w:r w:rsidR="00923023" w:rsidRPr="00175E32">
        <w:rPr>
          <w:szCs w:val="24"/>
          <w:lang w:eastAsia="ru-RU"/>
        </w:rPr>
        <w:t>числе находящегося</w:t>
      </w:r>
      <w:r w:rsidRPr="00175E32">
        <w:rPr>
          <w:szCs w:val="24"/>
          <w:lang w:eastAsia="ru-RU"/>
        </w:rPr>
        <w:t xml:space="preserve"> в оперативном управлении у муниципальных учреждений и на праве хозяйственного ведения у муниципальных предприятий, договорам аренды земельных участков, в размере арендной платы и в объеме 50% арендной платы за соответствующий период, со дня прекращения действия режима повышенной готовности или чрезвычайной ситуации на территории Самарской области, до 01.10.2020. Оплата производится равными платежами, размер которых не превышает размера половины ежемесячной арендной платы по договору аренды, не чаще одного раза в месяц</w:t>
      </w:r>
      <w:r w:rsidR="007103B4" w:rsidRPr="00175E32">
        <w:rPr>
          <w:szCs w:val="24"/>
          <w:lang w:eastAsia="ru-RU"/>
        </w:rPr>
        <w:t>. Срок уплаты до 01.01.2023;</w:t>
      </w:r>
    </w:p>
    <w:p w14:paraId="66BEC87B" w14:textId="77777777" w:rsidR="00EB7B3A" w:rsidRPr="00175E32" w:rsidRDefault="00EB7B3A" w:rsidP="007103B4">
      <w:pPr>
        <w:pStyle w:val="afb"/>
        <w:numPr>
          <w:ilvl w:val="0"/>
          <w:numId w:val="5"/>
        </w:numPr>
        <w:tabs>
          <w:tab w:val="clear" w:pos="0"/>
          <w:tab w:val="num" w:pos="432"/>
        </w:tabs>
        <w:suppressAutoHyphens w:val="0"/>
        <w:spacing w:line="276" w:lineRule="auto"/>
        <w:ind w:left="0" w:firstLine="709"/>
        <w:contextualSpacing/>
        <w:rPr>
          <w:szCs w:val="24"/>
          <w:lang w:eastAsia="ru-RU"/>
        </w:rPr>
      </w:pPr>
      <w:r w:rsidRPr="00175E32">
        <w:rPr>
          <w:szCs w:val="24"/>
          <w:lang w:eastAsia="ru-RU"/>
        </w:rPr>
        <w:t xml:space="preserve">- по договорам аренды земельных участков юридическим лицам и индивидуальным предпринимателям – собственникам объектов недвижимости, расположенных на данных земельных участках, предоставившим отсрочку уплаты арендной платы по договорам аренды объектов недвижимого имущества, на период </w:t>
      </w:r>
      <w:r w:rsidR="007103B4" w:rsidRPr="00175E32">
        <w:rPr>
          <w:szCs w:val="24"/>
          <w:lang w:eastAsia="ru-RU"/>
        </w:rPr>
        <w:t>предоставления данной отсрочки</w:t>
      </w:r>
      <w:r w:rsidR="00712A49">
        <w:rPr>
          <w:szCs w:val="24"/>
          <w:lang w:eastAsia="ru-RU"/>
        </w:rPr>
        <w:t>.</w:t>
      </w:r>
    </w:p>
    <w:p w14:paraId="401E1683" w14:textId="77777777" w:rsidR="00EB7B3A" w:rsidRPr="00175E32" w:rsidRDefault="00EB7B3A" w:rsidP="007103B4">
      <w:pPr>
        <w:pStyle w:val="afb"/>
        <w:numPr>
          <w:ilvl w:val="0"/>
          <w:numId w:val="5"/>
        </w:numPr>
        <w:tabs>
          <w:tab w:val="clear" w:pos="0"/>
          <w:tab w:val="num" w:pos="432"/>
        </w:tabs>
        <w:suppressAutoHyphens w:val="0"/>
        <w:spacing w:line="276" w:lineRule="auto"/>
        <w:ind w:left="0" w:firstLine="709"/>
        <w:contextualSpacing/>
        <w:rPr>
          <w:szCs w:val="24"/>
          <w:lang w:eastAsia="ru-RU"/>
        </w:rPr>
      </w:pPr>
      <w:r w:rsidRPr="00175E32">
        <w:rPr>
          <w:szCs w:val="24"/>
          <w:lang w:eastAsia="ru-RU"/>
        </w:rPr>
        <w:t xml:space="preserve">2) Финансовая поддержка в виде отсрочки по оплате основного долга по предоставленным Муниципальным фондом поддержки и развития субъектов малого и среднего предпринимательства </w:t>
      </w:r>
      <w:proofErr w:type="spellStart"/>
      <w:r w:rsidRPr="00175E32">
        <w:rPr>
          <w:szCs w:val="24"/>
          <w:lang w:eastAsia="ru-RU"/>
        </w:rPr>
        <w:t>микрокредитная</w:t>
      </w:r>
      <w:proofErr w:type="spellEnd"/>
      <w:r w:rsidRPr="00175E32">
        <w:rPr>
          <w:szCs w:val="24"/>
          <w:lang w:eastAsia="ru-RU"/>
        </w:rPr>
        <w:t xml:space="preserve"> компания городского округа Тольятти микрозаймам, на срок до 6 месяцев</w:t>
      </w:r>
      <w:r w:rsidR="00712A49">
        <w:rPr>
          <w:szCs w:val="24"/>
          <w:lang w:eastAsia="ru-RU"/>
        </w:rPr>
        <w:t>.</w:t>
      </w:r>
    </w:p>
    <w:p w14:paraId="5D5274C8" w14:textId="77777777" w:rsidR="00EB7B3A" w:rsidRPr="00175E32" w:rsidRDefault="00EB7B3A" w:rsidP="007103B4">
      <w:pPr>
        <w:pStyle w:val="afb"/>
        <w:numPr>
          <w:ilvl w:val="0"/>
          <w:numId w:val="5"/>
        </w:numPr>
        <w:tabs>
          <w:tab w:val="clear" w:pos="0"/>
          <w:tab w:val="num" w:pos="432"/>
        </w:tabs>
        <w:suppressAutoHyphens w:val="0"/>
        <w:spacing w:line="276" w:lineRule="auto"/>
        <w:ind w:left="0" w:firstLine="709"/>
        <w:contextualSpacing/>
        <w:rPr>
          <w:szCs w:val="24"/>
          <w:lang w:eastAsia="ru-RU"/>
        </w:rPr>
      </w:pPr>
      <w:r w:rsidRPr="00175E32">
        <w:rPr>
          <w:szCs w:val="24"/>
          <w:lang w:eastAsia="ru-RU"/>
        </w:rPr>
        <w:t>3) Налоговые меры поддержки:</w:t>
      </w:r>
    </w:p>
    <w:p w14:paraId="3F570AA7" w14:textId="77777777" w:rsidR="00EB7B3A" w:rsidRPr="00175E32" w:rsidRDefault="00EB7B3A" w:rsidP="007103B4">
      <w:pPr>
        <w:pStyle w:val="afb"/>
        <w:numPr>
          <w:ilvl w:val="0"/>
          <w:numId w:val="5"/>
        </w:numPr>
        <w:tabs>
          <w:tab w:val="clear" w:pos="0"/>
          <w:tab w:val="num" w:pos="432"/>
        </w:tabs>
        <w:suppressAutoHyphens w:val="0"/>
        <w:spacing w:line="276" w:lineRule="auto"/>
        <w:ind w:left="0" w:firstLine="709"/>
        <w:contextualSpacing/>
        <w:rPr>
          <w:szCs w:val="24"/>
          <w:lang w:eastAsia="ru-RU"/>
        </w:rPr>
      </w:pPr>
      <w:r w:rsidRPr="00175E32">
        <w:rPr>
          <w:szCs w:val="24"/>
          <w:lang w:eastAsia="ru-RU"/>
        </w:rPr>
        <w:lastRenderedPageBreak/>
        <w:t>- снижена налоговая нагрузка на физических лиц по налогу на имущество за 2019 год (НИФЛ), действующая ставка в размере 2% для людей, владеющих коммерческой недвижимостью, снижена до 1,8%;</w:t>
      </w:r>
    </w:p>
    <w:p w14:paraId="09407506" w14:textId="77777777" w:rsidR="00EB7B3A" w:rsidRPr="00175E32" w:rsidRDefault="00EB7B3A" w:rsidP="007103B4">
      <w:pPr>
        <w:pStyle w:val="afb"/>
        <w:numPr>
          <w:ilvl w:val="0"/>
          <w:numId w:val="5"/>
        </w:numPr>
        <w:tabs>
          <w:tab w:val="clear" w:pos="0"/>
          <w:tab w:val="num" w:pos="432"/>
        </w:tabs>
        <w:suppressAutoHyphens w:val="0"/>
        <w:spacing w:line="276" w:lineRule="auto"/>
        <w:ind w:left="0" w:firstLine="709"/>
        <w:contextualSpacing/>
        <w:rPr>
          <w:szCs w:val="24"/>
          <w:lang w:eastAsia="ru-RU"/>
        </w:rPr>
      </w:pPr>
      <w:r w:rsidRPr="00175E32">
        <w:rPr>
          <w:szCs w:val="24"/>
          <w:lang w:eastAsia="ru-RU"/>
        </w:rPr>
        <w:t xml:space="preserve">- установлена ставка единого налога на вмененный доход для отдельных видов деятельности на территории  городского округа Тольятти </w:t>
      </w:r>
      <w:r w:rsidR="00FC1C3D">
        <w:rPr>
          <w:szCs w:val="24"/>
          <w:lang w:eastAsia="ru-RU"/>
        </w:rPr>
        <w:t xml:space="preserve">в размере 7,5% для организаций </w:t>
      </w:r>
      <w:r w:rsidRPr="00175E32">
        <w:rPr>
          <w:szCs w:val="24"/>
          <w:lang w:eastAsia="ru-RU"/>
        </w:rPr>
        <w:t>и индивидуальных предпринимателей, основной вид экономической деятельности которых относиться к видам экономической деятельности, утвержденным Постановлением Правительства Российской Федерации от 03.04.2020 №434 «Об утверждении перечней отраслей российской экономики, в наибольшей степени пострадавших в условиях ухудшения ситуации в результате распространения  новой коронавирусной инфекции».</w:t>
      </w:r>
    </w:p>
    <w:p w14:paraId="08D61E2E" w14:textId="77777777" w:rsidR="00EB7B3A" w:rsidRPr="00175E32" w:rsidRDefault="00EB7B3A" w:rsidP="001340F7">
      <w:pPr>
        <w:suppressAutoHyphens w:val="0"/>
        <w:spacing w:line="276" w:lineRule="auto"/>
        <w:contextualSpacing/>
        <w:rPr>
          <w:szCs w:val="24"/>
          <w:lang w:eastAsia="ru-RU"/>
        </w:rPr>
      </w:pPr>
      <w:r w:rsidRPr="00175E32">
        <w:rPr>
          <w:szCs w:val="24"/>
          <w:lang w:eastAsia="ru-RU"/>
        </w:rPr>
        <w:t xml:space="preserve">В 2020 году на территории городского округа Тольятти продолжена реализация мероприятий по созданию условий для развития малого и среднего предпринимательства в </w:t>
      </w:r>
      <w:r w:rsidR="00923023" w:rsidRPr="00175E32">
        <w:rPr>
          <w:szCs w:val="24"/>
          <w:lang w:eastAsia="ru-RU"/>
        </w:rPr>
        <w:t>рамках муниципальной</w:t>
      </w:r>
      <w:r w:rsidRPr="00175E32">
        <w:rPr>
          <w:szCs w:val="24"/>
          <w:lang w:eastAsia="ru-RU"/>
        </w:rPr>
        <w:t xml:space="preserve"> программы городского округа Тольятти «Развитие малого и среднего предпринимательства городского округа Тольятти на 2018-2022 годы», утвержденной постановлением мэрии городского округа Тольятти от 28.08.2017 №2917-п/1.</w:t>
      </w:r>
    </w:p>
    <w:p w14:paraId="19508AA1" w14:textId="77777777" w:rsidR="00EB7B3A" w:rsidRPr="00175E32" w:rsidRDefault="00EB7B3A" w:rsidP="001340F7">
      <w:pPr>
        <w:suppressAutoHyphens w:val="0"/>
        <w:spacing w:line="276" w:lineRule="auto"/>
        <w:rPr>
          <w:szCs w:val="24"/>
          <w:lang w:eastAsia="ru-RU"/>
        </w:rPr>
      </w:pPr>
      <w:r w:rsidRPr="00175E32">
        <w:rPr>
          <w:szCs w:val="24"/>
          <w:lang w:eastAsia="ru-RU"/>
        </w:rPr>
        <w:t xml:space="preserve">Муниципальным фондом поддержки и развития субъектов малого и среднего предпринимательства </w:t>
      </w:r>
      <w:proofErr w:type="spellStart"/>
      <w:r w:rsidRPr="00175E32">
        <w:rPr>
          <w:szCs w:val="24"/>
          <w:lang w:eastAsia="ru-RU"/>
        </w:rPr>
        <w:t>микрокредитная</w:t>
      </w:r>
      <w:proofErr w:type="spellEnd"/>
      <w:r w:rsidRPr="00175E32">
        <w:rPr>
          <w:szCs w:val="24"/>
          <w:lang w:eastAsia="ru-RU"/>
        </w:rPr>
        <w:t xml:space="preserve"> компания городского округа Тольятти предоставляются займы </w:t>
      </w:r>
      <w:r w:rsidR="00923023" w:rsidRPr="00175E32">
        <w:rPr>
          <w:szCs w:val="24"/>
          <w:lang w:eastAsia="ru-RU"/>
        </w:rPr>
        <w:t>сроком до</w:t>
      </w:r>
      <w:r w:rsidRPr="00175E32">
        <w:rPr>
          <w:szCs w:val="24"/>
          <w:lang w:eastAsia="ru-RU"/>
        </w:rPr>
        <w:t xml:space="preserve"> 2 лет, сумма займа до 2 000,0 тыс. </w:t>
      </w:r>
      <w:r w:rsidR="008D7A93" w:rsidRPr="00175E32">
        <w:rPr>
          <w:szCs w:val="24"/>
          <w:lang w:eastAsia="ru-RU"/>
        </w:rPr>
        <w:t>рублей</w:t>
      </w:r>
      <w:r w:rsidRPr="00175E32">
        <w:rPr>
          <w:szCs w:val="24"/>
          <w:lang w:eastAsia="ru-RU"/>
        </w:rPr>
        <w:t>, процентная ставка от 10% годовых. В первом полугодии 2020 года Фонд выдал 14 займов на сумму 15 383,0 тыс. </w:t>
      </w:r>
      <w:r w:rsidR="008D7A93" w:rsidRPr="00175E32">
        <w:rPr>
          <w:szCs w:val="24"/>
          <w:lang w:eastAsia="ru-RU"/>
        </w:rPr>
        <w:t>рублей</w:t>
      </w:r>
      <w:r w:rsidR="00595D6B">
        <w:rPr>
          <w:szCs w:val="24"/>
          <w:lang w:eastAsia="ru-RU"/>
        </w:rPr>
        <w:t>.</w:t>
      </w:r>
      <w:r w:rsidRPr="00175E32">
        <w:rPr>
          <w:szCs w:val="24"/>
          <w:lang w:eastAsia="ru-RU"/>
        </w:rPr>
        <w:t xml:space="preserve"> В 2020 и 2021 годах планируется </w:t>
      </w:r>
      <w:r w:rsidR="00923023" w:rsidRPr="00175E32">
        <w:rPr>
          <w:szCs w:val="24"/>
          <w:lang w:eastAsia="ru-RU"/>
        </w:rPr>
        <w:t>выдать 25</w:t>
      </w:r>
      <w:r w:rsidRPr="00175E32">
        <w:rPr>
          <w:szCs w:val="24"/>
          <w:lang w:eastAsia="ru-RU"/>
        </w:rPr>
        <w:t xml:space="preserve"> займов на сумму 33 000 тыс.</w:t>
      </w:r>
      <w:r w:rsidR="00EB2D68" w:rsidRPr="00175E32">
        <w:rPr>
          <w:szCs w:val="24"/>
          <w:lang w:eastAsia="ru-RU"/>
        </w:rPr>
        <w:t xml:space="preserve"> </w:t>
      </w:r>
      <w:r w:rsidR="008D7A93" w:rsidRPr="00175E32">
        <w:rPr>
          <w:szCs w:val="24"/>
          <w:lang w:eastAsia="ru-RU"/>
        </w:rPr>
        <w:t>рублей</w:t>
      </w:r>
      <w:r w:rsidR="00FC1C3D">
        <w:rPr>
          <w:szCs w:val="24"/>
          <w:lang w:eastAsia="ru-RU"/>
        </w:rPr>
        <w:t xml:space="preserve"> ежегодно.</w:t>
      </w:r>
    </w:p>
    <w:p w14:paraId="41E2F3A4" w14:textId="77777777" w:rsidR="00EB7B3A" w:rsidRPr="00175E32" w:rsidRDefault="00EB7B3A" w:rsidP="001340F7">
      <w:pPr>
        <w:shd w:val="clear" w:color="auto" w:fill="FFFFFF"/>
        <w:suppressAutoHyphens w:val="0"/>
        <w:spacing w:line="276" w:lineRule="auto"/>
        <w:contextualSpacing/>
        <w:rPr>
          <w:szCs w:val="24"/>
          <w:lang w:eastAsia="ru-RU"/>
        </w:rPr>
      </w:pPr>
      <w:r w:rsidRPr="00175E32">
        <w:rPr>
          <w:szCs w:val="24"/>
          <w:lang w:eastAsia="ru-RU"/>
        </w:rPr>
        <w:t xml:space="preserve">В целях развития инфраструктуры поддержки СМСП </w:t>
      </w:r>
      <w:r w:rsidR="00923023" w:rsidRPr="00175E32">
        <w:rPr>
          <w:szCs w:val="24"/>
          <w:lang w:eastAsia="ru-RU"/>
        </w:rPr>
        <w:t>в городском</w:t>
      </w:r>
      <w:r w:rsidRPr="00175E32">
        <w:rPr>
          <w:szCs w:val="24"/>
          <w:lang w:eastAsia="ru-RU"/>
        </w:rPr>
        <w:t xml:space="preserve"> округе Тольятти осуществляет свою деятельность бизнес-инкубатор (управляющая компания муниципальное автономное учреждение городского округа Тольятти «Агентство экономического развития» (далее </w:t>
      </w:r>
      <w:r w:rsidR="00EB2D68" w:rsidRPr="00175E32">
        <w:rPr>
          <w:szCs w:val="24"/>
          <w:lang w:eastAsia="ru-RU"/>
        </w:rPr>
        <w:t xml:space="preserve">по разделу </w:t>
      </w:r>
      <w:r w:rsidRPr="00175E32">
        <w:rPr>
          <w:szCs w:val="24"/>
          <w:lang w:eastAsia="ru-RU"/>
        </w:rPr>
        <w:t>– МАУ «АЭР»), который оказывает всестороннюю поддержку начинающим и действующим предпринимателям.</w:t>
      </w:r>
    </w:p>
    <w:p w14:paraId="3AA9BA69" w14:textId="77777777" w:rsidR="00EB7B3A" w:rsidRPr="00175E32" w:rsidRDefault="00595D6B" w:rsidP="001340F7">
      <w:pPr>
        <w:tabs>
          <w:tab w:val="left" w:pos="567"/>
        </w:tabs>
        <w:suppressAutoHyphens w:val="0"/>
        <w:autoSpaceDE w:val="0"/>
        <w:autoSpaceDN w:val="0"/>
        <w:adjustRightInd w:val="0"/>
        <w:spacing w:line="276" w:lineRule="auto"/>
        <w:rPr>
          <w:szCs w:val="24"/>
          <w:lang w:eastAsia="ru-RU"/>
        </w:rPr>
      </w:pPr>
      <w:r>
        <w:rPr>
          <w:color w:val="000000"/>
          <w:szCs w:val="24"/>
          <w:lang w:eastAsia="ru-RU"/>
        </w:rPr>
        <w:t>В текущем году</w:t>
      </w:r>
      <w:r w:rsidR="00EB7B3A" w:rsidRPr="00175E32">
        <w:rPr>
          <w:color w:val="000000"/>
          <w:szCs w:val="24"/>
          <w:lang w:eastAsia="ru-RU"/>
        </w:rPr>
        <w:t xml:space="preserve"> в бизнес-инкубаторе на праве договоров аренды нежилых помещений размещено </w:t>
      </w:r>
      <w:r w:rsidR="00EB7B3A" w:rsidRPr="00E62F76">
        <w:rPr>
          <w:color w:val="000000"/>
          <w:szCs w:val="24"/>
          <w:lang w:eastAsia="ru-RU"/>
        </w:rPr>
        <w:t>45</w:t>
      </w:r>
      <w:r w:rsidR="00EB7B3A" w:rsidRPr="00175E32">
        <w:rPr>
          <w:color w:val="000000"/>
          <w:szCs w:val="24"/>
          <w:lang w:eastAsia="ru-RU"/>
        </w:rPr>
        <w:t xml:space="preserve"> компаний-резидентов, выручка резидентов за 1 </w:t>
      </w:r>
      <w:r w:rsidR="00E62F76">
        <w:rPr>
          <w:color w:val="000000"/>
          <w:szCs w:val="24"/>
          <w:lang w:eastAsia="ru-RU"/>
        </w:rPr>
        <w:t>полугодие</w:t>
      </w:r>
      <w:r w:rsidR="00EB7B3A" w:rsidRPr="00175E32">
        <w:rPr>
          <w:color w:val="000000"/>
          <w:szCs w:val="24"/>
          <w:lang w:eastAsia="ru-RU"/>
        </w:rPr>
        <w:t xml:space="preserve"> 2020 года составила</w:t>
      </w:r>
      <w:r w:rsidR="00EB7B3A" w:rsidRPr="00175E32">
        <w:rPr>
          <w:szCs w:val="24"/>
          <w:lang w:eastAsia="ru-RU"/>
        </w:rPr>
        <w:t xml:space="preserve"> </w:t>
      </w:r>
      <w:r w:rsidR="00E62F76">
        <w:rPr>
          <w:szCs w:val="24"/>
          <w:lang w:eastAsia="ru-RU"/>
        </w:rPr>
        <w:t>73 708,6</w:t>
      </w:r>
      <w:r w:rsidR="00EB7B3A" w:rsidRPr="00175E32">
        <w:rPr>
          <w:szCs w:val="24"/>
          <w:lang w:eastAsia="ru-RU"/>
        </w:rPr>
        <w:t xml:space="preserve"> тыс. руб</w:t>
      </w:r>
      <w:r w:rsidR="0030735E" w:rsidRPr="00175E32">
        <w:rPr>
          <w:szCs w:val="24"/>
          <w:lang w:eastAsia="ru-RU"/>
        </w:rPr>
        <w:t>лей</w:t>
      </w:r>
      <w:r w:rsidR="00E62F76">
        <w:rPr>
          <w:szCs w:val="24"/>
          <w:lang w:eastAsia="ru-RU"/>
        </w:rPr>
        <w:t>.</w:t>
      </w:r>
    </w:p>
    <w:p w14:paraId="1C613433" w14:textId="77777777" w:rsidR="00EB7B3A" w:rsidRPr="00175E32" w:rsidRDefault="00EB7B3A" w:rsidP="001340F7">
      <w:pPr>
        <w:suppressAutoHyphens w:val="0"/>
        <w:spacing w:line="276" w:lineRule="auto"/>
        <w:rPr>
          <w:szCs w:val="24"/>
          <w:lang w:eastAsia="ru-RU"/>
        </w:rPr>
      </w:pPr>
      <w:r w:rsidRPr="00175E32">
        <w:rPr>
          <w:szCs w:val="24"/>
          <w:lang w:eastAsia="ru-RU"/>
        </w:rPr>
        <w:t xml:space="preserve">Помимо этого, оказывается информационная, консультационная и образовательная поддержка для предпринимателей и физических лиц – потенциальных предпринимателей. В 1 полугодии 2020 года было проведено 4 курса повышения квалификации и профессиональной переподготовки, которые охватили 209 слушателей. Кроме того, было проведено 9 тренингов для предпринимателей, которые охватили 254 слушателя. Информационная и консультационная </w:t>
      </w:r>
      <w:r w:rsidR="00923023" w:rsidRPr="00175E32">
        <w:rPr>
          <w:szCs w:val="24"/>
          <w:lang w:eastAsia="ru-RU"/>
        </w:rPr>
        <w:t>поддержка оказана</w:t>
      </w:r>
      <w:r w:rsidRPr="00175E32">
        <w:rPr>
          <w:szCs w:val="24"/>
          <w:lang w:eastAsia="ru-RU"/>
        </w:rPr>
        <w:t xml:space="preserve"> 490 СМСП и физическим лицам. Так же 223 услуги (консультации) были оказаны СМСП и физическим </w:t>
      </w:r>
      <w:r w:rsidR="00923023" w:rsidRPr="00175E32">
        <w:rPr>
          <w:szCs w:val="24"/>
          <w:lang w:eastAsia="ru-RU"/>
        </w:rPr>
        <w:t>лицам при</w:t>
      </w:r>
      <w:r w:rsidRPr="00175E32">
        <w:rPr>
          <w:szCs w:val="24"/>
          <w:lang w:eastAsia="ru-RU"/>
        </w:rPr>
        <w:t xml:space="preserve"> проведении </w:t>
      </w:r>
      <w:r w:rsidR="00923023" w:rsidRPr="00175E32">
        <w:rPr>
          <w:szCs w:val="24"/>
          <w:lang w:eastAsia="ru-RU"/>
        </w:rPr>
        <w:t>мероприятий «</w:t>
      </w:r>
      <w:proofErr w:type="gramStart"/>
      <w:r w:rsidRPr="00175E32">
        <w:rPr>
          <w:szCs w:val="24"/>
          <w:lang w:eastAsia="ru-RU"/>
        </w:rPr>
        <w:t xml:space="preserve">партнёрами»   </w:t>
      </w:r>
      <w:proofErr w:type="gramEnd"/>
      <w:r w:rsidRPr="00175E32">
        <w:rPr>
          <w:szCs w:val="24"/>
          <w:lang w:eastAsia="ru-RU"/>
        </w:rPr>
        <w:t>бизнес-инкубатора.</w:t>
      </w:r>
    </w:p>
    <w:p w14:paraId="581C4B23" w14:textId="77777777" w:rsidR="00EB7B3A" w:rsidRPr="00175E32" w:rsidRDefault="00EB7B3A" w:rsidP="001340F7">
      <w:pPr>
        <w:widowControl w:val="0"/>
        <w:spacing w:line="276" w:lineRule="auto"/>
        <w:rPr>
          <w:szCs w:val="24"/>
          <w:lang w:eastAsia="ru-RU"/>
        </w:rPr>
      </w:pPr>
      <w:r w:rsidRPr="00175E32">
        <w:rPr>
          <w:szCs w:val="24"/>
          <w:lang w:eastAsia="ru-RU"/>
        </w:rPr>
        <w:t>Ведется работа по предоставлению в аренду, безвозмездное пользование объектов муниципального имущества, включенных в Перечень муниципального имущества городского округа Тольятти,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Данный перечень содержит 13 объ</w:t>
      </w:r>
      <w:r w:rsidR="00FC1C3D">
        <w:rPr>
          <w:szCs w:val="24"/>
          <w:lang w:eastAsia="ru-RU"/>
        </w:rPr>
        <w:t xml:space="preserve">ектов муниципального </w:t>
      </w:r>
      <w:r w:rsidR="00FC1C3D">
        <w:rPr>
          <w:szCs w:val="24"/>
          <w:lang w:eastAsia="ru-RU"/>
        </w:rPr>
        <w:lastRenderedPageBreak/>
        <w:t>имущества.</w:t>
      </w:r>
    </w:p>
    <w:p w14:paraId="507B69E9" w14:textId="77777777" w:rsidR="00EB7B3A" w:rsidRPr="00175E32" w:rsidRDefault="00EB7B3A" w:rsidP="001340F7">
      <w:pPr>
        <w:suppressAutoHyphens w:val="0"/>
        <w:spacing w:line="276" w:lineRule="auto"/>
        <w:rPr>
          <w:szCs w:val="24"/>
          <w:lang w:eastAsia="ru-RU"/>
        </w:rPr>
      </w:pPr>
      <w:r w:rsidRPr="00175E32">
        <w:rPr>
          <w:szCs w:val="24"/>
          <w:lang w:eastAsia="ru-RU"/>
        </w:rPr>
        <w:t>В рамках проведения оценки регулирующего воздействия проектов муниципальных нормативных правовых актов за 1 полугодие 2020 года рассмотрено 983 муниципальных нормативных правовых акта (проекта), подготовлено 44 заключения об оценке регулирующего воздействия проектов муниципальных нормативных правовых актов городского округа Тольятти. Проведена 1 экспертиза.</w:t>
      </w:r>
    </w:p>
    <w:p w14:paraId="299AF493" w14:textId="77777777" w:rsidR="00EB7B3A" w:rsidRPr="00175E32" w:rsidRDefault="00EB7B3A" w:rsidP="001340F7">
      <w:pPr>
        <w:suppressAutoHyphens w:val="0"/>
        <w:spacing w:line="276" w:lineRule="auto"/>
        <w:rPr>
          <w:szCs w:val="24"/>
          <w:lang w:eastAsia="ru-RU"/>
        </w:rPr>
      </w:pPr>
      <w:r w:rsidRPr="00175E32">
        <w:rPr>
          <w:szCs w:val="24"/>
          <w:lang w:eastAsia="ru-RU"/>
        </w:rPr>
        <w:t xml:space="preserve">В 2020 году продолжается реализация национального проекта «Малое и среднее предпринимательство и поддержка индивидуальной предпринимательской инициативы» (далее </w:t>
      </w:r>
      <w:r w:rsidR="00EB2D68" w:rsidRPr="00175E32">
        <w:rPr>
          <w:szCs w:val="24"/>
          <w:lang w:eastAsia="ru-RU"/>
        </w:rPr>
        <w:t xml:space="preserve">по разделу </w:t>
      </w:r>
      <w:r w:rsidRPr="00175E32">
        <w:rPr>
          <w:szCs w:val="24"/>
          <w:lang w:eastAsia="ru-RU"/>
        </w:rPr>
        <w:t>– Нацпроект МСП). На территории городского округа Тольятти реализуются мероприятия, включенные в следующие федеральные проекты: «Популяризация предпринимательства», «Акселерация СМСП», «Улучшение условий ведения предпринимательской деятельности» и «Расширение доступа СМСП к финансовым ресурсам, в том чис</w:t>
      </w:r>
      <w:r w:rsidR="00FC1C3D">
        <w:rPr>
          <w:szCs w:val="24"/>
          <w:lang w:eastAsia="ru-RU"/>
        </w:rPr>
        <w:t>ле к льготному финансированию».</w:t>
      </w:r>
    </w:p>
    <w:p w14:paraId="38A57894" w14:textId="77777777" w:rsidR="00EB7B3A" w:rsidRPr="00175E32" w:rsidRDefault="00EB7B3A" w:rsidP="001340F7">
      <w:pPr>
        <w:shd w:val="clear" w:color="auto" w:fill="FFFFFF"/>
        <w:suppressAutoHyphens w:val="0"/>
        <w:spacing w:line="276" w:lineRule="auto"/>
        <w:rPr>
          <w:szCs w:val="24"/>
          <w:lang w:eastAsia="ru-RU"/>
        </w:rPr>
      </w:pPr>
      <w:r w:rsidRPr="00175E32">
        <w:rPr>
          <w:szCs w:val="24"/>
          <w:lang w:eastAsia="ru-RU"/>
        </w:rPr>
        <w:t>На территории бизнес-инкубатора открыт центр «Мой бизнес», который оказывает следующие виды информационных и консультационных услуг:</w:t>
      </w:r>
    </w:p>
    <w:p w14:paraId="3F0FA30D" w14:textId="77777777" w:rsidR="00EB7B3A" w:rsidRPr="00175E32" w:rsidRDefault="00EB7B3A" w:rsidP="001340F7">
      <w:pPr>
        <w:shd w:val="clear" w:color="auto" w:fill="FFFFFF"/>
        <w:suppressAutoHyphens w:val="0"/>
        <w:spacing w:line="276" w:lineRule="auto"/>
        <w:rPr>
          <w:szCs w:val="24"/>
          <w:lang w:eastAsia="ru-RU"/>
        </w:rPr>
      </w:pPr>
      <w:r w:rsidRPr="00175E32">
        <w:rPr>
          <w:szCs w:val="24"/>
          <w:lang w:eastAsia="ru-RU"/>
        </w:rPr>
        <w:t>- о тренингах по программам обучения АО «Корпорация «МСП»;</w:t>
      </w:r>
    </w:p>
    <w:p w14:paraId="55EF0908" w14:textId="77777777" w:rsidR="00EB7B3A" w:rsidRPr="00175E32" w:rsidRDefault="00EB7B3A" w:rsidP="001340F7">
      <w:pPr>
        <w:shd w:val="clear" w:color="auto" w:fill="FFFFFF"/>
        <w:suppressAutoHyphens w:val="0"/>
        <w:spacing w:line="276" w:lineRule="auto"/>
        <w:rPr>
          <w:szCs w:val="24"/>
          <w:lang w:eastAsia="ru-RU"/>
        </w:rPr>
      </w:pPr>
      <w:r w:rsidRPr="00175E32">
        <w:rPr>
          <w:szCs w:val="24"/>
          <w:lang w:eastAsia="ru-RU"/>
        </w:rPr>
        <w:t>- по предоставлению по заданным параметрам информации о формах и условиях финансовой поддержки субъектов малого и среднего предпринимательства;</w:t>
      </w:r>
    </w:p>
    <w:p w14:paraId="4E3A538B" w14:textId="77777777" w:rsidR="00EB7B3A" w:rsidRPr="00175E32" w:rsidRDefault="00EB7B3A" w:rsidP="001340F7">
      <w:pPr>
        <w:shd w:val="clear" w:color="auto" w:fill="FFFFFF"/>
        <w:suppressAutoHyphens w:val="0"/>
        <w:spacing w:line="276" w:lineRule="auto"/>
        <w:rPr>
          <w:szCs w:val="24"/>
          <w:lang w:eastAsia="ru-RU"/>
        </w:rPr>
      </w:pPr>
      <w:r w:rsidRPr="00175E32">
        <w:rPr>
          <w:szCs w:val="24"/>
          <w:lang w:eastAsia="ru-RU"/>
        </w:rPr>
        <w:t>- по регистрации на Портале Бизнес-навигатор МСП;</w:t>
      </w:r>
    </w:p>
    <w:p w14:paraId="2EA3DAF5" w14:textId="77777777" w:rsidR="00EB7B3A" w:rsidRPr="00175E32" w:rsidRDefault="00EB7B3A" w:rsidP="001340F7">
      <w:pPr>
        <w:shd w:val="clear" w:color="auto" w:fill="FFFFFF"/>
        <w:suppressAutoHyphens w:val="0"/>
        <w:spacing w:line="276" w:lineRule="auto"/>
        <w:rPr>
          <w:szCs w:val="24"/>
          <w:lang w:eastAsia="ru-RU"/>
        </w:rPr>
      </w:pPr>
      <w:r w:rsidRPr="00175E32">
        <w:rPr>
          <w:szCs w:val="24"/>
          <w:lang w:eastAsia="ru-RU"/>
        </w:rPr>
        <w:t>- по государственной регистрации юридических лиц, физических лиц в качестве индивидуальных предпринимателей и крестьянских (фермерских) хозяйств;</w:t>
      </w:r>
    </w:p>
    <w:p w14:paraId="5F13AC37" w14:textId="77777777" w:rsidR="00EB7B3A" w:rsidRPr="00175E32" w:rsidRDefault="00EB7B3A" w:rsidP="001340F7">
      <w:pPr>
        <w:shd w:val="clear" w:color="auto" w:fill="FFFFFF"/>
        <w:suppressAutoHyphens w:val="0"/>
        <w:spacing w:line="276" w:lineRule="auto"/>
        <w:rPr>
          <w:szCs w:val="24"/>
          <w:lang w:eastAsia="ru-RU"/>
        </w:rPr>
      </w:pPr>
      <w:r w:rsidRPr="00175E32">
        <w:rPr>
          <w:szCs w:val="24"/>
          <w:lang w:eastAsia="ru-RU"/>
        </w:rPr>
        <w:t>- по регистрации в мобильном приложении «Мой налог».</w:t>
      </w:r>
    </w:p>
    <w:p w14:paraId="10C29133" w14:textId="77777777" w:rsidR="00EB7B3A" w:rsidRPr="00175E32" w:rsidRDefault="00EB7B3A" w:rsidP="001340F7">
      <w:pPr>
        <w:suppressAutoHyphens w:val="0"/>
        <w:spacing w:line="276" w:lineRule="auto"/>
        <w:rPr>
          <w:szCs w:val="24"/>
          <w:lang w:eastAsia="ru-RU"/>
        </w:rPr>
      </w:pPr>
      <w:r w:rsidRPr="00175E32">
        <w:rPr>
          <w:szCs w:val="24"/>
          <w:lang w:eastAsia="ru-RU"/>
        </w:rPr>
        <w:t xml:space="preserve">На 01.07.2020 количество </w:t>
      </w:r>
      <w:r w:rsidR="00C86C0F" w:rsidRPr="00175E32">
        <w:rPr>
          <w:szCs w:val="24"/>
          <w:lang w:eastAsia="ru-RU"/>
        </w:rPr>
        <w:t>С</w:t>
      </w:r>
      <w:r w:rsidRPr="00175E32">
        <w:rPr>
          <w:szCs w:val="24"/>
          <w:lang w:eastAsia="ru-RU"/>
        </w:rPr>
        <w:t>МСП</w:t>
      </w:r>
      <w:r w:rsidR="00712A49">
        <w:rPr>
          <w:szCs w:val="24"/>
          <w:lang w:eastAsia="ru-RU"/>
        </w:rPr>
        <w:t>,</w:t>
      </w:r>
      <w:r w:rsidRPr="00175E32">
        <w:rPr>
          <w:szCs w:val="24"/>
          <w:lang w:eastAsia="ru-RU"/>
        </w:rPr>
        <w:t xml:space="preserve"> получивших информационную и консультационную услуги в центре «Мой бизнес»</w:t>
      </w:r>
      <w:r w:rsidR="00712A49">
        <w:rPr>
          <w:szCs w:val="24"/>
          <w:lang w:eastAsia="ru-RU"/>
        </w:rPr>
        <w:t>,</w:t>
      </w:r>
      <w:r w:rsidRPr="00175E32">
        <w:rPr>
          <w:szCs w:val="24"/>
          <w:lang w:eastAsia="ru-RU"/>
        </w:rPr>
        <w:t xml:space="preserve"> </w:t>
      </w:r>
      <w:r w:rsidR="00C86C0F" w:rsidRPr="00175E32">
        <w:rPr>
          <w:szCs w:val="24"/>
          <w:lang w:eastAsia="ru-RU"/>
        </w:rPr>
        <w:t xml:space="preserve">составило </w:t>
      </w:r>
      <w:r w:rsidRPr="00175E32">
        <w:rPr>
          <w:szCs w:val="24"/>
          <w:lang w:eastAsia="ru-RU"/>
        </w:rPr>
        <w:t>211 ед.</w:t>
      </w:r>
    </w:p>
    <w:p w14:paraId="1349157E" w14:textId="77777777" w:rsidR="008D7A93" w:rsidRPr="00175E32" w:rsidRDefault="002C47EC" w:rsidP="008D7A93">
      <w:pPr>
        <w:pStyle w:val="afb"/>
        <w:numPr>
          <w:ilvl w:val="0"/>
          <w:numId w:val="5"/>
        </w:numPr>
        <w:tabs>
          <w:tab w:val="left" w:pos="142"/>
          <w:tab w:val="left" w:pos="9720"/>
        </w:tabs>
        <w:suppressAutoHyphens w:val="0"/>
        <w:ind w:left="0" w:firstLine="709"/>
        <w:contextualSpacing/>
        <w:textAlignment w:val="top"/>
        <w:rPr>
          <w:szCs w:val="24"/>
          <w:lang w:eastAsia="ru-RU"/>
        </w:rPr>
      </w:pPr>
      <w:r w:rsidRPr="00175E32">
        <w:rPr>
          <w:szCs w:val="24"/>
        </w:rPr>
        <w:t xml:space="preserve">С 2020 года в Самарской области действует экспериментальная форма налогоплательщиков. Специальный налоговый режим «Налог на профессиональный доход» для самозанятых граждан будет действовать в течение 10 лет. Введение налогового </w:t>
      </w:r>
      <w:r w:rsidRPr="00175E32">
        <w:rPr>
          <w:szCs w:val="24"/>
          <w:lang w:eastAsia="ru-RU"/>
        </w:rPr>
        <w:t xml:space="preserve">режима для самозанятых позволит легально вести бизнес и получать доход от подработок без рисков получить штраф за незаконную предпринимательскую деятельность. </w:t>
      </w:r>
      <w:r w:rsidR="008D7A93" w:rsidRPr="00175E32">
        <w:rPr>
          <w:szCs w:val="24"/>
          <w:lang w:eastAsia="ru-RU"/>
        </w:rPr>
        <w:t xml:space="preserve">По состоянию на 1 </w:t>
      </w:r>
      <w:r w:rsidR="00712A49">
        <w:rPr>
          <w:szCs w:val="24"/>
          <w:lang w:eastAsia="ru-RU"/>
        </w:rPr>
        <w:t>июля</w:t>
      </w:r>
      <w:r w:rsidR="008D7A93" w:rsidRPr="00175E32">
        <w:rPr>
          <w:szCs w:val="24"/>
          <w:lang w:eastAsia="ru-RU"/>
        </w:rPr>
        <w:t xml:space="preserve"> 2020 года в качестве самозанятых </w:t>
      </w:r>
      <w:r w:rsidR="00712A49">
        <w:rPr>
          <w:szCs w:val="24"/>
          <w:lang w:eastAsia="ru-RU"/>
        </w:rPr>
        <w:t xml:space="preserve">было </w:t>
      </w:r>
      <w:r w:rsidR="008D7A93" w:rsidRPr="00175E32">
        <w:rPr>
          <w:szCs w:val="24"/>
          <w:lang w:eastAsia="ru-RU"/>
        </w:rPr>
        <w:t xml:space="preserve">зарегистрировано </w:t>
      </w:r>
      <w:r w:rsidR="00AC00F1">
        <w:rPr>
          <w:szCs w:val="24"/>
          <w:lang w:eastAsia="ru-RU"/>
        </w:rPr>
        <w:t>4,807</w:t>
      </w:r>
      <w:r w:rsidR="008D7A93" w:rsidRPr="00175E32">
        <w:rPr>
          <w:szCs w:val="24"/>
          <w:lang w:eastAsia="ru-RU"/>
        </w:rPr>
        <w:t xml:space="preserve"> тыс</w:t>
      </w:r>
      <w:r w:rsidR="00712A49">
        <w:rPr>
          <w:szCs w:val="24"/>
          <w:lang w:eastAsia="ru-RU"/>
        </w:rPr>
        <w:t>.</w:t>
      </w:r>
      <w:r w:rsidR="008D7A93" w:rsidRPr="00175E32">
        <w:rPr>
          <w:szCs w:val="24"/>
          <w:lang w:eastAsia="ru-RU"/>
        </w:rPr>
        <w:t xml:space="preserve"> граждан городского округа Тольятти</w:t>
      </w:r>
      <w:r w:rsidR="00712A49">
        <w:rPr>
          <w:szCs w:val="24"/>
          <w:lang w:eastAsia="ru-RU"/>
        </w:rPr>
        <w:t xml:space="preserve"> (на 1 октября </w:t>
      </w:r>
      <w:r w:rsidR="00AC00F1">
        <w:rPr>
          <w:szCs w:val="24"/>
          <w:lang w:eastAsia="ru-RU"/>
        </w:rPr>
        <w:t>–</w:t>
      </w:r>
      <w:r w:rsidR="00712A49">
        <w:rPr>
          <w:szCs w:val="24"/>
          <w:lang w:eastAsia="ru-RU"/>
        </w:rPr>
        <w:t xml:space="preserve"> </w:t>
      </w:r>
      <w:r w:rsidR="00AC00F1">
        <w:rPr>
          <w:szCs w:val="24"/>
          <w:lang w:eastAsia="ru-RU"/>
        </w:rPr>
        <w:t>7,070</w:t>
      </w:r>
      <w:r w:rsidR="00712A49">
        <w:rPr>
          <w:szCs w:val="24"/>
          <w:lang w:eastAsia="ru-RU"/>
        </w:rPr>
        <w:t xml:space="preserve"> тыс.</w:t>
      </w:r>
      <w:r w:rsidR="002754E7">
        <w:rPr>
          <w:szCs w:val="24"/>
          <w:lang w:eastAsia="ru-RU"/>
        </w:rPr>
        <w:t xml:space="preserve"> </w:t>
      </w:r>
      <w:r w:rsidR="00712A49">
        <w:rPr>
          <w:szCs w:val="24"/>
          <w:lang w:eastAsia="ru-RU"/>
        </w:rPr>
        <w:t>граждан)</w:t>
      </w:r>
      <w:r w:rsidR="008D7A93" w:rsidRPr="00175E32">
        <w:rPr>
          <w:szCs w:val="24"/>
          <w:lang w:eastAsia="ru-RU"/>
        </w:rPr>
        <w:t>.</w:t>
      </w:r>
    </w:p>
    <w:p w14:paraId="75CA2C95" w14:textId="77777777" w:rsidR="00EB7B3A" w:rsidRPr="00175E32" w:rsidRDefault="00EB7B3A" w:rsidP="002C47EC">
      <w:pPr>
        <w:spacing w:line="276" w:lineRule="auto"/>
        <w:rPr>
          <w:szCs w:val="24"/>
        </w:rPr>
      </w:pPr>
    </w:p>
    <w:p w14:paraId="681D379A" w14:textId="77777777" w:rsidR="00DC0D24" w:rsidRPr="00175E32" w:rsidRDefault="00DC0D24" w:rsidP="0048723E">
      <w:pPr>
        <w:pStyle w:val="3"/>
      </w:pPr>
      <w:r w:rsidRPr="00175E32">
        <w:t>Инвестиции в основной капитал</w:t>
      </w:r>
    </w:p>
    <w:p w14:paraId="43EB094E" w14:textId="77777777" w:rsidR="00DC0D24" w:rsidRPr="00175E32" w:rsidRDefault="00DC0D24" w:rsidP="00DC0D24">
      <w:pPr>
        <w:spacing w:line="276" w:lineRule="auto"/>
        <w:jc w:val="center"/>
        <w:rPr>
          <w:b/>
          <w:szCs w:val="24"/>
        </w:rPr>
      </w:pPr>
    </w:p>
    <w:p w14:paraId="2AD0C091" w14:textId="77777777" w:rsidR="00EE07F3" w:rsidRPr="00175E32" w:rsidRDefault="00EE07F3" w:rsidP="001340F7">
      <w:pPr>
        <w:spacing w:line="276" w:lineRule="auto"/>
        <w:rPr>
          <w:szCs w:val="24"/>
        </w:rPr>
      </w:pPr>
      <w:r w:rsidRPr="00175E32">
        <w:rPr>
          <w:szCs w:val="24"/>
        </w:rPr>
        <w:t>В 1 полугодии 2020 года отмечается увеличение инвестиций в основной капитал. На развитие экономики и социальной сферы организациями городского округа Тольятти, не относящимися к субъектам малого предпринимател</w:t>
      </w:r>
      <w:r w:rsidR="00FC1C3D">
        <w:rPr>
          <w:szCs w:val="24"/>
        </w:rPr>
        <w:t>ьства, направлено 13 455,0 млн. </w:t>
      </w:r>
      <w:r w:rsidRPr="00175E32">
        <w:rPr>
          <w:szCs w:val="24"/>
        </w:rPr>
        <w:t>рублей инвестиций в основной капитал, что</w:t>
      </w:r>
      <w:r w:rsidR="00FC1C3D">
        <w:rPr>
          <w:szCs w:val="24"/>
        </w:rPr>
        <w:t xml:space="preserve"> больше, чем в 1 полугодии 2019 </w:t>
      </w:r>
      <w:r w:rsidRPr="00175E32">
        <w:rPr>
          <w:szCs w:val="24"/>
        </w:rPr>
        <w:t>года на 36,0% в действующих ценах.</w:t>
      </w:r>
    </w:p>
    <w:p w14:paraId="25783C3D" w14:textId="77777777" w:rsidR="00EE07F3" w:rsidRPr="00175E32" w:rsidRDefault="00EE07F3" w:rsidP="001340F7">
      <w:pPr>
        <w:spacing w:line="276" w:lineRule="auto"/>
        <w:rPr>
          <w:szCs w:val="24"/>
        </w:rPr>
      </w:pPr>
      <w:r w:rsidRPr="00175E32">
        <w:rPr>
          <w:szCs w:val="24"/>
        </w:rPr>
        <w:t xml:space="preserve">Доля Тольятти в общем объеме инвестиций в основной капитал по Самарской области составила 19,0% (второе место по объемам после городского округа Самара). При этом по объемам инвестиций на душу населения (за исключением бюджетных) городской округ Тольятти в </w:t>
      </w:r>
      <w:r w:rsidR="00C86C0F" w:rsidRPr="00175E32">
        <w:rPr>
          <w:szCs w:val="24"/>
        </w:rPr>
        <w:t xml:space="preserve">1 полугодии </w:t>
      </w:r>
      <w:r w:rsidRPr="00175E32">
        <w:rPr>
          <w:szCs w:val="24"/>
        </w:rPr>
        <w:t>20</w:t>
      </w:r>
      <w:r w:rsidR="00C86C0F" w:rsidRPr="00175E32">
        <w:rPr>
          <w:szCs w:val="24"/>
        </w:rPr>
        <w:t>20</w:t>
      </w:r>
      <w:r w:rsidRPr="00175E32">
        <w:rPr>
          <w:szCs w:val="24"/>
        </w:rPr>
        <w:t xml:space="preserve"> год</w:t>
      </w:r>
      <w:r w:rsidR="00C86C0F" w:rsidRPr="00175E32">
        <w:rPr>
          <w:szCs w:val="24"/>
        </w:rPr>
        <w:t>а</w:t>
      </w:r>
      <w:r w:rsidRPr="00175E32">
        <w:rPr>
          <w:szCs w:val="24"/>
        </w:rPr>
        <w:t xml:space="preserve"> занял пятое место среди городских округов Самарской области </w:t>
      </w:r>
      <w:r w:rsidR="00EB2D68" w:rsidRPr="00175E32">
        <w:rPr>
          <w:szCs w:val="24"/>
        </w:rPr>
        <w:t>(на уровне прошлого года)</w:t>
      </w:r>
      <w:r w:rsidRPr="00175E32">
        <w:rPr>
          <w:szCs w:val="24"/>
        </w:rPr>
        <w:t>.</w:t>
      </w:r>
    </w:p>
    <w:p w14:paraId="10ABC788" w14:textId="77777777" w:rsidR="00B602AE" w:rsidRPr="00175E32" w:rsidRDefault="00EE07F3" w:rsidP="00B602AE">
      <w:pPr>
        <w:spacing w:line="276" w:lineRule="auto"/>
      </w:pPr>
      <w:r w:rsidRPr="00175E32">
        <w:rPr>
          <w:szCs w:val="24"/>
        </w:rPr>
        <w:lastRenderedPageBreak/>
        <w:t>Основной источник финансирования инвестиций в 1 полугодии 2020 года – привлеченные средства, их доля в отчетном периоде составила 55,6% от общего объема инвестиций (в 1 полугодии 2019 года – 20,0%)</w:t>
      </w:r>
      <w:r w:rsidR="00B602AE" w:rsidRPr="00175E32">
        <w:rPr>
          <w:szCs w:val="24"/>
        </w:rPr>
        <w:t xml:space="preserve">, </w:t>
      </w:r>
      <w:r w:rsidR="00B602AE" w:rsidRPr="00175E32">
        <w:t>в 3,7 раза</w:t>
      </w:r>
      <w:r w:rsidR="00FC1C3D">
        <w:t xml:space="preserve"> выросли кредиты банков и в 2,5 </w:t>
      </w:r>
      <w:r w:rsidR="00B602AE" w:rsidRPr="00175E32">
        <w:t>раза прочие инвестиций, привлеченные в рамках частного партнерства.</w:t>
      </w:r>
    </w:p>
    <w:p w14:paraId="291257F1" w14:textId="77777777" w:rsidR="00EE07F3" w:rsidRPr="00175E32" w:rsidRDefault="00EE07F3" w:rsidP="001340F7">
      <w:pPr>
        <w:pStyle w:val="aff0"/>
        <w:spacing w:line="276" w:lineRule="auto"/>
        <w:rPr>
          <w:sz w:val="24"/>
          <w:szCs w:val="24"/>
        </w:rPr>
      </w:pPr>
      <w:r w:rsidRPr="00175E32">
        <w:rPr>
          <w:sz w:val="24"/>
          <w:szCs w:val="24"/>
        </w:rPr>
        <w:t>За счет собственных средств освоено 44,4% инвестиций (в январе-июне 2019 года – 80,0%)</w:t>
      </w:r>
      <w:r w:rsidR="00B602AE" w:rsidRPr="00175E32">
        <w:rPr>
          <w:sz w:val="24"/>
          <w:szCs w:val="24"/>
        </w:rPr>
        <w:t xml:space="preserve">, их объем снизился на 24,4% </w:t>
      </w:r>
      <w:r w:rsidR="00923023" w:rsidRPr="00175E32">
        <w:rPr>
          <w:sz w:val="24"/>
          <w:szCs w:val="24"/>
        </w:rPr>
        <w:t>к 1</w:t>
      </w:r>
      <w:r w:rsidR="00B602AE" w:rsidRPr="00175E32">
        <w:rPr>
          <w:sz w:val="24"/>
          <w:szCs w:val="24"/>
        </w:rPr>
        <w:t xml:space="preserve"> полугодию 2019 года</w:t>
      </w:r>
      <w:r w:rsidR="00FC1C3D">
        <w:rPr>
          <w:sz w:val="24"/>
          <w:szCs w:val="24"/>
        </w:rPr>
        <w:t>.</w:t>
      </w:r>
    </w:p>
    <w:p w14:paraId="3FC4807B" w14:textId="77777777" w:rsidR="00EE07F3" w:rsidRPr="00175E32" w:rsidRDefault="00EE07F3" w:rsidP="001340F7">
      <w:pPr>
        <w:pStyle w:val="aff0"/>
        <w:spacing w:line="276" w:lineRule="auto"/>
        <w:rPr>
          <w:sz w:val="24"/>
          <w:szCs w:val="24"/>
        </w:rPr>
      </w:pPr>
      <w:r w:rsidRPr="00175E32">
        <w:rPr>
          <w:sz w:val="24"/>
          <w:szCs w:val="24"/>
        </w:rPr>
        <w:t>В общем объеме инвестиций в основной капитал по городскому округу Тольятти основная доля пришлась на обрабатывающие производс</w:t>
      </w:r>
      <w:r w:rsidR="00FC1C3D">
        <w:rPr>
          <w:sz w:val="24"/>
          <w:szCs w:val="24"/>
        </w:rPr>
        <w:t>тва – 84,4%, или 11 359,8 млн. </w:t>
      </w:r>
      <w:r w:rsidR="008D7A93" w:rsidRPr="00175E32">
        <w:rPr>
          <w:sz w:val="24"/>
          <w:szCs w:val="24"/>
        </w:rPr>
        <w:t>рублей</w:t>
      </w:r>
      <w:r w:rsidRPr="00175E32">
        <w:rPr>
          <w:sz w:val="24"/>
          <w:szCs w:val="24"/>
        </w:rPr>
        <w:t xml:space="preserve">; на обеспечение электрической энергией, газом, паром; водоснабжение, водоотведение, сбор и утилизацию отходов – 1,68% или 92,3 млн. </w:t>
      </w:r>
      <w:r w:rsidR="008D7A93" w:rsidRPr="00175E32">
        <w:rPr>
          <w:sz w:val="24"/>
          <w:szCs w:val="24"/>
        </w:rPr>
        <w:t>рублей</w:t>
      </w:r>
      <w:r w:rsidR="006B0473">
        <w:rPr>
          <w:sz w:val="24"/>
          <w:szCs w:val="24"/>
        </w:rPr>
        <w:t xml:space="preserve">. </w:t>
      </w:r>
      <w:r w:rsidRPr="00175E32">
        <w:rPr>
          <w:sz w:val="24"/>
          <w:szCs w:val="24"/>
        </w:rPr>
        <w:t xml:space="preserve">На долю предприятий оптовой и розничной торговли пришлось 2,8% инвестиций (382,0 млн. </w:t>
      </w:r>
      <w:r w:rsidR="008D7A93" w:rsidRPr="00175E32">
        <w:rPr>
          <w:sz w:val="24"/>
          <w:szCs w:val="24"/>
        </w:rPr>
        <w:t>рублей</w:t>
      </w:r>
      <w:r w:rsidRPr="00175E32">
        <w:rPr>
          <w:sz w:val="24"/>
          <w:szCs w:val="24"/>
        </w:rPr>
        <w:t>).</w:t>
      </w:r>
    </w:p>
    <w:p w14:paraId="7081D6E8" w14:textId="77777777" w:rsidR="00EE07F3" w:rsidRPr="00175E32" w:rsidRDefault="00EE07F3" w:rsidP="001340F7">
      <w:pPr>
        <w:spacing w:line="276" w:lineRule="auto"/>
        <w:rPr>
          <w:szCs w:val="24"/>
        </w:rPr>
      </w:pPr>
      <w:r w:rsidRPr="00175E32">
        <w:rPr>
          <w:szCs w:val="24"/>
        </w:rPr>
        <w:t>Объемы инвестиций по виду деятельности «Производство автотранспортных средств, прицепов и полуприцепов» в 1 полугодии 2</w:t>
      </w:r>
      <w:r w:rsidR="00FC1C3D">
        <w:rPr>
          <w:szCs w:val="24"/>
        </w:rPr>
        <w:t>020 года составили 4 502,0 млн. </w:t>
      </w:r>
      <w:r w:rsidR="008D7A93" w:rsidRPr="00175E32">
        <w:rPr>
          <w:szCs w:val="24"/>
        </w:rPr>
        <w:t>рублей</w:t>
      </w:r>
      <w:r w:rsidRPr="00175E32">
        <w:rPr>
          <w:szCs w:val="24"/>
        </w:rPr>
        <w:t xml:space="preserve">, что на 32,4% выше аналогичного периода прошлого года (39,6% от общего объема инвестиций в основной капитал). </w:t>
      </w:r>
    </w:p>
    <w:p w14:paraId="401E7585" w14:textId="77777777" w:rsidR="00EE07F3" w:rsidRPr="00175E32" w:rsidRDefault="00EE07F3" w:rsidP="001340F7">
      <w:pPr>
        <w:spacing w:line="276" w:lineRule="auto"/>
        <w:rPr>
          <w:szCs w:val="24"/>
        </w:rPr>
      </w:pPr>
      <w:r w:rsidRPr="00175E32">
        <w:rPr>
          <w:szCs w:val="24"/>
        </w:rPr>
        <w:t xml:space="preserve">На АО «АВТОВАЗ» реализуются инвестиционные проекты, направленные на организацию и развитие производства автомобилей на платформе В0, производство семейства автомобилей LADA B/C, производство автомобилей LADA GRANTA и LADA KALINA, </w:t>
      </w:r>
      <w:r w:rsidRPr="00175E32">
        <w:rPr>
          <w:szCs w:val="24"/>
          <w:lang w:val="en-US"/>
        </w:rPr>
        <w:t>LFRGUS</w:t>
      </w:r>
      <w:r w:rsidRPr="00175E32">
        <w:rPr>
          <w:szCs w:val="24"/>
        </w:rPr>
        <w:t xml:space="preserve"> производство автомобилей XRAY, локализацию двигателя Н4, производство автомобиля 4х4 NG (</w:t>
      </w:r>
      <w:proofErr w:type="spellStart"/>
      <w:r w:rsidRPr="00175E32">
        <w:rPr>
          <w:szCs w:val="24"/>
        </w:rPr>
        <w:t>New</w:t>
      </w:r>
      <w:proofErr w:type="spellEnd"/>
      <w:r w:rsidRPr="00175E32">
        <w:rPr>
          <w:szCs w:val="24"/>
        </w:rPr>
        <w:t xml:space="preserve"> </w:t>
      </w:r>
      <w:proofErr w:type="spellStart"/>
      <w:r w:rsidRPr="00175E32">
        <w:rPr>
          <w:szCs w:val="24"/>
        </w:rPr>
        <w:t>Generation</w:t>
      </w:r>
      <w:proofErr w:type="spellEnd"/>
      <w:r w:rsidRPr="00175E32">
        <w:rPr>
          <w:szCs w:val="24"/>
        </w:rPr>
        <w:t>).</w:t>
      </w:r>
    </w:p>
    <w:p w14:paraId="6B8F573D" w14:textId="77777777" w:rsidR="00EE07F3" w:rsidRPr="00175E32" w:rsidRDefault="00EE07F3" w:rsidP="001340F7">
      <w:pPr>
        <w:tabs>
          <w:tab w:val="num" w:pos="0"/>
        </w:tabs>
        <w:spacing w:line="276" w:lineRule="auto"/>
        <w:rPr>
          <w:szCs w:val="24"/>
        </w:rPr>
      </w:pPr>
      <w:r w:rsidRPr="00175E32">
        <w:rPr>
          <w:szCs w:val="24"/>
        </w:rPr>
        <w:t xml:space="preserve">Тремя приоритетными проектами на заводе являются </w:t>
      </w:r>
      <w:proofErr w:type="spellStart"/>
      <w:r w:rsidRPr="00175E32">
        <w:rPr>
          <w:szCs w:val="24"/>
        </w:rPr>
        <w:t>фейслифтинги</w:t>
      </w:r>
      <w:proofErr w:type="spellEnd"/>
      <w:r w:rsidRPr="00175E32">
        <w:rPr>
          <w:szCs w:val="24"/>
        </w:rPr>
        <w:t xml:space="preserve"> моделей </w:t>
      </w:r>
      <w:proofErr w:type="spellStart"/>
      <w:r w:rsidRPr="00175E32">
        <w:rPr>
          <w:szCs w:val="24"/>
        </w:rPr>
        <w:t>Ларгус</w:t>
      </w:r>
      <w:proofErr w:type="spellEnd"/>
      <w:r w:rsidRPr="00175E32">
        <w:rPr>
          <w:szCs w:val="24"/>
        </w:rPr>
        <w:t xml:space="preserve">, Веста и Нива. Выход всех трех обновленных моделей запланирован на 4 квартал 2020 года. Четвертый проект представляет собой линейку силовых агрегатов под </w:t>
      </w:r>
      <w:r w:rsidR="00923023" w:rsidRPr="00175E32">
        <w:rPr>
          <w:szCs w:val="24"/>
        </w:rPr>
        <w:t>названием (</w:t>
      </w:r>
      <w:r w:rsidRPr="00175E32">
        <w:rPr>
          <w:szCs w:val="24"/>
          <w:lang w:val="en-US"/>
        </w:rPr>
        <w:t>New</w:t>
      </w:r>
      <w:r w:rsidRPr="00175E32">
        <w:rPr>
          <w:szCs w:val="24"/>
        </w:rPr>
        <w:t xml:space="preserve"> </w:t>
      </w:r>
      <w:r w:rsidRPr="00175E32">
        <w:rPr>
          <w:szCs w:val="24"/>
          <w:lang w:val="en-US"/>
        </w:rPr>
        <w:t>PWT</w:t>
      </w:r>
      <w:r w:rsidRPr="00175E32">
        <w:rPr>
          <w:szCs w:val="24"/>
        </w:rPr>
        <w:t xml:space="preserve"> </w:t>
      </w:r>
      <w:r w:rsidRPr="00175E32">
        <w:rPr>
          <w:szCs w:val="24"/>
          <w:lang w:val="en-US"/>
        </w:rPr>
        <w:t>range</w:t>
      </w:r>
      <w:r w:rsidRPr="00175E32">
        <w:rPr>
          <w:szCs w:val="24"/>
        </w:rPr>
        <w:t xml:space="preserve"> </w:t>
      </w:r>
      <w:r w:rsidRPr="00175E32">
        <w:rPr>
          <w:szCs w:val="24"/>
          <w:lang w:val="en-US"/>
        </w:rPr>
        <w:t>Development</w:t>
      </w:r>
      <w:r w:rsidRPr="00175E32">
        <w:rPr>
          <w:szCs w:val="24"/>
        </w:rPr>
        <w:t xml:space="preserve"> </w:t>
      </w:r>
      <w:r w:rsidRPr="00175E32">
        <w:rPr>
          <w:szCs w:val="24"/>
          <w:lang w:val="en-US"/>
        </w:rPr>
        <w:t>Line</w:t>
      </w:r>
      <w:r w:rsidRPr="00175E32">
        <w:rPr>
          <w:szCs w:val="24"/>
        </w:rPr>
        <w:t>-</w:t>
      </w:r>
      <w:r w:rsidRPr="00175E32">
        <w:rPr>
          <w:szCs w:val="24"/>
          <w:lang w:val="en-US"/>
        </w:rPr>
        <w:t>Up</w:t>
      </w:r>
      <w:r w:rsidRPr="00175E32">
        <w:rPr>
          <w:szCs w:val="24"/>
        </w:rPr>
        <w:t xml:space="preserve"> </w:t>
      </w:r>
      <w:r w:rsidRPr="00175E32">
        <w:rPr>
          <w:szCs w:val="24"/>
          <w:lang w:val="en-US"/>
        </w:rPr>
        <w:t>b</w:t>
      </w:r>
      <w:r w:rsidRPr="00175E32">
        <w:rPr>
          <w:szCs w:val="24"/>
        </w:rPr>
        <w:t xml:space="preserve"> </w:t>
      </w:r>
      <w:r w:rsidRPr="00175E32">
        <w:rPr>
          <w:szCs w:val="24"/>
          <w:lang w:val="en-US"/>
        </w:rPr>
        <w:t>Non</w:t>
      </w:r>
      <w:r w:rsidRPr="00175E32">
        <w:rPr>
          <w:szCs w:val="24"/>
        </w:rPr>
        <w:t>-</w:t>
      </w:r>
      <w:r w:rsidRPr="00175E32">
        <w:rPr>
          <w:szCs w:val="24"/>
          <w:lang w:val="en-US"/>
        </w:rPr>
        <w:t>Line</w:t>
      </w:r>
      <w:r w:rsidRPr="00175E32">
        <w:rPr>
          <w:szCs w:val="24"/>
        </w:rPr>
        <w:t>-</w:t>
      </w:r>
      <w:r w:rsidRPr="00175E32">
        <w:rPr>
          <w:szCs w:val="24"/>
          <w:lang w:val="en-US"/>
        </w:rPr>
        <w:t>Up</w:t>
      </w:r>
      <w:r w:rsidRPr="00175E32">
        <w:rPr>
          <w:szCs w:val="24"/>
        </w:rPr>
        <w:t>).</w:t>
      </w:r>
    </w:p>
    <w:p w14:paraId="7512BCE3" w14:textId="77777777" w:rsidR="00EE07F3" w:rsidRPr="00175E32" w:rsidRDefault="00EE07F3" w:rsidP="001340F7">
      <w:pPr>
        <w:pStyle w:val="aff0"/>
        <w:spacing w:line="276" w:lineRule="auto"/>
        <w:rPr>
          <w:sz w:val="24"/>
          <w:szCs w:val="24"/>
        </w:rPr>
      </w:pPr>
      <w:r w:rsidRPr="00175E32">
        <w:rPr>
          <w:sz w:val="24"/>
          <w:szCs w:val="24"/>
        </w:rPr>
        <w:t xml:space="preserve">Также предприятие продолжает модернизировать производственные технологии и процессы, в отдельных производствах были выполнены подготовительные работы для будущих и действующих проектов. Так, на предприятии модернизированы сборочные линии, продолжены работы по организации процесса контроля качества автомобилей по стандартам Альянса. В феврале текущего года запустили новый испытательный трек, в настоящее время реализовываются следующие шаги – запуск дождевой камеры, линии СSC с бесшумной камерой и зоны PESD. </w:t>
      </w:r>
    </w:p>
    <w:p w14:paraId="6AE548DF" w14:textId="77777777" w:rsidR="00EE07F3" w:rsidRPr="00175E32" w:rsidRDefault="00EE07F3" w:rsidP="001340F7">
      <w:pPr>
        <w:spacing w:line="276" w:lineRule="auto"/>
        <w:rPr>
          <w:szCs w:val="24"/>
        </w:rPr>
      </w:pPr>
      <w:r w:rsidRPr="00175E32">
        <w:rPr>
          <w:szCs w:val="24"/>
        </w:rPr>
        <w:t>Объемы инвестиций в основной капитал по виду деятельности «Производство химических веществ и химических продуктов» в январе-июне 2020 года составили 6 510,2 млн. рублей, что на 45,7% выше уровня предыдущего года (57,3% от общего объема инвестиций в основной капитал).</w:t>
      </w:r>
    </w:p>
    <w:p w14:paraId="79298F51" w14:textId="77777777" w:rsidR="00EE07F3" w:rsidRPr="00175E32" w:rsidRDefault="00EE07F3" w:rsidP="001340F7">
      <w:pPr>
        <w:pStyle w:val="aff0"/>
        <w:spacing w:line="276" w:lineRule="auto"/>
        <w:rPr>
          <w:sz w:val="24"/>
          <w:szCs w:val="24"/>
        </w:rPr>
      </w:pPr>
      <w:r w:rsidRPr="00175E32">
        <w:rPr>
          <w:sz w:val="24"/>
          <w:szCs w:val="24"/>
        </w:rPr>
        <w:t xml:space="preserve">На ПАО «Куйбышевазот» реализуются проекты по техническому перевооружению, модернизации действующих мощностей и строительству новых. На предприятии подошли к завершению проекты: по развитию производства полиамида-6 (IV очередь строительства </w:t>
      </w:r>
      <w:r w:rsidRPr="00175E32">
        <w:rPr>
          <w:sz w:val="24"/>
          <w:szCs w:val="24"/>
          <w:lang w:val="en-US"/>
        </w:rPr>
        <w:t>II</w:t>
      </w:r>
      <w:r w:rsidRPr="00175E32">
        <w:rPr>
          <w:sz w:val="24"/>
          <w:szCs w:val="24"/>
        </w:rPr>
        <w:t xml:space="preserve"> этап), увеличение мощнос</w:t>
      </w:r>
      <w:r w:rsidR="00FC1C3D">
        <w:rPr>
          <w:sz w:val="24"/>
          <w:szCs w:val="24"/>
        </w:rPr>
        <w:t xml:space="preserve">ти </w:t>
      </w:r>
      <w:proofErr w:type="spellStart"/>
      <w:r w:rsidR="00FC1C3D">
        <w:rPr>
          <w:sz w:val="24"/>
          <w:szCs w:val="24"/>
        </w:rPr>
        <w:t>гидроксиламинсульфата</w:t>
      </w:r>
      <w:proofErr w:type="spellEnd"/>
      <w:r w:rsidR="00FC1C3D">
        <w:rPr>
          <w:sz w:val="24"/>
          <w:szCs w:val="24"/>
        </w:rPr>
        <w:t xml:space="preserve"> до 220 </w:t>
      </w:r>
      <w:proofErr w:type="spellStart"/>
      <w:r w:rsidRPr="00175E32">
        <w:rPr>
          <w:sz w:val="24"/>
          <w:szCs w:val="24"/>
        </w:rPr>
        <w:t>тыс.тонн</w:t>
      </w:r>
      <w:proofErr w:type="spellEnd"/>
      <w:r w:rsidRPr="00175E32">
        <w:rPr>
          <w:sz w:val="24"/>
          <w:szCs w:val="24"/>
        </w:rPr>
        <w:t xml:space="preserve">/год, по строительству установки гранулированного </w:t>
      </w:r>
      <w:proofErr w:type="spellStart"/>
      <w:r w:rsidRPr="00175E32">
        <w:rPr>
          <w:sz w:val="24"/>
          <w:szCs w:val="24"/>
        </w:rPr>
        <w:t>сульфатанитрата</w:t>
      </w:r>
      <w:proofErr w:type="spellEnd"/>
      <w:r w:rsidRPr="00175E32">
        <w:rPr>
          <w:sz w:val="24"/>
          <w:szCs w:val="24"/>
        </w:rPr>
        <w:t xml:space="preserve"> аммония, а также по строительству очистных сооружений «</w:t>
      </w:r>
      <w:proofErr w:type="spellStart"/>
      <w:r w:rsidRPr="00175E32">
        <w:rPr>
          <w:sz w:val="24"/>
          <w:szCs w:val="24"/>
        </w:rPr>
        <w:t>Копань</w:t>
      </w:r>
      <w:proofErr w:type="spellEnd"/>
      <w:r w:rsidRPr="00175E32">
        <w:rPr>
          <w:sz w:val="24"/>
          <w:szCs w:val="24"/>
        </w:rPr>
        <w:t>».</w:t>
      </w:r>
    </w:p>
    <w:p w14:paraId="4A6BFD74" w14:textId="77777777" w:rsidR="00EE07F3" w:rsidRPr="00175E32" w:rsidRDefault="00EE07F3" w:rsidP="001340F7">
      <w:pPr>
        <w:pStyle w:val="aff0"/>
        <w:spacing w:line="276" w:lineRule="auto"/>
        <w:rPr>
          <w:sz w:val="24"/>
          <w:szCs w:val="24"/>
        </w:rPr>
      </w:pPr>
      <w:r w:rsidRPr="00175E32">
        <w:rPr>
          <w:sz w:val="24"/>
          <w:szCs w:val="24"/>
        </w:rPr>
        <w:t xml:space="preserve">В сотрудничестве с </w:t>
      </w:r>
      <w:r w:rsidRPr="00175E32">
        <w:rPr>
          <w:sz w:val="24"/>
          <w:szCs w:val="24"/>
          <w:lang w:val="en-US"/>
        </w:rPr>
        <w:t>Maire</w:t>
      </w:r>
      <w:r w:rsidRPr="00175E32">
        <w:rPr>
          <w:sz w:val="24"/>
          <w:szCs w:val="24"/>
        </w:rPr>
        <w:t xml:space="preserve"> </w:t>
      </w:r>
      <w:proofErr w:type="spellStart"/>
      <w:r w:rsidRPr="00175E32">
        <w:rPr>
          <w:sz w:val="24"/>
          <w:szCs w:val="24"/>
          <w:lang w:val="en-US"/>
        </w:rPr>
        <w:t>Tecnikomt</w:t>
      </w:r>
      <w:proofErr w:type="spellEnd"/>
      <w:r w:rsidRPr="00175E32">
        <w:rPr>
          <w:sz w:val="24"/>
          <w:szCs w:val="24"/>
        </w:rPr>
        <w:t xml:space="preserve"> выполняются строительно-монтажные работы в рамках строительства нового энергоэффективного а</w:t>
      </w:r>
      <w:r w:rsidR="00FC1C3D">
        <w:rPr>
          <w:sz w:val="24"/>
          <w:szCs w:val="24"/>
        </w:rPr>
        <w:t>грегата карбамида мощностью 1,5 тыс. </w:t>
      </w:r>
      <w:r w:rsidRPr="00175E32">
        <w:rPr>
          <w:sz w:val="24"/>
          <w:szCs w:val="24"/>
        </w:rPr>
        <w:t xml:space="preserve">т/сутки. В проекте применяется прогрессивная технология, обеспечивающая </w:t>
      </w:r>
      <w:r w:rsidRPr="00175E32">
        <w:rPr>
          <w:sz w:val="24"/>
          <w:szCs w:val="24"/>
        </w:rPr>
        <w:lastRenderedPageBreak/>
        <w:t>экологически чистое и безопасное производство, уровень потребления ресурсов, соответствующий лучшим мировым аналогам. По окончанию строительства предполагается создание до 50 рабочих мест.</w:t>
      </w:r>
    </w:p>
    <w:p w14:paraId="2BE71BB1" w14:textId="77777777" w:rsidR="00EE07F3" w:rsidRPr="00175E32" w:rsidRDefault="00EE07F3" w:rsidP="001340F7">
      <w:pPr>
        <w:pStyle w:val="aff0"/>
        <w:spacing w:line="276" w:lineRule="auto"/>
        <w:rPr>
          <w:sz w:val="24"/>
          <w:szCs w:val="24"/>
        </w:rPr>
      </w:pPr>
      <w:r w:rsidRPr="00175E32">
        <w:rPr>
          <w:sz w:val="24"/>
          <w:szCs w:val="24"/>
        </w:rPr>
        <w:t>На предприятии продолжает строительство нового энергоэффективного агрегата карбамида мощностью 1500 т/сутки, а также строительство агрегатов слабой азотной кислоты и аммиачной селитры, изотермического хранилища аммиака, строительства установки по производству серной кислоты. По окончанию строительства предполагается создание около 145 рабочих мест.</w:t>
      </w:r>
    </w:p>
    <w:p w14:paraId="5C1E12E4" w14:textId="77777777" w:rsidR="00EE07F3" w:rsidRPr="00175E32" w:rsidRDefault="00EE07F3" w:rsidP="001340F7">
      <w:pPr>
        <w:pStyle w:val="aff0"/>
        <w:spacing w:line="276" w:lineRule="auto"/>
        <w:rPr>
          <w:sz w:val="24"/>
          <w:szCs w:val="24"/>
        </w:rPr>
      </w:pPr>
      <w:r w:rsidRPr="00175E32">
        <w:rPr>
          <w:sz w:val="24"/>
          <w:szCs w:val="24"/>
        </w:rPr>
        <w:t>На ПАО «</w:t>
      </w:r>
      <w:proofErr w:type="spellStart"/>
      <w:r w:rsidRPr="00175E32">
        <w:rPr>
          <w:sz w:val="24"/>
          <w:szCs w:val="24"/>
        </w:rPr>
        <w:t>Тольяттиазот</w:t>
      </w:r>
      <w:proofErr w:type="spellEnd"/>
      <w:r w:rsidRPr="00175E32">
        <w:rPr>
          <w:sz w:val="24"/>
          <w:szCs w:val="24"/>
        </w:rPr>
        <w:t>» продолжается реализация инвестиционных проектов строительству агрегата карбамида и модернизация биологических очистных сооружений.</w:t>
      </w:r>
    </w:p>
    <w:p w14:paraId="08C79A82" w14:textId="77777777" w:rsidR="00EE07F3" w:rsidRPr="00175E32" w:rsidRDefault="00EE07F3" w:rsidP="001340F7">
      <w:pPr>
        <w:pStyle w:val="aff0"/>
        <w:spacing w:line="276" w:lineRule="auto"/>
        <w:rPr>
          <w:sz w:val="24"/>
          <w:szCs w:val="24"/>
        </w:rPr>
      </w:pPr>
      <w:r w:rsidRPr="00175E32">
        <w:rPr>
          <w:sz w:val="24"/>
          <w:szCs w:val="24"/>
        </w:rPr>
        <w:t>ПАО «Татнефть» в настоящее время продолжает проработку программы модернизации ООО «</w:t>
      </w:r>
      <w:proofErr w:type="spellStart"/>
      <w:r w:rsidRPr="00175E32">
        <w:rPr>
          <w:sz w:val="24"/>
          <w:szCs w:val="24"/>
        </w:rPr>
        <w:t>Тольяттикаучука</w:t>
      </w:r>
      <w:proofErr w:type="spellEnd"/>
      <w:r w:rsidRPr="00175E32">
        <w:rPr>
          <w:sz w:val="24"/>
          <w:szCs w:val="24"/>
        </w:rPr>
        <w:t xml:space="preserve">», выкупленного у </w:t>
      </w:r>
      <w:proofErr w:type="spellStart"/>
      <w:r w:rsidRPr="00175E32">
        <w:rPr>
          <w:sz w:val="24"/>
          <w:szCs w:val="24"/>
        </w:rPr>
        <w:t>СИБУРа</w:t>
      </w:r>
      <w:proofErr w:type="spellEnd"/>
      <w:r w:rsidRPr="00175E32">
        <w:rPr>
          <w:sz w:val="24"/>
          <w:szCs w:val="24"/>
        </w:rPr>
        <w:t xml:space="preserve"> в 2019 году. ООО</w:t>
      </w:r>
      <w:r w:rsidR="00FC1C3D">
        <w:rPr>
          <w:sz w:val="24"/>
          <w:szCs w:val="24"/>
        </w:rPr>
        <w:t> </w:t>
      </w:r>
      <w:r w:rsidRPr="00175E32">
        <w:rPr>
          <w:sz w:val="24"/>
          <w:szCs w:val="24"/>
        </w:rPr>
        <w:t>«</w:t>
      </w:r>
      <w:proofErr w:type="spellStart"/>
      <w:r w:rsidRPr="00175E32">
        <w:rPr>
          <w:sz w:val="24"/>
          <w:szCs w:val="24"/>
        </w:rPr>
        <w:t>Тольяттикаучук</w:t>
      </w:r>
      <w:proofErr w:type="spellEnd"/>
      <w:r w:rsidRPr="00175E32">
        <w:rPr>
          <w:sz w:val="24"/>
          <w:szCs w:val="24"/>
        </w:rPr>
        <w:t xml:space="preserve">» провел работы по рекуперации паров МТБЭ в сырьевом парке. Запланировано развитие Тольяттинского технопарка с учетом развития особых экономических зон. В </w:t>
      </w:r>
      <w:r w:rsidR="006B0473">
        <w:rPr>
          <w:sz w:val="24"/>
          <w:szCs w:val="24"/>
        </w:rPr>
        <w:t>текущем году</w:t>
      </w:r>
      <w:r w:rsidRPr="00175E32">
        <w:rPr>
          <w:sz w:val="24"/>
          <w:szCs w:val="24"/>
        </w:rPr>
        <w:t xml:space="preserve"> 16 резидентов парка выпускают разнообразную продукцию из нефтехимического сырья, которая используется не только на заводе «</w:t>
      </w:r>
      <w:proofErr w:type="spellStart"/>
      <w:r w:rsidRPr="00175E32">
        <w:rPr>
          <w:sz w:val="24"/>
          <w:szCs w:val="24"/>
        </w:rPr>
        <w:t>Тольяттикаучук</w:t>
      </w:r>
      <w:proofErr w:type="spellEnd"/>
      <w:r w:rsidRPr="00175E32">
        <w:rPr>
          <w:sz w:val="24"/>
          <w:szCs w:val="24"/>
        </w:rPr>
        <w:t>».</w:t>
      </w:r>
    </w:p>
    <w:p w14:paraId="6C7F335B" w14:textId="77777777" w:rsidR="00EE07F3" w:rsidRPr="00175E32" w:rsidRDefault="00EE07F3" w:rsidP="001340F7">
      <w:pPr>
        <w:spacing w:line="276" w:lineRule="auto"/>
        <w:rPr>
          <w:szCs w:val="24"/>
        </w:rPr>
      </w:pPr>
      <w:r w:rsidRPr="00175E32">
        <w:rPr>
          <w:szCs w:val="24"/>
        </w:rPr>
        <w:t xml:space="preserve">Важную роль в повышении привлекательности городского округа Тольятти как места для вложения инвестиций и ведения бизнеса оказывает созданная территория опережающего социально-экономического развития (далее </w:t>
      </w:r>
      <w:r w:rsidR="001B16BB">
        <w:rPr>
          <w:szCs w:val="24"/>
        </w:rPr>
        <w:t xml:space="preserve">по разделу </w:t>
      </w:r>
      <w:r w:rsidRPr="00175E32">
        <w:rPr>
          <w:szCs w:val="24"/>
        </w:rPr>
        <w:t xml:space="preserve">- ТОСЭР «Тольятти»), что способствует привлечению в </w:t>
      </w:r>
      <w:r w:rsidR="006975DC" w:rsidRPr="00175E32">
        <w:rPr>
          <w:shd w:val="clear" w:color="auto" w:fill="FFFFFF"/>
        </w:rPr>
        <w:t>городско</w:t>
      </w:r>
      <w:r w:rsidR="006975DC">
        <w:rPr>
          <w:shd w:val="clear" w:color="auto" w:fill="FFFFFF"/>
        </w:rPr>
        <w:t>й</w:t>
      </w:r>
      <w:r w:rsidR="006975DC" w:rsidRPr="00175E32">
        <w:rPr>
          <w:shd w:val="clear" w:color="auto" w:fill="FFFFFF"/>
        </w:rPr>
        <w:t xml:space="preserve"> округ Тольятти</w:t>
      </w:r>
      <w:r w:rsidRPr="00175E32">
        <w:rPr>
          <w:szCs w:val="24"/>
        </w:rPr>
        <w:t xml:space="preserve"> инвестиций и созданию новых рабочих мест.</w:t>
      </w:r>
    </w:p>
    <w:p w14:paraId="66E22ADC" w14:textId="77777777" w:rsidR="00EE07F3" w:rsidRPr="00175E32" w:rsidRDefault="00EE07F3" w:rsidP="001340F7">
      <w:pPr>
        <w:pStyle w:val="aff0"/>
        <w:tabs>
          <w:tab w:val="left" w:pos="851"/>
          <w:tab w:val="left" w:pos="993"/>
        </w:tabs>
        <w:spacing w:line="276" w:lineRule="auto"/>
        <w:rPr>
          <w:sz w:val="24"/>
          <w:szCs w:val="24"/>
        </w:rPr>
      </w:pPr>
      <w:r w:rsidRPr="00175E32">
        <w:rPr>
          <w:sz w:val="24"/>
          <w:szCs w:val="24"/>
        </w:rPr>
        <w:t>В настоящее время ТОСЭР «Тольятти» является лидером по количеству резидентов среди всех территорий опережающего социально-экономического развития страны, что свидетельствует о том, что интерес потенциаль</w:t>
      </w:r>
      <w:r w:rsidR="00FC1C3D">
        <w:rPr>
          <w:sz w:val="24"/>
          <w:szCs w:val="24"/>
        </w:rPr>
        <w:t xml:space="preserve">ных инвесторов к </w:t>
      </w:r>
      <w:r w:rsidR="006975DC" w:rsidRPr="006975DC">
        <w:rPr>
          <w:sz w:val="24"/>
          <w:szCs w:val="24"/>
        </w:rPr>
        <w:t>городско</w:t>
      </w:r>
      <w:r w:rsidR="006975DC">
        <w:rPr>
          <w:sz w:val="24"/>
          <w:szCs w:val="24"/>
        </w:rPr>
        <w:t>му</w:t>
      </w:r>
      <w:r w:rsidR="006975DC" w:rsidRPr="006975DC">
        <w:rPr>
          <w:sz w:val="24"/>
          <w:szCs w:val="24"/>
        </w:rPr>
        <w:t xml:space="preserve"> округ</w:t>
      </w:r>
      <w:r w:rsidR="006975DC">
        <w:rPr>
          <w:sz w:val="24"/>
          <w:szCs w:val="24"/>
        </w:rPr>
        <w:t>у</w:t>
      </w:r>
      <w:r w:rsidR="006975DC" w:rsidRPr="006975DC">
        <w:rPr>
          <w:sz w:val="24"/>
          <w:szCs w:val="24"/>
        </w:rPr>
        <w:t xml:space="preserve"> Тольятти</w:t>
      </w:r>
      <w:r w:rsidR="00FC1C3D">
        <w:rPr>
          <w:sz w:val="24"/>
          <w:szCs w:val="24"/>
        </w:rPr>
        <w:t xml:space="preserve"> растет.</w:t>
      </w:r>
    </w:p>
    <w:p w14:paraId="0D931D0E" w14:textId="01C4177F" w:rsidR="00EE07F3" w:rsidRPr="00175E32" w:rsidRDefault="00EE07F3" w:rsidP="001340F7">
      <w:pPr>
        <w:pStyle w:val="aff0"/>
        <w:tabs>
          <w:tab w:val="left" w:pos="851"/>
          <w:tab w:val="left" w:pos="993"/>
        </w:tabs>
        <w:spacing w:line="276" w:lineRule="auto"/>
        <w:rPr>
          <w:sz w:val="24"/>
          <w:szCs w:val="24"/>
        </w:rPr>
      </w:pPr>
      <w:r w:rsidRPr="0010219E">
        <w:rPr>
          <w:sz w:val="24"/>
          <w:szCs w:val="24"/>
        </w:rPr>
        <w:t xml:space="preserve">Резидентам ТОСЭР «Тольятти» предоставляются льготные ставки по налогу на прибыль, освобождение от налога на имущество и налога на землю, существенно низкий процент по страховым выплатам. </w:t>
      </w:r>
      <w:r w:rsidR="00AA292B" w:rsidRPr="0010219E">
        <w:rPr>
          <w:sz w:val="24"/>
          <w:szCs w:val="24"/>
        </w:rPr>
        <w:t>С</w:t>
      </w:r>
      <w:r w:rsidRPr="0010219E">
        <w:rPr>
          <w:sz w:val="24"/>
          <w:szCs w:val="24"/>
          <w:lang w:eastAsia="ru-RU"/>
        </w:rPr>
        <w:t xml:space="preserve">татус резидента ТОСЭР «Тольятти» получили 74 компании. </w:t>
      </w:r>
      <w:r w:rsidRPr="0010219E">
        <w:rPr>
          <w:sz w:val="24"/>
          <w:szCs w:val="24"/>
        </w:rPr>
        <w:t xml:space="preserve">Фактически, </w:t>
      </w:r>
      <w:r w:rsidR="00E24194" w:rsidRPr="0010219E">
        <w:rPr>
          <w:sz w:val="24"/>
          <w:szCs w:val="24"/>
        </w:rPr>
        <w:t xml:space="preserve">по состоянию на 01.10.2020 </w:t>
      </w:r>
      <w:r w:rsidR="00FC1C3D" w:rsidRPr="0010219E">
        <w:rPr>
          <w:sz w:val="24"/>
          <w:szCs w:val="24"/>
        </w:rPr>
        <w:t>резидентами ТОСЭР </w:t>
      </w:r>
      <w:r w:rsidRPr="0010219E">
        <w:rPr>
          <w:sz w:val="24"/>
          <w:szCs w:val="24"/>
        </w:rPr>
        <w:t>«Тол</w:t>
      </w:r>
      <w:r w:rsidR="00FC1C3D" w:rsidRPr="0010219E">
        <w:rPr>
          <w:sz w:val="24"/>
          <w:szCs w:val="24"/>
        </w:rPr>
        <w:t>ьятти» инвестировано 12,5 млрд. </w:t>
      </w:r>
      <w:r w:rsidRPr="0010219E">
        <w:rPr>
          <w:sz w:val="24"/>
          <w:szCs w:val="24"/>
        </w:rPr>
        <w:t xml:space="preserve">рублей (без НДС) </w:t>
      </w:r>
      <w:r w:rsidR="00FC1C3D" w:rsidRPr="0010219E">
        <w:rPr>
          <w:sz w:val="24"/>
          <w:szCs w:val="24"/>
          <w:lang w:eastAsia="ru-RU"/>
        </w:rPr>
        <w:t>и создано 4,9 тыс. </w:t>
      </w:r>
      <w:r w:rsidRPr="0010219E">
        <w:rPr>
          <w:sz w:val="24"/>
          <w:szCs w:val="24"/>
          <w:lang w:eastAsia="ru-RU"/>
        </w:rPr>
        <w:t>рабочих мес</w:t>
      </w:r>
      <w:r w:rsidR="00FC1C3D" w:rsidRPr="0010219E">
        <w:rPr>
          <w:sz w:val="24"/>
          <w:szCs w:val="24"/>
          <w:lang w:eastAsia="ru-RU"/>
        </w:rPr>
        <w:t>т</w:t>
      </w:r>
      <w:r w:rsidR="00595D6B" w:rsidRPr="0010219E">
        <w:rPr>
          <w:sz w:val="24"/>
          <w:szCs w:val="24"/>
          <w:lang w:eastAsia="ru-RU"/>
        </w:rPr>
        <w:t>, в том числе</w:t>
      </w:r>
      <w:r w:rsidR="00AA292B" w:rsidRPr="0010219E">
        <w:rPr>
          <w:sz w:val="24"/>
          <w:szCs w:val="24"/>
          <w:lang w:eastAsia="ru-RU"/>
        </w:rPr>
        <w:t xml:space="preserve"> в 1 полугодии 2020 года освоено </w:t>
      </w:r>
      <w:r w:rsidR="00C321BF">
        <w:rPr>
          <w:sz w:val="24"/>
          <w:szCs w:val="24"/>
        </w:rPr>
        <w:t>2</w:t>
      </w:r>
      <w:r w:rsidR="00595D6B" w:rsidRPr="0010219E">
        <w:rPr>
          <w:sz w:val="24"/>
          <w:szCs w:val="24"/>
        </w:rPr>
        <w:t>,8</w:t>
      </w:r>
      <w:r w:rsidR="00AA292B" w:rsidRPr="0010219E">
        <w:rPr>
          <w:sz w:val="24"/>
          <w:szCs w:val="24"/>
        </w:rPr>
        <w:t> </w:t>
      </w:r>
      <w:r w:rsidR="00CB1496" w:rsidRPr="00CB1496">
        <w:rPr>
          <w:sz w:val="24"/>
          <w:szCs w:val="24"/>
        </w:rPr>
        <w:t xml:space="preserve"> </w:t>
      </w:r>
      <w:r w:rsidR="00AA292B" w:rsidRPr="0010219E">
        <w:rPr>
          <w:sz w:val="24"/>
          <w:szCs w:val="24"/>
        </w:rPr>
        <w:t>мл</w:t>
      </w:r>
      <w:r w:rsidR="00595D6B" w:rsidRPr="0010219E">
        <w:rPr>
          <w:sz w:val="24"/>
          <w:szCs w:val="24"/>
        </w:rPr>
        <w:t>н</w:t>
      </w:r>
      <w:r w:rsidR="00AA292B" w:rsidRPr="0010219E">
        <w:rPr>
          <w:sz w:val="24"/>
          <w:szCs w:val="24"/>
        </w:rPr>
        <w:t xml:space="preserve">. рублей </w:t>
      </w:r>
      <w:r w:rsidR="00595D6B" w:rsidRPr="0010219E">
        <w:rPr>
          <w:sz w:val="24"/>
          <w:szCs w:val="24"/>
        </w:rPr>
        <w:t xml:space="preserve">инвестиций </w:t>
      </w:r>
      <w:r w:rsidR="00AA292B" w:rsidRPr="0010219E">
        <w:rPr>
          <w:sz w:val="24"/>
          <w:szCs w:val="24"/>
        </w:rPr>
        <w:t>(без НДС)</w:t>
      </w:r>
      <w:r w:rsidR="00C321BF">
        <w:rPr>
          <w:sz w:val="24"/>
          <w:szCs w:val="24"/>
          <w:lang w:eastAsia="ru-RU"/>
        </w:rPr>
        <w:t xml:space="preserve"> и создано 797 </w:t>
      </w:r>
      <w:r w:rsidR="0010219E" w:rsidRPr="0010219E">
        <w:rPr>
          <w:sz w:val="24"/>
          <w:szCs w:val="24"/>
          <w:lang w:eastAsia="ru-RU"/>
        </w:rPr>
        <w:t>рабочих мест.</w:t>
      </w:r>
    </w:p>
    <w:p w14:paraId="5FCE6179" w14:textId="77777777" w:rsidR="00EE07F3" w:rsidRPr="00175E32" w:rsidRDefault="00EE07F3" w:rsidP="001340F7">
      <w:pPr>
        <w:pStyle w:val="aff0"/>
        <w:tabs>
          <w:tab w:val="left" w:pos="851"/>
          <w:tab w:val="left" w:pos="993"/>
        </w:tabs>
        <w:spacing w:line="276" w:lineRule="auto"/>
        <w:rPr>
          <w:sz w:val="24"/>
          <w:szCs w:val="24"/>
          <w:lang w:eastAsia="ru-RU"/>
        </w:rPr>
      </w:pPr>
      <w:r w:rsidRPr="00175E32">
        <w:rPr>
          <w:sz w:val="24"/>
          <w:szCs w:val="24"/>
        </w:rPr>
        <w:t>Также на территории городского округа Тольятти имеется целый комплекс инфраструктурных площадок, готовых для реализации инвестиционных проектов, которые в отличие от обычных промплощадок,</w:t>
      </w:r>
      <w:r w:rsidRPr="00175E32">
        <w:rPr>
          <w:color w:val="666666"/>
          <w:sz w:val="24"/>
          <w:szCs w:val="24"/>
          <w:shd w:val="clear" w:color="auto" w:fill="FFFFFF"/>
        </w:rPr>
        <w:t xml:space="preserve"> </w:t>
      </w:r>
      <w:r w:rsidRPr="00175E32">
        <w:rPr>
          <w:sz w:val="24"/>
          <w:szCs w:val="24"/>
          <w:shd w:val="clear" w:color="auto" w:fill="FFFFFF"/>
        </w:rPr>
        <w:t>обеспечены энергоносителями, инженерной и транспортной инфраструктурой и административно-правовыми условиями для размещения бизнеса:</w:t>
      </w:r>
      <w:r w:rsidRPr="00175E32">
        <w:rPr>
          <w:sz w:val="24"/>
          <w:szCs w:val="24"/>
          <w:lang w:eastAsia="ru-RU"/>
        </w:rPr>
        <w:t xml:space="preserve"> технопарк в сфере высоких технологий «Жигулевская долина», проект «Жигулевская долина-2», Индустр</w:t>
      </w:r>
      <w:r w:rsidR="00FC1C3D">
        <w:rPr>
          <w:sz w:val="24"/>
          <w:szCs w:val="24"/>
          <w:lang w:eastAsia="ru-RU"/>
        </w:rPr>
        <w:t>иальный парк «</w:t>
      </w:r>
      <w:proofErr w:type="spellStart"/>
      <w:r w:rsidR="00FC1C3D">
        <w:rPr>
          <w:sz w:val="24"/>
          <w:szCs w:val="24"/>
          <w:lang w:eastAsia="ru-RU"/>
        </w:rPr>
        <w:t>Тольяттисинтез</w:t>
      </w:r>
      <w:proofErr w:type="spellEnd"/>
      <w:r w:rsidR="00FC1C3D">
        <w:rPr>
          <w:sz w:val="24"/>
          <w:szCs w:val="24"/>
          <w:lang w:eastAsia="ru-RU"/>
        </w:rPr>
        <w:t xml:space="preserve">», </w:t>
      </w:r>
      <w:r w:rsidRPr="00175E32">
        <w:rPr>
          <w:sz w:val="24"/>
          <w:szCs w:val="24"/>
          <w:lang w:eastAsia="ru-RU"/>
        </w:rPr>
        <w:t>Индустриальный парк «</w:t>
      </w:r>
      <w:proofErr w:type="spellStart"/>
      <w:r w:rsidRPr="00175E32">
        <w:rPr>
          <w:sz w:val="24"/>
          <w:szCs w:val="24"/>
          <w:lang w:eastAsia="ru-RU"/>
        </w:rPr>
        <w:t>Волгоцеммаш</w:t>
      </w:r>
      <w:proofErr w:type="spellEnd"/>
      <w:r w:rsidRPr="00175E32">
        <w:rPr>
          <w:sz w:val="24"/>
          <w:szCs w:val="24"/>
          <w:lang w:eastAsia="ru-RU"/>
        </w:rPr>
        <w:t>», а также Особая экономической зона промышленно-производственного типа «Тольятти»</w:t>
      </w:r>
      <w:r w:rsidR="0030735E" w:rsidRPr="00175E32">
        <w:rPr>
          <w:sz w:val="24"/>
          <w:szCs w:val="24"/>
          <w:lang w:eastAsia="ru-RU"/>
        </w:rPr>
        <w:t xml:space="preserve"> (</w:t>
      </w:r>
      <w:r w:rsidR="006B0473">
        <w:rPr>
          <w:sz w:val="24"/>
          <w:szCs w:val="24"/>
          <w:lang w:eastAsia="ru-RU"/>
        </w:rPr>
        <w:t xml:space="preserve">далее </w:t>
      </w:r>
      <w:r w:rsidR="001B16BB" w:rsidRPr="001B16BB">
        <w:rPr>
          <w:sz w:val="24"/>
          <w:szCs w:val="24"/>
          <w:lang w:eastAsia="ru-RU"/>
        </w:rPr>
        <w:t>по разделу</w:t>
      </w:r>
      <w:r w:rsidR="001B16BB">
        <w:rPr>
          <w:sz w:val="24"/>
          <w:szCs w:val="24"/>
          <w:lang w:eastAsia="ru-RU"/>
        </w:rPr>
        <w:t xml:space="preserve"> </w:t>
      </w:r>
      <w:r w:rsidR="006B0473">
        <w:rPr>
          <w:sz w:val="24"/>
          <w:szCs w:val="24"/>
          <w:lang w:eastAsia="ru-RU"/>
        </w:rPr>
        <w:t xml:space="preserve">- </w:t>
      </w:r>
      <w:r w:rsidR="0030735E" w:rsidRPr="00175E32">
        <w:rPr>
          <w:sz w:val="24"/>
          <w:szCs w:val="24"/>
          <w:lang w:eastAsia="ru-RU"/>
        </w:rPr>
        <w:t>ОЭЗ ППТ «Тольятти»)</w:t>
      </w:r>
      <w:r w:rsidRPr="00175E32">
        <w:rPr>
          <w:sz w:val="24"/>
          <w:szCs w:val="24"/>
          <w:lang w:eastAsia="ru-RU"/>
        </w:rPr>
        <w:t>.</w:t>
      </w:r>
    </w:p>
    <w:p w14:paraId="0B7E526D" w14:textId="77777777" w:rsidR="00EE07F3" w:rsidRPr="00175E32" w:rsidRDefault="00EE07F3" w:rsidP="001340F7">
      <w:pPr>
        <w:spacing w:line="276" w:lineRule="auto"/>
        <w:rPr>
          <w:szCs w:val="24"/>
        </w:rPr>
      </w:pPr>
      <w:r w:rsidRPr="00175E32">
        <w:rPr>
          <w:szCs w:val="24"/>
        </w:rPr>
        <w:t xml:space="preserve">Для реализации инновационных проектов и проектов в сфере IT создана отдельная площадка с особыми условиями и собственной инфраструктурой, предназначенной </w:t>
      </w:r>
      <w:r w:rsidRPr="00175E32">
        <w:rPr>
          <w:szCs w:val="24"/>
        </w:rPr>
        <w:lastRenderedPageBreak/>
        <w:t xml:space="preserve">именно для инноваций, — Технопарк в сфере высоких технологий «Жигулевская долина» </w:t>
      </w:r>
      <w:r w:rsidR="00FC1C3D">
        <w:rPr>
          <w:szCs w:val="24"/>
        </w:rPr>
        <w:t>(далее по разделу – Технопарк).</w:t>
      </w:r>
    </w:p>
    <w:p w14:paraId="082CCF8E" w14:textId="77777777" w:rsidR="00EE07F3" w:rsidRPr="00175E32" w:rsidRDefault="00EE07F3" w:rsidP="001340F7">
      <w:pPr>
        <w:spacing w:line="276" w:lineRule="auto"/>
        <w:rPr>
          <w:szCs w:val="24"/>
        </w:rPr>
      </w:pPr>
      <w:r w:rsidRPr="00175E32">
        <w:rPr>
          <w:szCs w:val="24"/>
        </w:rPr>
        <w:t>Инфраструктура Технопарка полностью соответствует потребностям инновационных и высокотехнологичных компаний для реализации их проектов и включает в себя общественно-деловой центр для проведения масштабных деловых мероприятий, офисные лабораторные и производственные помещения, центр технического обеспечения, бизнес-ин</w:t>
      </w:r>
      <w:r w:rsidR="00FC1C3D">
        <w:rPr>
          <w:szCs w:val="24"/>
        </w:rPr>
        <w:t>кубатор, гостиницу и столовую.</w:t>
      </w:r>
    </w:p>
    <w:p w14:paraId="3A2337A7" w14:textId="77777777" w:rsidR="00EE07F3" w:rsidRPr="00AA292B" w:rsidRDefault="00EE07F3" w:rsidP="001340F7">
      <w:pPr>
        <w:spacing w:line="276" w:lineRule="auto"/>
        <w:rPr>
          <w:szCs w:val="24"/>
        </w:rPr>
      </w:pPr>
      <w:r w:rsidRPr="00175E32">
        <w:rPr>
          <w:szCs w:val="24"/>
        </w:rPr>
        <w:t xml:space="preserve">Технопарк имеет статус регионального оператора фонда «Сколково», что позволяет создавать условия для развития новых технологических решений и роста </w:t>
      </w:r>
      <w:r w:rsidRPr="00AA292B">
        <w:rPr>
          <w:szCs w:val="24"/>
        </w:rPr>
        <w:t>компаний-резидентов. Также данный статус обеспечивает резидентам технопарка доступ к таким сервисам фонда «Сколково» как содействие в привлечении инвестиций.</w:t>
      </w:r>
    </w:p>
    <w:p w14:paraId="741ADCEE" w14:textId="77777777" w:rsidR="00595D6B" w:rsidRPr="00175E32" w:rsidRDefault="00595D6B" w:rsidP="00595D6B">
      <w:pPr>
        <w:tabs>
          <w:tab w:val="left" w:pos="720"/>
        </w:tabs>
        <w:spacing w:line="276" w:lineRule="auto"/>
        <w:rPr>
          <w:szCs w:val="24"/>
        </w:rPr>
      </w:pPr>
      <w:r>
        <w:rPr>
          <w:szCs w:val="24"/>
        </w:rPr>
        <w:t>Р</w:t>
      </w:r>
      <w:r w:rsidRPr="00AA292B">
        <w:rPr>
          <w:szCs w:val="24"/>
        </w:rPr>
        <w:t>езидентами Технопарка явля</w:t>
      </w:r>
      <w:r w:rsidR="006975DC">
        <w:rPr>
          <w:szCs w:val="24"/>
        </w:rPr>
        <w:t>ю</w:t>
      </w:r>
      <w:r w:rsidRPr="00AA292B">
        <w:rPr>
          <w:szCs w:val="24"/>
        </w:rPr>
        <w:t xml:space="preserve">тся </w:t>
      </w:r>
      <w:r w:rsidRPr="006975DC">
        <w:rPr>
          <w:szCs w:val="24"/>
        </w:rPr>
        <w:t>254 компании, которые реализуют 266</w:t>
      </w:r>
      <w:r w:rsidRPr="00AA292B">
        <w:rPr>
          <w:szCs w:val="24"/>
        </w:rPr>
        <w:t xml:space="preserve"> проектов. Количество созданных рабочих мест </w:t>
      </w:r>
      <w:r w:rsidR="006975DC" w:rsidRPr="00AA292B">
        <w:rPr>
          <w:szCs w:val="24"/>
        </w:rPr>
        <w:t xml:space="preserve">с начала реализации </w:t>
      </w:r>
      <w:r w:rsidR="006975DC" w:rsidRPr="006975DC">
        <w:rPr>
          <w:szCs w:val="24"/>
        </w:rPr>
        <w:t>проекта</w:t>
      </w:r>
      <w:r w:rsidRPr="006975DC">
        <w:rPr>
          <w:szCs w:val="24"/>
        </w:rPr>
        <w:t xml:space="preserve"> – 2 158 ед</w:t>
      </w:r>
      <w:r w:rsidRPr="00AA292B">
        <w:rPr>
          <w:szCs w:val="24"/>
        </w:rPr>
        <w:t>.</w:t>
      </w:r>
      <w:r w:rsidR="006975DC">
        <w:rPr>
          <w:szCs w:val="24"/>
        </w:rPr>
        <w:t>,</w:t>
      </w:r>
      <w:r w:rsidRPr="00AA292B">
        <w:rPr>
          <w:szCs w:val="24"/>
        </w:rPr>
        <w:t xml:space="preserve"> </w:t>
      </w:r>
      <w:r w:rsidR="006975DC">
        <w:rPr>
          <w:szCs w:val="24"/>
        </w:rPr>
        <w:t>ф</w:t>
      </w:r>
      <w:r w:rsidRPr="00AA292B">
        <w:rPr>
          <w:szCs w:val="24"/>
        </w:rPr>
        <w:t xml:space="preserve">актически освоено </w:t>
      </w:r>
      <w:r w:rsidRPr="006975DC">
        <w:rPr>
          <w:szCs w:val="24"/>
        </w:rPr>
        <w:t>5 771,45 млн. рублей, в том числе, из федерального бюджета – 1 982,3 млн. рублей; областного бюджета - 3 789,15 млн. рублей.</w:t>
      </w:r>
      <w:r w:rsidRPr="00175E32">
        <w:rPr>
          <w:szCs w:val="24"/>
        </w:rPr>
        <w:t xml:space="preserve"> </w:t>
      </w:r>
    </w:p>
    <w:p w14:paraId="459A7971" w14:textId="77777777" w:rsidR="00EE07F3" w:rsidRPr="00175E32" w:rsidRDefault="00EE07F3" w:rsidP="001340F7">
      <w:pPr>
        <w:spacing w:line="276" w:lineRule="auto"/>
        <w:rPr>
          <w:szCs w:val="24"/>
        </w:rPr>
      </w:pPr>
      <w:r w:rsidRPr="00AA292B">
        <w:rPr>
          <w:iCs/>
          <w:szCs w:val="24"/>
        </w:rPr>
        <w:t xml:space="preserve">В настоящее время, </w:t>
      </w:r>
      <w:r w:rsidRPr="00AA292B">
        <w:rPr>
          <w:szCs w:val="24"/>
        </w:rPr>
        <w:t>за счет инвесторов</w:t>
      </w:r>
      <w:r w:rsidRPr="00AA292B">
        <w:rPr>
          <w:iCs/>
          <w:szCs w:val="24"/>
        </w:rPr>
        <w:t xml:space="preserve"> идет строительство производственных корпусов </w:t>
      </w:r>
      <w:r w:rsidRPr="00AA292B">
        <w:rPr>
          <w:szCs w:val="24"/>
        </w:rPr>
        <w:t>на территории «Жигулёвская долина 2».</w:t>
      </w:r>
    </w:p>
    <w:p w14:paraId="5231BBF1" w14:textId="77777777" w:rsidR="00E24194" w:rsidRDefault="00EE07F3" w:rsidP="00E24194">
      <w:pPr>
        <w:widowControl w:val="0"/>
        <w:autoSpaceDE w:val="0"/>
        <w:autoSpaceDN w:val="0"/>
        <w:adjustRightInd w:val="0"/>
        <w:spacing w:line="276" w:lineRule="auto"/>
        <w:rPr>
          <w:szCs w:val="24"/>
        </w:rPr>
      </w:pPr>
      <w:r w:rsidRPr="00175E32">
        <w:rPr>
          <w:szCs w:val="24"/>
        </w:rPr>
        <w:t>Инициатором проекта является государственное автономное учреждение</w:t>
      </w:r>
      <w:r w:rsidRPr="00175E32">
        <w:rPr>
          <w:rFonts w:ascii="Arial" w:hAnsi="Arial" w:cs="Arial"/>
          <w:szCs w:val="24"/>
        </w:rPr>
        <w:t xml:space="preserve"> </w:t>
      </w:r>
      <w:r w:rsidRPr="00175E32">
        <w:rPr>
          <w:szCs w:val="24"/>
        </w:rPr>
        <w:t>Самарской области «Центр инновационного развития и кластерных инициатив». Срок реализации проекта – 2019 – 2023 гг.</w:t>
      </w:r>
      <w:r w:rsidR="00E24194">
        <w:rPr>
          <w:szCs w:val="24"/>
        </w:rPr>
        <w:t xml:space="preserve"> </w:t>
      </w:r>
    </w:p>
    <w:p w14:paraId="5903E8DC" w14:textId="77777777" w:rsidR="00EE07F3" w:rsidRPr="00175E32" w:rsidRDefault="00EE07F3" w:rsidP="001340F7">
      <w:pPr>
        <w:tabs>
          <w:tab w:val="left" w:pos="720"/>
        </w:tabs>
        <w:spacing w:line="276" w:lineRule="auto"/>
        <w:rPr>
          <w:szCs w:val="24"/>
        </w:rPr>
      </w:pPr>
      <w:r w:rsidRPr="00175E32">
        <w:rPr>
          <w:szCs w:val="24"/>
        </w:rPr>
        <w:t xml:space="preserve">Общая стоимость проектов </w:t>
      </w:r>
      <w:r w:rsidR="00E24194" w:rsidRPr="00175E32">
        <w:rPr>
          <w:szCs w:val="24"/>
        </w:rPr>
        <w:t xml:space="preserve">6 резидентов технопарка </w:t>
      </w:r>
      <w:r w:rsidR="00E24194" w:rsidRPr="00AA292B">
        <w:rPr>
          <w:szCs w:val="24"/>
        </w:rPr>
        <w:t>«Жигулёвская долина 2»</w:t>
      </w:r>
      <w:r w:rsidR="00E24194" w:rsidRPr="00175E32">
        <w:rPr>
          <w:szCs w:val="24"/>
        </w:rPr>
        <w:t xml:space="preserve"> (потенциальных резидентов, имеющих намерение инвестировать в строительство и запуск собственных производств)</w:t>
      </w:r>
      <w:r w:rsidR="00E24194">
        <w:rPr>
          <w:szCs w:val="24"/>
        </w:rPr>
        <w:t xml:space="preserve"> </w:t>
      </w:r>
      <w:r w:rsidRPr="00175E32">
        <w:rPr>
          <w:szCs w:val="24"/>
        </w:rPr>
        <w:t xml:space="preserve">составляет 433 млн. </w:t>
      </w:r>
      <w:r w:rsidR="008D7A93" w:rsidRPr="00175E32">
        <w:rPr>
          <w:szCs w:val="24"/>
        </w:rPr>
        <w:t>рублей</w:t>
      </w:r>
      <w:r w:rsidRPr="00175E32">
        <w:rPr>
          <w:szCs w:val="24"/>
        </w:rPr>
        <w:t xml:space="preserve">. Объем освоенных финансовых средств резидентами, накопленным итогом с начала реализации проекта – </w:t>
      </w:r>
      <w:r w:rsidRPr="006975DC">
        <w:rPr>
          <w:szCs w:val="24"/>
        </w:rPr>
        <w:t>104,49 млн</w:t>
      </w:r>
      <w:r w:rsidRPr="00175E32">
        <w:rPr>
          <w:szCs w:val="24"/>
        </w:rPr>
        <w:t>. руб</w:t>
      </w:r>
      <w:r w:rsidR="0030735E" w:rsidRPr="00175E32">
        <w:rPr>
          <w:szCs w:val="24"/>
        </w:rPr>
        <w:t>лей</w:t>
      </w:r>
      <w:r w:rsidRPr="00175E32">
        <w:rPr>
          <w:szCs w:val="24"/>
        </w:rPr>
        <w:t>.</w:t>
      </w:r>
    </w:p>
    <w:p w14:paraId="060937BC" w14:textId="77777777" w:rsidR="00EE07F3" w:rsidRPr="00175E32" w:rsidRDefault="00EE07F3" w:rsidP="001340F7">
      <w:pPr>
        <w:widowControl w:val="0"/>
        <w:spacing w:line="276" w:lineRule="auto"/>
        <w:rPr>
          <w:szCs w:val="24"/>
        </w:rPr>
      </w:pPr>
      <w:r w:rsidRPr="00175E32">
        <w:rPr>
          <w:szCs w:val="24"/>
        </w:rPr>
        <w:t xml:space="preserve">На территориях первого и второго этапов строительства </w:t>
      </w:r>
      <w:r w:rsidR="0030735E" w:rsidRPr="00175E32">
        <w:rPr>
          <w:szCs w:val="24"/>
        </w:rPr>
        <w:t>ОЭЗ ППТ «Тольятти»</w:t>
      </w:r>
      <w:r w:rsidRPr="00175E32">
        <w:rPr>
          <w:szCs w:val="24"/>
        </w:rPr>
        <w:t xml:space="preserve"> созданы объекты инженерной инфраструктуры и транспортной сети. Работают </w:t>
      </w:r>
      <w:r w:rsidR="00E24194">
        <w:rPr>
          <w:szCs w:val="24"/>
        </w:rPr>
        <w:t>10</w:t>
      </w:r>
      <w:r w:rsidRPr="00175E32">
        <w:rPr>
          <w:szCs w:val="24"/>
        </w:rPr>
        <w:t xml:space="preserve"> производств. Всего резидентами ОЭЗ ППТ «Тольятти» являются 25 компаний из 8 стран с объемом заявленных инвестиций порядка 24,3 млрд.</w:t>
      </w:r>
      <w:r w:rsidR="00E24194">
        <w:rPr>
          <w:szCs w:val="24"/>
        </w:rPr>
        <w:t xml:space="preserve"> </w:t>
      </w:r>
      <w:r w:rsidRPr="00175E32">
        <w:rPr>
          <w:szCs w:val="24"/>
        </w:rPr>
        <w:t xml:space="preserve">рублей и планом создания до 4,3 тыс. новых рабочих мест. При этом в 2020 году планируемый объем инвестиций резидентов составит </w:t>
      </w:r>
      <w:r w:rsidR="00251693" w:rsidRPr="00175E32">
        <w:rPr>
          <w:szCs w:val="24"/>
        </w:rPr>
        <w:t xml:space="preserve">около </w:t>
      </w:r>
      <w:r w:rsidRPr="00175E32">
        <w:rPr>
          <w:szCs w:val="24"/>
        </w:rPr>
        <w:t>1,5 млрд. рублей и планом</w:t>
      </w:r>
      <w:r w:rsidR="00FC1C3D">
        <w:rPr>
          <w:szCs w:val="24"/>
        </w:rPr>
        <w:t xml:space="preserve"> создания до 1400 рабочих мест.</w:t>
      </w:r>
    </w:p>
    <w:p w14:paraId="2AABEBC8" w14:textId="77777777" w:rsidR="0030735E" w:rsidRPr="00175E32" w:rsidRDefault="00EE07F3" w:rsidP="0030735E">
      <w:pPr>
        <w:widowControl w:val="0"/>
        <w:spacing w:line="276" w:lineRule="auto"/>
        <w:rPr>
          <w:szCs w:val="24"/>
        </w:rPr>
      </w:pPr>
      <w:r w:rsidRPr="00175E32">
        <w:rPr>
          <w:szCs w:val="24"/>
        </w:rPr>
        <w:t xml:space="preserve">Объем инвестиций управляющей компании ОЭЗ </w:t>
      </w:r>
      <w:r w:rsidR="0030735E" w:rsidRPr="00175E32">
        <w:rPr>
          <w:szCs w:val="24"/>
        </w:rPr>
        <w:t>ППТ «</w:t>
      </w:r>
      <w:r w:rsidRPr="00175E32">
        <w:rPr>
          <w:szCs w:val="24"/>
        </w:rPr>
        <w:t>Тольятти</w:t>
      </w:r>
      <w:r w:rsidR="0030735E" w:rsidRPr="00175E32">
        <w:rPr>
          <w:szCs w:val="24"/>
        </w:rPr>
        <w:t>»</w:t>
      </w:r>
      <w:r w:rsidRPr="00175E32">
        <w:rPr>
          <w:szCs w:val="24"/>
        </w:rPr>
        <w:t xml:space="preserve"> по особо значимым проектам </w:t>
      </w:r>
      <w:r w:rsidR="00C86C0F" w:rsidRPr="00175E32">
        <w:rPr>
          <w:szCs w:val="24"/>
        </w:rPr>
        <w:t xml:space="preserve">в </w:t>
      </w:r>
      <w:r w:rsidRPr="00175E32">
        <w:rPr>
          <w:szCs w:val="24"/>
        </w:rPr>
        <w:t>2020 год</w:t>
      </w:r>
      <w:r w:rsidR="00C86C0F" w:rsidRPr="00175E32">
        <w:rPr>
          <w:szCs w:val="24"/>
        </w:rPr>
        <w:t>у</w:t>
      </w:r>
      <w:r w:rsidRPr="00175E32">
        <w:rPr>
          <w:szCs w:val="24"/>
        </w:rPr>
        <w:t xml:space="preserve"> </w:t>
      </w:r>
      <w:r w:rsidR="00251693" w:rsidRPr="00175E32">
        <w:rPr>
          <w:szCs w:val="24"/>
        </w:rPr>
        <w:t xml:space="preserve">также </w:t>
      </w:r>
      <w:r w:rsidRPr="00175E32">
        <w:rPr>
          <w:szCs w:val="24"/>
        </w:rPr>
        <w:t>составит около 1,5 млрд.</w:t>
      </w:r>
      <w:r w:rsidR="00C86C0F" w:rsidRPr="00175E32">
        <w:rPr>
          <w:szCs w:val="24"/>
        </w:rPr>
        <w:t xml:space="preserve"> </w:t>
      </w:r>
      <w:r w:rsidRPr="00175E32">
        <w:rPr>
          <w:szCs w:val="24"/>
        </w:rPr>
        <w:t>рублей</w:t>
      </w:r>
      <w:r w:rsidR="00C86C0F" w:rsidRPr="00175E32">
        <w:rPr>
          <w:szCs w:val="24"/>
        </w:rPr>
        <w:t xml:space="preserve"> за счет средств областного бюджета</w:t>
      </w:r>
      <w:r w:rsidRPr="00175E32">
        <w:rPr>
          <w:szCs w:val="24"/>
        </w:rPr>
        <w:t xml:space="preserve">, запланировано создать до 164 рабочих места. </w:t>
      </w:r>
      <w:r w:rsidR="0030735E" w:rsidRPr="00175E32">
        <w:rPr>
          <w:szCs w:val="24"/>
        </w:rPr>
        <w:t>На территории площадки ведется работа по строительству регионального индустриального парка, а также подведение к ее границам железнодорожной ветки.</w:t>
      </w:r>
    </w:p>
    <w:p w14:paraId="2081323F" w14:textId="77777777" w:rsidR="00EE07F3" w:rsidRPr="00175E32" w:rsidRDefault="00EE07F3" w:rsidP="001340F7">
      <w:pPr>
        <w:spacing w:line="276" w:lineRule="auto"/>
        <w:rPr>
          <w:szCs w:val="24"/>
        </w:rPr>
      </w:pPr>
      <w:r w:rsidRPr="00175E32">
        <w:rPr>
          <w:szCs w:val="24"/>
        </w:rPr>
        <w:t>В производстве лекарственных средств, медицинской техники и изделий, а также создании и эксплуатации производства субстанций и готовых лекарственных форм резиденты ОЭЗ ППТ «Тольятти»: ООО «</w:t>
      </w:r>
      <w:proofErr w:type="spellStart"/>
      <w:r w:rsidRPr="00175E32">
        <w:rPr>
          <w:szCs w:val="24"/>
        </w:rPr>
        <w:t>ОзонФарм</w:t>
      </w:r>
      <w:proofErr w:type="spellEnd"/>
      <w:r w:rsidRPr="00175E32">
        <w:rPr>
          <w:szCs w:val="24"/>
        </w:rPr>
        <w:t>» и ООО «</w:t>
      </w:r>
      <w:proofErr w:type="spellStart"/>
      <w:r w:rsidRPr="00175E32">
        <w:rPr>
          <w:szCs w:val="24"/>
        </w:rPr>
        <w:t>Мабскейл</w:t>
      </w:r>
      <w:proofErr w:type="spellEnd"/>
      <w:r w:rsidRPr="00175E32">
        <w:rPr>
          <w:szCs w:val="24"/>
        </w:rPr>
        <w:t>» продолжают реализацию крупных инвестиционных проектов.</w:t>
      </w:r>
    </w:p>
    <w:p w14:paraId="17716585" w14:textId="77777777" w:rsidR="00EE07F3" w:rsidRPr="00175E32" w:rsidRDefault="00EE07F3" w:rsidP="001340F7">
      <w:pPr>
        <w:spacing w:line="276" w:lineRule="auto"/>
        <w:rPr>
          <w:szCs w:val="24"/>
        </w:rPr>
      </w:pPr>
      <w:r w:rsidRPr="00175E32">
        <w:rPr>
          <w:szCs w:val="24"/>
        </w:rPr>
        <w:t>В целях помощи и поддержки в развитии малого и среднего бизнеса, действует государственная площад</w:t>
      </w:r>
      <w:r w:rsidR="00FC1C3D">
        <w:rPr>
          <w:szCs w:val="24"/>
        </w:rPr>
        <w:t>ка – Бизнес-инкубатор Тольятти.</w:t>
      </w:r>
    </w:p>
    <w:p w14:paraId="74504F7E" w14:textId="77777777" w:rsidR="00EE07F3" w:rsidRPr="00175E32" w:rsidRDefault="00EE07F3" w:rsidP="001340F7">
      <w:pPr>
        <w:spacing w:line="276" w:lineRule="auto"/>
        <w:rPr>
          <w:szCs w:val="24"/>
        </w:rPr>
      </w:pPr>
      <w:r w:rsidRPr="00175E32">
        <w:rPr>
          <w:szCs w:val="24"/>
        </w:rPr>
        <w:t>Резидентам Бизнес-инкубатора Тольятти на льготных условиях предоставляются в аренду офисные помещения, оказываются бесплатные услуги в рамках информационно</w:t>
      </w:r>
      <w:r w:rsidR="00FC1C3D">
        <w:rPr>
          <w:szCs w:val="24"/>
        </w:rPr>
        <w:t>й и консультационной поддержки.</w:t>
      </w:r>
    </w:p>
    <w:p w14:paraId="48068D1C" w14:textId="77777777" w:rsidR="00EE07F3" w:rsidRPr="00175E32" w:rsidRDefault="00EE07F3" w:rsidP="001340F7">
      <w:pPr>
        <w:widowControl w:val="0"/>
        <w:spacing w:line="276" w:lineRule="auto"/>
        <w:rPr>
          <w:szCs w:val="24"/>
        </w:rPr>
      </w:pPr>
      <w:r w:rsidRPr="00175E32">
        <w:rPr>
          <w:szCs w:val="24"/>
        </w:rPr>
        <w:lastRenderedPageBreak/>
        <w:t xml:space="preserve">В регионе продолжена работа по структурированию и подготовке к реализации масштабных инфраструктурных проектов, направленных на усиление связанности внутри </w:t>
      </w:r>
      <w:proofErr w:type="spellStart"/>
      <w:r w:rsidRPr="00175E32">
        <w:rPr>
          <w:szCs w:val="24"/>
        </w:rPr>
        <w:t>Самарско</w:t>
      </w:r>
      <w:proofErr w:type="spellEnd"/>
      <w:r w:rsidRPr="00175E32">
        <w:rPr>
          <w:szCs w:val="24"/>
        </w:rPr>
        <w:t xml:space="preserve">-Тольяттинской агломерации и ее встраивание в международные транспортные коридоры. Осуществляется реализация Плана мероприятий по развитию </w:t>
      </w:r>
      <w:proofErr w:type="spellStart"/>
      <w:r w:rsidRPr="00175E32">
        <w:rPr>
          <w:szCs w:val="24"/>
        </w:rPr>
        <w:t>Самарско</w:t>
      </w:r>
      <w:proofErr w:type="spellEnd"/>
      <w:r w:rsidRPr="00175E32">
        <w:rPr>
          <w:szCs w:val="24"/>
        </w:rPr>
        <w:t>-Тольяттинской агломерации на 2018-2035 годы (Дорожная карта), утвержденного Правительством Самарской области.</w:t>
      </w:r>
    </w:p>
    <w:p w14:paraId="3E603A39" w14:textId="77777777" w:rsidR="00EE07F3" w:rsidRPr="00175E32" w:rsidRDefault="00EE07F3" w:rsidP="001340F7">
      <w:pPr>
        <w:spacing w:line="276" w:lineRule="auto"/>
        <w:rPr>
          <w:szCs w:val="24"/>
        </w:rPr>
      </w:pPr>
      <w:r w:rsidRPr="00175E32">
        <w:rPr>
          <w:szCs w:val="24"/>
        </w:rPr>
        <w:t xml:space="preserve">В настоящее время взаимодействие администрации городского округа Тольятти с частными инвесторами по реализации инвестиционных проектов осуществляется в рамках 2-х действующих концессионных соглашений, в соответствии с Федеральным законом РФ от 21.07.2005 № 115-ФЗ «О концессионных соглашениях», предусматривающих создание объектов образования (общеобразовательной школы и детского сада) путем реконструкции </w:t>
      </w:r>
      <w:r w:rsidR="00923023" w:rsidRPr="00175E32">
        <w:rPr>
          <w:szCs w:val="24"/>
        </w:rPr>
        <w:t>существующих зданий,</w:t>
      </w:r>
      <w:r w:rsidRPr="00175E32">
        <w:rPr>
          <w:szCs w:val="24"/>
        </w:rPr>
        <w:t xml:space="preserve"> находящихся в муниципальной собственности.</w:t>
      </w:r>
    </w:p>
    <w:p w14:paraId="0CA66863" w14:textId="77777777" w:rsidR="00EE07F3" w:rsidRPr="00175E32" w:rsidRDefault="00EE07F3" w:rsidP="001340F7">
      <w:pPr>
        <w:pStyle w:val="aff0"/>
        <w:spacing w:line="276" w:lineRule="auto"/>
        <w:rPr>
          <w:sz w:val="24"/>
          <w:szCs w:val="24"/>
        </w:rPr>
      </w:pPr>
      <w:r w:rsidRPr="00175E32">
        <w:rPr>
          <w:sz w:val="24"/>
          <w:szCs w:val="24"/>
        </w:rPr>
        <w:t xml:space="preserve">В 1 полугодии 2020 года наблюдается значительный рост бюджетных инвестиций (в 6,8 раза) относительно низкой базы 1 полугодия 2019 года, в том числе из бюджета городского округа Тольятти - в 2,2 раза (от 15,3 млн. </w:t>
      </w:r>
      <w:r w:rsidR="008D7A93" w:rsidRPr="00175E32">
        <w:rPr>
          <w:sz w:val="24"/>
          <w:szCs w:val="24"/>
        </w:rPr>
        <w:t>рублей</w:t>
      </w:r>
      <w:r w:rsidRPr="00175E32">
        <w:rPr>
          <w:sz w:val="24"/>
          <w:szCs w:val="24"/>
        </w:rPr>
        <w:t xml:space="preserve"> до 33,4 млн. </w:t>
      </w:r>
      <w:r w:rsidR="008D7A93" w:rsidRPr="00175E32">
        <w:rPr>
          <w:sz w:val="24"/>
          <w:szCs w:val="24"/>
        </w:rPr>
        <w:t>рублей</w:t>
      </w:r>
      <w:r w:rsidRPr="00175E32">
        <w:rPr>
          <w:sz w:val="24"/>
          <w:szCs w:val="24"/>
        </w:rPr>
        <w:t>).</w:t>
      </w:r>
    </w:p>
    <w:p w14:paraId="66FF62F9" w14:textId="77777777" w:rsidR="00EE07F3" w:rsidRPr="00175E32" w:rsidRDefault="00EE07F3" w:rsidP="001340F7">
      <w:pPr>
        <w:pStyle w:val="afb"/>
        <w:tabs>
          <w:tab w:val="left" w:pos="142"/>
        </w:tabs>
        <w:spacing w:line="276" w:lineRule="auto"/>
        <w:ind w:left="0"/>
        <w:rPr>
          <w:szCs w:val="24"/>
        </w:rPr>
      </w:pPr>
      <w:r w:rsidRPr="00175E32">
        <w:rPr>
          <w:szCs w:val="24"/>
        </w:rPr>
        <w:t>Однако, в целом за 2020 год</w:t>
      </w:r>
      <w:r w:rsidR="00E24194">
        <w:rPr>
          <w:szCs w:val="24"/>
        </w:rPr>
        <w:t>,</w:t>
      </w:r>
      <w:r w:rsidRPr="00175E32">
        <w:rPr>
          <w:szCs w:val="24"/>
        </w:rPr>
        <w:t xml:space="preserve"> ожидается снижение общего объема бюджетных инвестиций относительно уровня 2019 года, в связи с тем, что во втором полугодии предыдущего года из средств федерального бюджета </w:t>
      </w:r>
      <w:r w:rsidR="00FC1C3D">
        <w:rPr>
          <w:szCs w:val="24"/>
        </w:rPr>
        <w:t>было выделено порядка 1,5 млрд. </w:t>
      </w:r>
      <w:r w:rsidR="00923023" w:rsidRPr="00175E32">
        <w:rPr>
          <w:szCs w:val="24"/>
        </w:rPr>
        <w:t>рублей Самарскому</w:t>
      </w:r>
      <w:r w:rsidRPr="00175E32">
        <w:rPr>
          <w:szCs w:val="24"/>
        </w:rPr>
        <w:t xml:space="preserve"> филиалу ФБУ «Администрации Волжского Бассейна внутренних водных</w:t>
      </w:r>
      <w:r w:rsidR="00FC1C3D">
        <w:rPr>
          <w:szCs w:val="24"/>
        </w:rPr>
        <w:t xml:space="preserve"> путей» на модернизацию шлюзов.</w:t>
      </w:r>
    </w:p>
    <w:p w14:paraId="6E84CF75" w14:textId="77777777" w:rsidR="00EE07F3" w:rsidRPr="00175E32" w:rsidRDefault="00EE07F3" w:rsidP="001340F7">
      <w:pPr>
        <w:spacing w:line="276" w:lineRule="auto"/>
        <w:rPr>
          <w:szCs w:val="24"/>
        </w:rPr>
      </w:pPr>
      <w:r w:rsidRPr="00175E32">
        <w:rPr>
          <w:szCs w:val="24"/>
        </w:rPr>
        <w:t xml:space="preserve">По имеющимся в администрации </w:t>
      </w:r>
      <w:r w:rsidR="008D7A93" w:rsidRPr="00175E32">
        <w:rPr>
          <w:szCs w:val="24"/>
        </w:rPr>
        <w:t xml:space="preserve">городского округа Тольятти </w:t>
      </w:r>
      <w:r w:rsidR="00FC1C3D">
        <w:rPr>
          <w:szCs w:val="24"/>
        </w:rPr>
        <w:t>данным к концу 2020 </w:t>
      </w:r>
      <w:r w:rsidRPr="00175E32">
        <w:rPr>
          <w:szCs w:val="24"/>
        </w:rPr>
        <w:t>года прогнозируемый объем инвестиций бюджето</w:t>
      </w:r>
      <w:r w:rsidR="00FC1C3D">
        <w:rPr>
          <w:szCs w:val="24"/>
        </w:rPr>
        <w:t>в всех уровней составит около 2 </w:t>
      </w:r>
      <w:r w:rsidRPr="00175E32">
        <w:rPr>
          <w:szCs w:val="24"/>
        </w:rPr>
        <w:t>227,7 млн. рублей, в том числе: 298,8 млн.</w:t>
      </w:r>
      <w:r w:rsidR="008441AB" w:rsidRPr="00175E32">
        <w:rPr>
          <w:szCs w:val="24"/>
        </w:rPr>
        <w:t xml:space="preserve"> </w:t>
      </w:r>
      <w:r w:rsidR="00923023" w:rsidRPr="00175E32">
        <w:rPr>
          <w:szCs w:val="24"/>
        </w:rPr>
        <w:t>рублей –</w:t>
      </w:r>
      <w:r w:rsidRPr="00175E32">
        <w:rPr>
          <w:szCs w:val="24"/>
        </w:rPr>
        <w:t xml:space="preserve"> средства федерального бюджета, 1</w:t>
      </w:r>
      <w:r w:rsidR="00FC1C3D">
        <w:rPr>
          <w:szCs w:val="24"/>
        </w:rPr>
        <w:t> </w:t>
      </w:r>
      <w:r w:rsidRPr="00175E32">
        <w:rPr>
          <w:szCs w:val="24"/>
        </w:rPr>
        <w:t>735 млн.</w:t>
      </w:r>
      <w:r w:rsidR="008441AB" w:rsidRPr="00175E32">
        <w:rPr>
          <w:szCs w:val="24"/>
        </w:rPr>
        <w:t xml:space="preserve"> </w:t>
      </w:r>
      <w:r w:rsidRPr="00175E32">
        <w:rPr>
          <w:szCs w:val="24"/>
        </w:rPr>
        <w:t xml:space="preserve">рублей – средства областного бюджета, 193,9 </w:t>
      </w:r>
      <w:r w:rsidR="00307943" w:rsidRPr="00175E32">
        <w:rPr>
          <w:szCs w:val="24"/>
        </w:rPr>
        <w:t xml:space="preserve">млн. рублей </w:t>
      </w:r>
      <w:r w:rsidRPr="00175E32">
        <w:rPr>
          <w:szCs w:val="24"/>
        </w:rPr>
        <w:t>– средства бюджета городского округа</w:t>
      </w:r>
      <w:r w:rsidR="006975DC">
        <w:rPr>
          <w:szCs w:val="24"/>
        </w:rPr>
        <w:t xml:space="preserve"> Тольятти</w:t>
      </w:r>
      <w:r w:rsidRPr="00175E32">
        <w:rPr>
          <w:szCs w:val="24"/>
        </w:rPr>
        <w:t>.</w:t>
      </w:r>
    </w:p>
    <w:p w14:paraId="7817B602" w14:textId="77777777" w:rsidR="00580FAB" w:rsidRPr="00175E32" w:rsidRDefault="00580FAB" w:rsidP="00580FAB">
      <w:pPr>
        <w:spacing w:line="276" w:lineRule="auto"/>
        <w:rPr>
          <w:szCs w:val="24"/>
        </w:rPr>
      </w:pPr>
      <w:r w:rsidRPr="00175E32">
        <w:rPr>
          <w:szCs w:val="24"/>
        </w:rPr>
        <w:t>В городском округе Тольятти за счет средств бюджетов всех уровней в 2020 году реализуются сл</w:t>
      </w:r>
      <w:r w:rsidR="00FC1C3D">
        <w:rPr>
          <w:szCs w:val="24"/>
        </w:rPr>
        <w:t>едующие инвестиционные проекты:</w:t>
      </w:r>
    </w:p>
    <w:p w14:paraId="40AE6A54" w14:textId="77777777" w:rsidR="00580FAB" w:rsidRPr="00175E32" w:rsidRDefault="00580FAB" w:rsidP="00580FAB">
      <w:pPr>
        <w:pStyle w:val="afb"/>
        <w:numPr>
          <w:ilvl w:val="0"/>
          <w:numId w:val="5"/>
        </w:numPr>
        <w:tabs>
          <w:tab w:val="left" w:pos="142"/>
        </w:tabs>
        <w:spacing w:line="276" w:lineRule="auto"/>
        <w:ind w:left="0" w:firstLine="709"/>
        <w:rPr>
          <w:szCs w:val="24"/>
        </w:rPr>
      </w:pPr>
      <w:r w:rsidRPr="00175E32">
        <w:rPr>
          <w:szCs w:val="24"/>
        </w:rPr>
        <w:t xml:space="preserve">- работы по проектированию и строительству 5-ти детских садов (детский сад №210 «Ладушки» в микрорайоне 3 «Северный» Центрального района и в 20 квартале, детский сад на 145 мест по ул. 40 лет победы ЛДС-2 в составе 2 этапа, детский сад в </w:t>
      </w:r>
      <w:proofErr w:type="spellStart"/>
      <w:r w:rsidRPr="00175E32">
        <w:rPr>
          <w:szCs w:val="24"/>
        </w:rPr>
        <w:t>мкр</w:t>
      </w:r>
      <w:proofErr w:type="spellEnd"/>
      <w:r w:rsidRPr="00175E32">
        <w:rPr>
          <w:szCs w:val="24"/>
        </w:rPr>
        <w:t>. Жигулевское море, детский сад на 120 мест с внутриплощадочными инженерными сетями (175,8 млн. рублей)</w:t>
      </w:r>
      <w:r w:rsidR="00C704AE">
        <w:rPr>
          <w:szCs w:val="24"/>
        </w:rPr>
        <w:t>)</w:t>
      </w:r>
      <w:r w:rsidRPr="00175E32">
        <w:rPr>
          <w:szCs w:val="24"/>
        </w:rPr>
        <w:t>;</w:t>
      </w:r>
    </w:p>
    <w:p w14:paraId="7E31FF3D" w14:textId="77777777" w:rsidR="00EE07F3" w:rsidRPr="00175E32" w:rsidRDefault="00EE07F3" w:rsidP="001340F7">
      <w:pPr>
        <w:pStyle w:val="afb"/>
        <w:numPr>
          <w:ilvl w:val="0"/>
          <w:numId w:val="5"/>
        </w:numPr>
        <w:tabs>
          <w:tab w:val="left" w:pos="142"/>
        </w:tabs>
        <w:spacing w:line="276" w:lineRule="auto"/>
        <w:ind w:left="0" w:firstLine="709"/>
        <w:rPr>
          <w:szCs w:val="24"/>
        </w:rPr>
      </w:pPr>
      <w:r w:rsidRPr="00175E32">
        <w:rPr>
          <w:szCs w:val="24"/>
        </w:rPr>
        <w:t>-строительство ФСК в 21 квартале Автозаводского райо</w:t>
      </w:r>
      <w:r w:rsidR="00FC1C3D">
        <w:rPr>
          <w:szCs w:val="24"/>
        </w:rPr>
        <w:t>на для МБУДО </w:t>
      </w:r>
      <w:r w:rsidRPr="00175E32">
        <w:rPr>
          <w:szCs w:val="24"/>
        </w:rPr>
        <w:t xml:space="preserve">СДЮСШОР №7 «Акробат» </w:t>
      </w:r>
      <w:r w:rsidR="006F03EB" w:rsidRPr="00175E32">
        <w:rPr>
          <w:szCs w:val="24"/>
        </w:rPr>
        <w:t>(</w:t>
      </w:r>
      <w:r w:rsidRPr="00175E32">
        <w:rPr>
          <w:szCs w:val="24"/>
        </w:rPr>
        <w:t>12</w:t>
      </w:r>
      <w:r w:rsidR="00550B60" w:rsidRPr="00175E32">
        <w:rPr>
          <w:szCs w:val="24"/>
        </w:rPr>
        <w:t>8,5</w:t>
      </w:r>
      <w:r w:rsidRPr="00175E32">
        <w:rPr>
          <w:szCs w:val="24"/>
        </w:rPr>
        <w:t xml:space="preserve"> </w:t>
      </w:r>
      <w:r w:rsidR="008441AB" w:rsidRPr="00175E32">
        <w:rPr>
          <w:szCs w:val="24"/>
        </w:rPr>
        <w:t>млн. рублей</w:t>
      </w:r>
      <w:r w:rsidRPr="00175E32">
        <w:rPr>
          <w:szCs w:val="24"/>
        </w:rPr>
        <w:t>);</w:t>
      </w:r>
    </w:p>
    <w:p w14:paraId="5F19C87C" w14:textId="77777777" w:rsidR="00EE07F3" w:rsidRPr="00175E32" w:rsidRDefault="00EE07F3" w:rsidP="001340F7">
      <w:pPr>
        <w:pStyle w:val="aff0"/>
        <w:numPr>
          <w:ilvl w:val="0"/>
          <w:numId w:val="5"/>
        </w:numPr>
        <w:spacing w:line="276" w:lineRule="auto"/>
        <w:ind w:left="0" w:firstLine="709"/>
        <w:rPr>
          <w:sz w:val="24"/>
          <w:szCs w:val="24"/>
        </w:rPr>
      </w:pPr>
      <w:r w:rsidRPr="00175E32">
        <w:rPr>
          <w:sz w:val="24"/>
          <w:szCs w:val="24"/>
        </w:rPr>
        <w:t>-строительство общеобразовательной школы н</w:t>
      </w:r>
      <w:r w:rsidR="00FC1C3D">
        <w:rPr>
          <w:sz w:val="24"/>
          <w:szCs w:val="24"/>
        </w:rPr>
        <w:t>а 1600 мест, расположенной в 20 </w:t>
      </w:r>
      <w:r w:rsidRPr="00175E32">
        <w:rPr>
          <w:sz w:val="24"/>
          <w:szCs w:val="24"/>
        </w:rPr>
        <w:t>квартале Автозаводского района</w:t>
      </w:r>
      <w:r w:rsidR="00C704AE">
        <w:rPr>
          <w:sz w:val="24"/>
          <w:szCs w:val="24"/>
        </w:rPr>
        <w:t xml:space="preserve"> </w:t>
      </w:r>
      <w:r w:rsidRPr="00175E32">
        <w:rPr>
          <w:sz w:val="24"/>
          <w:szCs w:val="24"/>
        </w:rPr>
        <w:t>– (</w:t>
      </w:r>
      <w:r w:rsidR="008014FF" w:rsidRPr="00175E32">
        <w:rPr>
          <w:sz w:val="24"/>
          <w:szCs w:val="24"/>
        </w:rPr>
        <w:t>3,8</w:t>
      </w:r>
      <w:r w:rsidRPr="00175E32">
        <w:rPr>
          <w:sz w:val="24"/>
          <w:szCs w:val="24"/>
        </w:rPr>
        <w:t xml:space="preserve"> </w:t>
      </w:r>
      <w:r w:rsidR="008441AB" w:rsidRPr="00175E32">
        <w:rPr>
          <w:sz w:val="24"/>
          <w:szCs w:val="24"/>
        </w:rPr>
        <w:t>млн. рублей</w:t>
      </w:r>
      <w:r w:rsidRPr="00175E32">
        <w:rPr>
          <w:sz w:val="24"/>
          <w:szCs w:val="24"/>
        </w:rPr>
        <w:t>);</w:t>
      </w:r>
    </w:p>
    <w:p w14:paraId="7B2D2AAA" w14:textId="77777777" w:rsidR="00EE07F3" w:rsidRPr="00175E32" w:rsidRDefault="00EE07F3" w:rsidP="001340F7">
      <w:pPr>
        <w:pStyle w:val="aff0"/>
        <w:numPr>
          <w:ilvl w:val="0"/>
          <w:numId w:val="5"/>
        </w:numPr>
        <w:spacing w:line="276" w:lineRule="auto"/>
        <w:ind w:left="0" w:firstLine="709"/>
        <w:rPr>
          <w:sz w:val="24"/>
          <w:szCs w:val="24"/>
        </w:rPr>
      </w:pPr>
      <w:r w:rsidRPr="00175E32">
        <w:rPr>
          <w:sz w:val="24"/>
          <w:szCs w:val="24"/>
        </w:rPr>
        <w:t xml:space="preserve">-строительство общеобразовательной школы, расположенной в 18 квартале, севернее жилого дома №78 по ул. 70 лет Октября – (4,1 </w:t>
      </w:r>
      <w:r w:rsidR="008441AB" w:rsidRPr="00175E32">
        <w:rPr>
          <w:sz w:val="24"/>
          <w:szCs w:val="24"/>
        </w:rPr>
        <w:t>млн. рублей</w:t>
      </w:r>
      <w:r w:rsidRPr="00175E32">
        <w:rPr>
          <w:sz w:val="24"/>
          <w:szCs w:val="24"/>
        </w:rPr>
        <w:t>);</w:t>
      </w:r>
    </w:p>
    <w:p w14:paraId="0ECAB1FF" w14:textId="77777777" w:rsidR="00EE07F3" w:rsidRPr="00175E32" w:rsidRDefault="00EE07F3" w:rsidP="001340F7">
      <w:pPr>
        <w:pStyle w:val="aff0"/>
        <w:numPr>
          <w:ilvl w:val="0"/>
          <w:numId w:val="5"/>
        </w:numPr>
        <w:spacing w:line="276" w:lineRule="auto"/>
        <w:ind w:left="0" w:firstLine="709"/>
        <w:rPr>
          <w:sz w:val="24"/>
          <w:szCs w:val="24"/>
        </w:rPr>
      </w:pPr>
      <w:r w:rsidRPr="00175E32">
        <w:rPr>
          <w:sz w:val="24"/>
          <w:szCs w:val="24"/>
        </w:rPr>
        <w:t>-проектирование и реконструкция набережной Автозаводского района – (54</w:t>
      </w:r>
      <w:r w:rsidR="00550B60" w:rsidRPr="00175E32">
        <w:rPr>
          <w:sz w:val="24"/>
          <w:szCs w:val="24"/>
        </w:rPr>
        <w:t>,6</w:t>
      </w:r>
      <w:r w:rsidR="00FC1C3D">
        <w:rPr>
          <w:sz w:val="24"/>
          <w:szCs w:val="24"/>
        </w:rPr>
        <w:t> </w:t>
      </w:r>
      <w:r w:rsidRPr="00175E32">
        <w:rPr>
          <w:sz w:val="24"/>
          <w:szCs w:val="24"/>
        </w:rPr>
        <w:t>млн.</w:t>
      </w:r>
      <w:r w:rsidR="00FC1C3D">
        <w:rPr>
          <w:sz w:val="24"/>
          <w:szCs w:val="24"/>
        </w:rPr>
        <w:t> </w:t>
      </w:r>
      <w:r w:rsidRPr="00175E32">
        <w:rPr>
          <w:sz w:val="24"/>
          <w:szCs w:val="24"/>
        </w:rPr>
        <w:t>руб</w:t>
      </w:r>
      <w:r w:rsidR="008441AB" w:rsidRPr="00175E32">
        <w:rPr>
          <w:sz w:val="24"/>
          <w:szCs w:val="24"/>
        </w:rPr>
        <w:t>лей</w:t>
      </w:r>
      <w:r w:rsidRPr="00175E32">
        <w:rPr>
          <w:sz w:val="24"/>
          <w:szCs w:val="24"/>
        </w:rPr>
        <w:t>);</w:t>
      </w:r>
    </w:p>
    <w:p w14:paraId="111B4F64" w14:textId="77777777" w:rsidR="00EE07F3" w:rsidRPr="00175E32" w:rsidRDefault="00EE07F3" w:rsidP="00EE7103">
      <w:pPr>
        <w:pStyle w:val="afb"/>
        <w:numPr>
          <w:ilvl w:val="0"/>
          <w:numId w:val="5"/>
        </w:numPr>
        <w:spacing w:line="276" w:lineRule="auto"/>
        <w:ind w:left="0" w:firstLine="709"/>
        <w:rPr>
          <w:szCs w:val="24"/>
        </w:rPr>
      </w:pPr>
      <w:r w:rsidRPr="00175E32">
        <w:rPr>
          <w:szCs w:val="24"/>
        </w:rPr>
        <w:t>-проектирование и строительство легкоатлетиче</w:t>
      </w:r>
      <w:r w:rsidR="00EE7103" w:rsidRPr="00175E32">
        <w:rPr>
          <w:szCs w:val="24"/>
        </w:rPr>
        <w:t xml:space="preserve">ского манежа </w:t>
      </w:r>
      <w:r w:rsidR="00D011E7" w:rsidRPr="00175E32">
        <w:rPr>
          <w:szCs w:val="24"/>
        </w:rPr>
        <w:t>(</w:t>
      </w:r>
      <w:r w:rsidRPr="00175E32">
        <w:rPr>
          <w:szCs w:val="24"/>
        </w:rPr>
        <w:t>101,</w:t>
      </w:r>
      <w:r w:rsidR="0074347F" w:rsidRPr="00175E32">
        <w:rPr>
          <w:szCs w:val="24"/>
        </w:rPr>
        <w:t>1</w:t>
      </w:r>
      <w:r w:rsidRPr="00175E32">
        <w:rPr>
          <w:szCs w:val="24"/>
        </w:rPr>
        <w:t xml:space="preserve"> млн.</w:t>
      </w:r>
      <w:r w:rsidR="008441AB" w:rsidRPr="00175E32">
        <w:rPr>
          <w:szCs w:val="24"/>
        </w:rPr>
        <w:t xml:space="preserve"> </w:t>
      </w:r>
      <w:r w:rsidRPr="00175E32">
        <w:rPr>
          <w:szCs w:val="24"/>
        </w:rPr>
        <w:t>рублей</w:t>
      </w:r>
      <w:r w:rsidR="00D011E7" w:rsidRPr="00175E32">
        <w:rPr>
          <w:szCs w:val="24"/>
        </w:rPr>
        <w:t>)</w:t>
      </w:r>
      <w:r w:rsidRPr="00175E32">
        <w:rPr>
          <w:szCs w:val="24"/>
        </w:rPr>
        <w:t>;</w:t>
      </w:r>
    </w:p>
    <w:p w14:paraId="5FC17B4E" w14:textId="77777777" w:rsidR="00EE07F3" w:rsidRPr="00175E32" w:rsidRDefault="00EE07F3" w:rsidP="001340F7">
      <w:pPr>
        <w:pStyle w:val="aff0"/>
        <w:numPr>
          <w:ilvl w:val="0"/>
          <w:numId w:val="5"/>
        </w:numPr>
        <w:spacing w:line="276" w:lineRule="auto"/>
        <w:ind w:left="0" w:firstLine="709"/>
        <w:rPr>
          <w:sz w:val="24"/>
          <w:szCs w:val="24"/>
        </w:rPr>
      </w:pPr>
      <w:r w:rsidRPr="00175E32">
        <w:rPr>
          <w:sz w:val="24"/>
          <w:szCs w:val="24"/>
        </w:rPr>
        <w:t xml:space="preserve">-на развитие индустриального парка ОЭЗ ППТ «Тольятти» </w:t>
      </w:r>
      <w:r w:rsidR="00D011E7" w:rsidRPr="00175E32">
        <w:rPr>
          <w:sz w:val="24"/>
          <w:szCs w:val="24"/>
        </w:rPr>
        <w:t>(</w:t>
      </w:r>
      <w:r w:rsidRPr="00175E32">
        <w:rPr>
          <w:sz w:val="24"/>
          <w:szCs w:val="24"/>
        </w:rPr>
        <w:t>1091,0 млн.</w:t>
      </w:r>
      <w:r w:rsidR="008441AB" w:rsidRPr="00175E32">
        <w:rPr>
          <w:sz w:val="24"/>
          <w:szCs w:val="24"/>
        </w:rPr>
        <w:t xml:space="preserve"> </w:t>
      </w:r>
      <w:r w:rsidRPr="00175E32">
        <w:rPr>
          <w:sz w:val="24"/>
          <w:szCs w:val="24"/>
        </w:rPr>
        <w:t>рублей</w:t>
      </w:r>
      <w:r w:rsidR="00D011E7" w:rsidRPr="00175E32">
        <w:rPr>
          <w:sz w:val="24"/>
          <w:szCs w:val="24"/>
        </w:rPr>
        <w:t>)</w:t>
      </w:r>
      <w:r w:rsidRPr="00175E32">
        <w:rPr>
          <w:sz w:val="24"/>
          <w:szCs w:val="24"/>
        </w:rPr>
        <w:t>;</w:t>
      </w:r>
    </w:p>
    <w:p w14:paraId="1CA44038" w14:textId="77777777" w:rsidR="00EE07F3" w:rsidRPr="00175E32" w:rsidRDefault="00EE07F3" w:rsidP="001340F7">
      <w:pPr>
        <w:pStyle w:val="aff0"/>
        <w:numPr>
          <w:ilvl w:val="0"/>
          <w:numId w:val="5"/>
        </w:numPr>
        <w:spacing w:line="276" w:lineRule="auto"/>
        <w:ind w:left="0" w:firstLine="709"/>
        <w:rPr>
          <w:sz w:val="24"/>
          <w:szCs w:val="24"/>
        </w:rPr>
      </w:pPr>
      <w:r w:rsidRPr="00175E32">
        <w:rPr>
          <w:sz w:val="24"/>
          <w:szCs w:val="24"/>
        </w:rPr>
        <w:t xml:space="preserve">-проектирование, строительство и реконструкцию объектов инфраструктуры, необходимых для реализации новых инвестиционных проектов на территории «Жигулевская долина 2» в городском округе Тольятти </w:t>
      </w:r>
      <w:r w:rsidR="00D011E7" w:rsidRPr="00175E32">
        <w:rPr>
          <w:sz w:val="24"/>
          <w:szCs w:val="24"/>
        </w:rPr>
        <w:t>(</w:t>
      </w:r>
      <w:r w:rsidRPr="00175E32">
        <w:rPr>
          <w:sz w:val="24"/>
          <w:szCs w:val="24"/>
        </w:rPr>
        <w:t>198,6 млн.</w:t>
      </w:r>
      <w:r w:rsidR="008441AB" w:rsidRPr="00175E32">
        <w:rPr>
          <w:sz w:val="24"/>
          <w:szCs w:val="24"/>
        </w:rPr>
        <w:t xml:space="preserve"> </w:t>
      </w:r>
      <w:r w:rsidRPr="00175E32">
        <w:rPr>
          <w:sz w:val="24"/>
          <w:szCs w:val="24"/>
        </w:rPr>
        <w:t>рублей</w:t>
      </w:r>
      <w:r w:rsidR="00D011E7" w:rsidRPr="00175E32">
        <w:rPr>
          <w:sz w:val="24"/>
          <w:szCs w:val="24"/>
        </w:rPr>
        <w:t>)</w:t>
      </w:r>
      <w:r w:rsidRPr="00175E32">
        <w:rPr>
          <w:sz w:val="24"/>
          <w:szCs w:val="24"/>
        </w:rPr>
        <w:t>.</w:t>
      </w:r>
    </w:p>
    <w:p w14:paraId="644078DC" w14:textId="77777777" w:rsidR="00EE07F3" w:rsidRPr="00175E32" w:rsidRDefault="00EE07F3" w:rsidP="001340F7">
      <w:pPr>
        <w:pStyle w:val="afb"/>
        <w:tabs>
          <w:tab w:val="left" w:pos="142"/>
        </w:tabs>
        <w:spacing w:line="276" w:lineRule="auto"/>
        <w:ind w:left="0"/>
        <w:rPr>
          <w:szCs w:val="24"/>
        </w:rPr>
      </w:pPr>
      <w:r w:rsidRPr="00175E32">
        <w:rPr>
          <w:szCs w:val="24"/>
        </w:rPr>
        <w:lastRenderedPageBreak/>
        <w:t>- на разных стадиях подготовительных работ находятся проекты строительства улично-дорожной сети: автомобильной дор</w:t>
      </w:r>
      <w:r w:rsidR="00FC1C3D">
        <w:rPr>
          <w:szCs w:val="24"/>
        </w:rPr>
        <w:t>оги по ул. Механизаторов от ул. </w:t>
      </w:r>
      <w:r w:rsidRPr="00175E32">
        <w:rPr>
          <w:szCs w:val="24"/>
        </w:rPr>
        <w:t xml:space="preserve">Лизы Чайкиной до ул. Громовой; </w:t>
      </w:r>
      <w:proofErr w:type="spellStart"/>
      <w:r w:rsidRPr="00175E32">
        <w:rPr>
          <w:szCs w:val="24"/>
        </w:rPr>
        <w:t>улично</w:t>
      </w:r>
      <w:proofErr w:type="spellEnd"/>
      <w:r w:rsidRPr="00175E32">
        <w:rPr>
          <w:szCs w:val="24"/>
        </w:rPr>
        <w:t xml:space="preserve"> - дорожной сети западнее Московского проспекта (первая очередь); магистральной улицы по ул. Офицерской от ул. Полякова до Южного шоссе в Автозаводском районе; автодороги по ул. Владимира Высоцкого, мостового перехода через реку Волгу с обходом городского округа Тольятти и выходом на автомобильную дорогу М-5 «Урал», а также реконструкция автомобильной дороги  Тольятти - Ягодное и Южного шоссе от ул. Заставной до ул. Цеховой с устройством парковочных автостоянок вдоль южных проходных АО «АВТОВАЗ» и т.д.</w:t>
      </w:r>
    </w:p>
    <w:p w14:paraId="18698BEE" w14:textId="77777777" w:rsidR="00EE07F3" w:rsidRPr="00175E32" w:rsidRDefault="00EE07F3" w:rsidP="001340F7">
      <w:pPr>
        <w:pStyle w:val="afb"/>
        <w:tabs>
          <w:tab w:val="left" w:pos="142"/>
        </w:tabs>
        <w:spacing w:line="276" w:lineRule="auto"/>
        <w:ind w:left="0"/>
      </w:pPr>
      <w:r w:rsidRPr="00175E32">
        <w:rPr>
          <w:szCs w:val="24"/>
        </w:rPr>
        <w:t xml:space="preserve">В отчетном периоде за счет средств вышестоящих бюджетов ведется строительство и реконструкция объектов инфраструктуры, необходимых для реализации новых инвестиционных проектов на территории «Жигулевская долина 2» в городском округе Тольятти и </w:t>
      </w:r>
      <w:r w:rsidRPr="00175E32">
        <w:t>территорий первого и второго этапов строительства ОЭЗ ППТ «Тольятти».</w:t>
      </w:r>
    </w:p>
    <w:p w14:paraId="2429F48B" w14:textId="77777777" w:rsidR="00EE07F3" w:rsidRPr="00175E32" w:rsidRDefault="00EE07F3" w:rsidP="001340F7">
      <w:pPr>
        <w:pStyle w:val="afb"/>
        <w:tabs>
          <w:tab w:val="left" w:pos="142"/>
        </w:tabs>
        <w:spacing w:line="276" w:lineRule="auto"/>
        <w:ind w:left="0"/>
        <w:rPr>
          <w:szCs w:val="24"/>
        </w:rPr>
      </w:pPr>
      <w:r w:rsidRPr="00175E32">
        <w:rPr>
          <w:szCs w:val="24"/>
        </w:rPr>
        <w:t>Также ведется строительство Центра спортивной гимнастики «Немов-центр». Продолжены строительно-монтажные работы физкультурно-спортивного комплекса на площадке «Певческое поле» с привлечением средств в рамках государственно-частного партнерства.</w:t>
      </w:r>
    </w:p>
    <w:p w14:paraId="78972C1E" w14:textId="77777777" w:rsidR="00EE07F3" w:rsidRPr="00175E32" w:rsidRDefault="00EE07F3" w:rsidP="001340F7">
      <w:pPr>
        <w:spacing w:line="276" w:lineRule="auto"/>
        <w:rPr>
          <w:color w:val="000000"/>
          <w:szCs w:val="24"/>
        </w:rPr>
      </w:pPr>
      <w:r w:rsidRPr="00175E32">
        <w:rPr>
          <w:szCs w:val="24"/>
        </w:rPr>
        <w:t xml:space="preserve">Таким образом, на основании представленных оценочных данных ведущих промышленных предприятий </w:t>
      </w:r>
      <w:r w:rsidR="006975DC">
        <w:rPr>
          <w:szCs w:val="24"/>
        </w:rPr>
        <w:t>городского округа Тольятти</w:t>
      </w:r>
      <w:r w:rsidRPr="00175E32">
        <w:rPr>
          <w:szCs w:val="24"/>
        </w:rPr>
        <w:t xml:space="preserve">, с учетом плановых объемов инвестиций в основной капитал всех резидентов ТОСЭР «Тольятти» и резидентов </w:t>
      </w:r>
      <w:r w:rsidRPr="00175E32">
        <w:t xml:space="preserve">ОЭЗ ППТ «Тольятти», </w:t>
      </w:r>
      <w:r w:rsidRPr="00175E32">
        <w:rPr>
          <w:szCs w:val="24"/>
        </w:rPr>
        <w:t>а также плановых сумм бюджетных инвестиций до конца 2020 года сумма инвестиций в основной капитал на 2020 год скорректирована в сторону увеличен</w:t>
      </w:r>
      <w:r w:rsidR="00FC1C3D">
        <w:rPr>
          <w:szCs w:val="24"/>
        </w:rPr>
        <w:t>ия и оценочно составит 40 068,7 </w:t>
      </w:r>
      <w:r w:rsidRPr="00175E32">
        <w:rPr>
          <w:szCs w:val="24"/>
        </w:rPr>
        <w:t xml:space="preserve">млн. рублей, что на 14,5% больше, чем в 2019 году (на 5,4% в сопоставимых ценах), в том числе </w:t>
      </w:r>
      <w:r w:rsidRPr="00175E32">
        <w:rPr>
          <w:color w:val="000000"/>
          <w:szCs w:val="24"/>
        </w:rPr>
        <w:t>по внебюджетным инвестициям - рост на 17,6</w:t>
      </w:r>
      <w:r w:rsidR="00FC1C3D">
        <w:rPr>
          <w:color w:val="000000"/>
          <w:szCs w:val="24"/>
        </w:rPr>
        <w:t>% к 2019 году.</w:t>
      </w:r>
    </w:p>
    <w:p w14:paraId="5A8480DE" w14:textId="77777777" w:rsidR="00974690" w:rsidRDefault="00974690" w:rsidP="00DC0D24">
      <w:pPr>
        <w:spacing w:line="276" w:lineRule="auto"/>
        <w:jc w:val="center"/>
        <w:rPr>
          <w:szCs w:val="24"/>
        </w:rPr>
      </w:pPr>
    </w:p>
    <w:p w14:paraId="2850BC29" w14:textId="77777777" w:rsidR="00FC1C3D" w:rsidRDefault="00DC0D24" w:rsidP="00FC1C3D">
      <w:pPr>
        <w:keepNext/>
        <w:spacing w:line="276" w:lineRule="auto"/>
        <w:ind w:firstLine="0"/>
        <w:jc w:val="center"/>
        <w:rPr>
          <w:szCs w:val="24"/>
        </w:rPr>
      </w:pPr>
      <w:r w:rsidRPr="00175E32">
        <w:rPr>
          <w:szCs w:val="24"/>
        </w:rPr>
        <w:t xml:space="preserve">Ожидаемое выполнение прогнозных показателей по разделу </w:t>
      </w:r>
    </w:p>
    <w:p w14:paraId="3C4F3FDF" w14:textId="77777777" w:rsidR="00DC0D24" w:rsidRPr="00175E32" w:rsidRDefault="00DC0D24" w:rsidP="00FC1C3D">
      <w:pPr>
        <w:keepNext/>
        <w:spacing w:line="276" w:lineRule="auto"/>
        <w:ind w:firstLine="0"/>
        <w:jc w:val="center"/>
        <w:rPr>
          <w:szCs w:val="24"/>
        </w:rPr>
      </w:pPr>
      <w:r w:rsidRPr="00175E32">
        <w:rPr>
          <w:szCs w:val="24"/>
        </w:rPr>
        <w:t>«Инвестиции в основной капитал» на 2020 год</w:t>
      </w:r>
    </w:p>
    <w:tbl>
      <w:tblPr>
        <w:tblW w:w="9003" w:type="dxa"/>
        <w:jc w:val="center"/>
        <w:tblLayout w:type="fixed"/>
        <w:tblLook w:val="0000" w:firstRow="0" w:lastRow="0" w:firstColumn="0" w:lastColumn="0" w:noHBand="0" w:noVBand="0"/>
      </w:tblPr>
      <w:tblGrid>
        <w:gridCol w:w="3261"/>
        <w:gridCol w:w="1134"/>
        <w:gridCol w:w="1526"/>
        <w:gridCol w:w="1275"/>
        <w:gridCol w:w="1807"/>
      </w:tblGrid>
      <w:tr w:rsidR="00F2220C" w:rsidRPr="00175E32" w14:paraId="693549AC" w14:textId="77777777" w:rsidTr="00FC1C3D">
        <w:trPr>
          <w:tblHeader/>
          <w:jc w:val="center"/>
        </w:trPr>
        <w:tc>
          <w:tcPr>
            <w:tcW w:w="3261" w:type="dxa"/>
            <w:vMerge w:val="restart"/>
            <w:tcBorders>
              <w:top w:val="single" w:sz="4" w:space="0" w:color="000000"/>
              <w:left w:val="single" w:sz="4" w:space="0" w:color="000000"/>
              <w:bottom w:val="single" w:sz="4" w:space="0" w:color="000000"/>
            </w:tcBorders>
            <w:vAlign w:val="center"/>
          </w:tcPr>
          <w:p w14:paraId="475212B9" w14:textId="77777777" w:rsidR="00F2220C" w:rsidRPr="00175E32" w:rsidRDefault="00F2220C" w:rsidP="00FC1C3D">
            <w:pPr>
              <w:keepNext/>
              <w:ind w:firstLine="5"/>
              <w:jc w:val="center"/>
              <w:rPr>
                <w:szCs w:val="24"/>
              </w:rPr>
            </w:pPr>
            <w:r w:rsidRPr="00175E32">
              <w:rPr>
                <w:szCs w:val="24"/>
              </w:rPr>
              <w:t>Показатели</w:t>
            </w:r>
          </w:p>
        </w:tc>
        <w:tc>
          <w:tcPr>
            <w:tcW w:w="1134" w:type="dxa"/>
            <w:vMerge w:val="restart"/>
            <w:tcBorders>
              <w:top w:val="single" w:sz="4" w:space="0" w:color="000000"/>
              <w:left w:val="single" w:sz="4" w:space="0" w:color="000000"/>
              <w:bottom w:val="single" w:sz="4" w:space="0" w:color="000000"/>
            </w:tcBorders>
            <w:vAlign w:val="center"/>
          </w:tcPr>
          <w:p w14:paraId="32A50C57" w14:textId="77777777" w:rsidR="00F2220C" w:rsidRPr="00175E32" w:rsidRDefault="00F2220C" w:rsidP="00FC1C3D">
            <w:pPr>
              <w:keepNext/>
              <w:ind w:firstLine="5"/>
              <w:jc w:val="center"/>
              <w:rPr>
                <w:szCs w:val="24"/>
              </w:rPr>
            </w:pPr>
            <w:r w:rsidRPr="00175E32">
              <w:rPr>
                <w:szCs w:val="24"/>
              </w:rPr>
              <w:t xml:space="preserve">Единица </w:t>
            </w:r>
            <w:proofErr w:type="spellStart"/>
            <w:r w:rsidRPr="00175E32">
              <w:rPr>
                <w:szCs w:val="24"/>
              </w:rPr>
              <w:t>измере</w:t>
            </w:r>
            <w:proofErr w:type="spellEnd"/>
          </w:p>
          <w:p w14:paraId="00D723E0" w14:textId="77777777" w:rsidR="00F2220C" w:rsidRPr="00175E32" w:rsidRDefault="00F2220C" w:rsidP="00FC1C3D">
            <w:pPr>
              <w:keepNext/>
              <w:ind w:firstLine="5"/>
              <w:jc w:val="center"/>
              <w:rPr>
                <w:szCs w:val="24"/>
              </w:rPr>
            </w:pPr>
            <w:proofErr w:type="spellStart"/>
            <w:r w:rsidRPr="00175E32">
              <w:rPr>
                <w:szCs w:val="24"/>
              </w:rPr>
              <w:t>ния</w:t>
            </w:r>
            <w:proofErr w:type="spellEnd"/>
          </w:p>
        </w:tc>
        <w:tc>
          <w:tcPr>
            <w:tcW w:w="2801" w:type="dxa"/>
            <w:gridSpan w:val="2"/>
            <w:tcBorders>
              <w:top w:val="single" w:sz="4" w:space="0" w:color="000000"/>
              <w:left w:val="single" w:sz="4" w:space="0" w:color="000000"/>
              <w:bottom w:val="single" w:sz="4" w:space="0" w:color="000000"/>
            </w:tcBorders>
            <w:vAlign w:val="center"/>
          </w:tcPr>
          <w:p w14:paraId="5887F9AD" w14:textId="77777777" w:rsidR="00F2220C" w:rsidRPr="00175E32" w:rsidRDefault="00F2220C" w:rsidP="00FC1C3D">
            <w:pPr>
              <w:keepNext/>
              <w:ind w:firstLine="0"/>
              <w:jc w:val="center"/>
              <w:rPr>
                <w:szCs w:val="24"/>
              </w:rPr>
            </w:pPr>
            <w:r w:rsidRPr="00175E32">
              <w:rPr>
                <w:szCs w:val="24"/>
              </w:rPr>
              <w:t>Прогноз на 2020 год</w:t>
            </w:r>
          </w:p>
        </w:tc>
        <w:tc>
          <w:tcPr>
            <w:tcW w:w="1807" w:type="dxa"/>
            <w:vMerge w:val="restart"/>
            <w:tcBorders>
              <w:top w:val="single" w:sz="4" w:space="0" w:color="000000"/>
              <w:left w:val="single" w:sz="4" w:space="0" w:color="000000"/>
              <w:bottom w:val="single" w:sz="4" w:space="0" w:color="000000"/>
              <w:right w:val="single" w:sz="4" w:space="0" w:color="000000"/>
            </w:tcBorders>
            <w:vAlign w:val="center"/>
          </w:tcPr>
          <w:p w14:paraId="73824F9E" w14:textId="77777777" w:rsidR="00F2220C" w:rsidRPr="00175E32" w:rsidRDefault="00F2220C" w:rsidP="00FC1C3D">
            <w:pPr>
              <w:keepNext/>
              <w:ind w:firstLine="0"/>
              <w:jc w:val="center"/>
              <w:rPr>
                <w:szCs w:val="24"/>
              </w:rPr>
            </w:pPr>
            <w:r w:rsidRPr="00175E32">
              <w:rPr>
                <w:szCs w:val="24"/>
              </w:rPr>
              <w:t>2020 год (оценка)</w:t>
            </w:r>
          </w:p>
        </w:tc>
      </w:tr>
      <w:tr w:rsidR="00F2220C" w:rsidRPr="00175E32" w14:paraId="10461479" w14:textId="77777777" w:rsidTr="00FC1C3D">
        <w:trPr>
          <w:trHeight w:val="249"/>
          <w:tblHeader/>
          <w:jc w:val="center"/>
        </w:trPr>
        <w:tc>
          <w:tcPr>
            <w:tcW w:w="3261" w:type="dxa"/>
            <w:vMerge/>
            <w:tcBorders>
              <w:top w:val="single" w:sz="4" w:space="0" w:color="000000"/>
              <w:left w:val="single" w:sz="4" w:space="0" w:color="000000"/>
              <w:bottom w:val="single" w:sz="4" w:space="0" w:color="000000"/>
            </w:tcBorders>
          </w:tcPr>
          <w:p w14:paraId="3C582D44" w14:textId="77777777" w:rsidR="00F2220C" w:rsidRPr="00175E32" w:rsidRDefault="00F2220C" w:rsidP="00974690">
            <w:pPr>
              <w:keepNext/>
              <w:snapToGrid w:val="0"/>
              <w:ind w:firstLine="5"/>
              <w:jc w:val="center"/>
              <w:rPr>
                <w:szCs w:val="24"/>
              </w:rPr>
            </w:pPr>
          </w:p>
        </w:tc>
        <w:tc>
          <w:tcPr>
            <w:tcW w:w="1134" w:type="dxa"/>
            <w:vMerge/>
            <w:tcBorders>
              <w:top w:val="single" w:sz="4" w:space="0" w:color="000000"/>
              <w:left w:val="single" w:sz="4" w:space="0" w:color="000000"/>
              <w:bottom w:val="single" w:sz="4" w:space="0" w:color="000000"/>
            </w:tcBorders>
          </w:tcPr>
          <w:p w14:paraId="1DCD651E" w14:textId="77777777" w:rsidR="00F2220C" w:rsidRPr="00175E32" w:rsidRDefault="00F2220C" w:rsidP="00974690">
            <w:pPr>
              <w:keepNext/>
              <w:snapToGrid w:val="0"/>
              <w:ind w:firstLine="5"/>
              <w:jc w:val="center"/>
              <w:rPr>
                <w:szCs w:val="24"/>
              </w:rPr>
            </w:pPr>
          </w:p>
        </w:tc>
        <w:tc>
          <w:tcPr>
            <w:tcW w:w="1526" w:type="dxa"/>
            <w:tcBorders>
              <w:top w:val="single" w:sz="4" w:space="0" w:color="000000"/>
              <w:left w:val="single" w:sz="4" w:space="0" w:color="000000"/>
              <w:bottom w:val="single" w:sz="4" w:space="0" w:color="000000"/>
            </w:tcBorders>
            <w:vAlign w:val="center"/>
          </w:tcPr>
          <w:p w14:paraId="6BACFA73" w14:textId="77777777" w:rsidR="00F2220C" w:rsidRPr="00175E32" w:rsidRDefault="00F2220C" w:rsidP="00FC1C3D">
            <w:pPr>
              <w:keepNext/>
              <w:ind w:firstLine="0"/>
              <w:jc w:val="center"/>
              <w:rPr>
                <w:szCs w:val="24"/>
              </w:rPr>
            </w:pPr>
            <w:r w:rsidRPr="00175E32">
              <w:rPr>
                <w:szCs w:val="24"/>
              </w:rPr>
              <w:t>1 вариант (консерва</w:t>
            </w:r>
          </w:p>
          <w:p w14:paraId="661103B6" w14:textId="77777777" w:rsidR="00F2220C" w:rsidRPr="00175E32" w:rsidRDefault="00F2220C" w:rsidP="00FC1C3D">
            <w:pPr>
              <w:keepNext/>
              <w:ind w:firstLine="0"/>
              <w:jc w:val="center"/>
              <w:rPr>
                <w:szCs w:val="24"/>
              </w:rPr>
            </w:pPr>
            <w:proofErr w:type="spellStart"/>
            <w:r w:rsidRPr="00175E32">
              <w:rPr>
                <w:szCs w:val="24"/>
              </w:rPr>
              <w:t>тивный</w:t>
            </w:r>
            <w:proofErr w:type="spellEnd"/>
            <w:r w:rsidRPr="00175E32">
              <w:rPr>
                <w:szCs w:val="24"/>
              </w:rPr>
              <w:t>)</w:t>
            </w:r>
          </w:p>
        </w:tc>
        <w:tc>
          <w:tcPr>
            <w:tcW w:w="1275" w:type="dxa"/>
            <w:tcBorders>
              <w:top w:val="single" w:sz="4" w:space="0" w:color="000000"/>
              <w:left w:val="single" w:sz="4" w:space="0" w:color="000000"/>
              <w:bottom w:val="single" w:sz="4" w:space="0" w:color="000000"/>
            </w:tcBorders>
            <w:vAlign w:val="center"/>
          </w:tcPr>
          <w:p w14:paraId="35C859B9" w14:textId="77777777" w:rsidR="00F2220C" w:rsidRPr="00175E32" w:rsidRDefault="00F2220C" w:rsidP="00FC1C3D">
            <w:pPr>
              <w:keepNext/>
              <w:ind w:firstLine="0"/>
              <w:jc w:val="center"/>
              <w:rPr>
                <w:szCs w:val="24"/>
              </w:rPr>
            </w:pPr>
            <w:r w:rsidRPr="00175E32">
              <w:rPr>
                <w:szCs w:val="24"/>
              </w:rPr>
              <w:t>2 вариант</w:t>
            </w:r>
          </w:p>
          <w:p w14:paraId="6226EAAB" w14:textId="77777777" w:rsidR="00F2220C" w:rsidRPr="00175E32" w:rsidRDefault="00F2220C" w:rsidP="00FC1C3D">
            <w:pPr>
              <w:keepNext/>
              <w:ind w:firstLine="0"/>
              <w:jc w:val="center"/>
              <w:rPr>
                <w:szCs w:val="24"/>
              </w:rPr>
            </w:pPr>
            <w:r w:rsidRPr="00175E32">
              <w:rPr>
                <w:szCs w:val="24"/>
              </w:rPr>
              <w:t>(базовый)</w:t>
            </w:r>
          </w:p>
        </w:tc>
        <w:tc>
          <w:tcPr>
            <w:tcW w:w="1807" w:type="dxa"/>
            <w:vMerge/>
            <w:tcBorders>
              <w:top w:val="single" w:sz="4" w:space="0" w:color="000000"/>
              <w:left w:val="single" w:sz="4" w:space="0" w:color="000000"/>
              <w:bottom w:val="single" w:sz="4" w:space="0" w:color="000000"/>
              <w:right w:val="single" w:sz="4" w:space="0" w:color="000000"/>
            </w:tcBorders>
          </w:tcPr>
          <w:p w14:paraId="0A058182" w14:textId="77777777" w:rsidR="00F2220C" w:rsidRPr="00175E32" w:rsidRDefault="00F2220C" w:rsidP="00974690">
            <w:pPr>
              <w:keepNext/>
              <w:snapToGrid w:val="0"/>
              <w:ind w:firstLine="0"/>
              <w:jc w:val="center"/>
              <w:rPr>
                <w:szCs w:val="24"/>
              </w:rPr>
            </w:pPr>
          </w:p>
        </w:tc>
      </w:tr>
      <w:tr w:rsidR="00F2220C" w:rsidRPr="00175E32" w14:paraId="660E290F" w14:textId="77777777" w:rsidTr="00F2220C">
        <w:trPr>
          <w:jc w:val="center"/>
        </w:trPr>
        <w:tc>
          <w:tcPr>
            <w:tcW w:w="3261" w:type="dxa"/>
            <w:tcBorders>
              <w:top w:val="single" w:sz="4" w:space="0" w:color="000000"/>
              <w:left w:val="single" w:sz="4" w:space="0" w:color="000000"/>
              <w:bottom w:val="single" w:sz="4" w:space="0" w:color="000000"/>
            </w:tcBorders>
          </w:tcPr>
          <w:p w14:paraId="6B8C1AEE" w14:textId="77777777" w:rsidR="00F2220C" w:rsidRPr="00175E32" w:rsidRDefault="00F2220C" w:rsidP="000F7134">
            <w:pPr>
              <w:ind w:firstLine="5"/>
              <w:rPr>
                <w:szCs w:val="24"/>
              </w:rPr>
            </w:pPr>
            <w:r w:rsidRPr="00175E32">
              <w:rPr>
                <w:szCs w:val="24"/>
              </w:rPr>
              <w:t xml:space="preserve">Объем инвестиций в основной капитал организаций за счет всех источников финансирования </w:t>
            </w:r>
          </w:p>
        </w:tc>
        <w:tc>
          <w:tcPr>
            <w:tcW w:w="1134" w:type="dxa"/>
            <w:tcBorders>
              <w:top w:val="single" w:sz="4" w:space="0" w:color="000000"/>
              <w:left w:val="single" w:sz="4" w:space="0" w:color="000000"/>
              <w:bottom w:val="single" w:sz="4" w:space="0" w:color="000000"/>
            </w:tcBorders>
            <w:vAlign w:val="center"/>
          </w:tcPr>
          <w:p w14:paraId="78F20668" w14:textId="77777777" w:rsidR="00F2220C" w:rsidRPr="00175E32" w:rsidRDefault="00F2220C" w:rsidP="00DC6912">
            <w:pPr>
              <w:ind w:firstLine="5"/>
              <w:jc w:val="center"/>
              <w:rPr>
                <w:szCs w:val="24"/>
              </w:rPr>
            </w:pPr>
            <w:r w:rsidRPr="00175E32">
              <w:rPr>
                <w:szCs w:val="24"/>
              </w:rPr>
              <w:t>млн. рублей</w:t>
            </w:r>
          </w:p>
        </w:tc>
        <w:tc>
          <w:tcPr>
            <w:tcW w:w="1526" w:type="dxa"/>
            <w:tcBorders>
              <w:top w:val="single" w:sz="4" w:space="0" w:color="000000"/>
              <w:left w:val="single" w:sz="4" w:space="0" w:color="000000"/>
              <w:bottom w:val="single" w:sz="4" w:space="0" w:color="000000"/>
            </w:tcBorders>
            <w:vAlign w:val="center"/>
          </w:tcPr>
          <w:p w14:paraId="77ECBDFC" w14:textId="77777777" w:rsidR="00F2220C" w:rsidRPr="00175E32" w:rsidRDefault="00F2220C" w:rsidP="00DC6912">
            <w:pPr>
              <w:ind w:firstLine="5"/>
              <w:jc w:val="center"/>
              <w:rPr>
                <w:szCs w:val="24"/>
              </w:rPr>
            </w:pPr>
            <w:r w:rsidRPr="00175E32">
              <w:rPr>
                <w:szCs w:val="24"/>
              </w:rPr>
              <w:t>33</w:t>
            </w:r>
            <w:r w:rsidR="00DE61AC" w:rsidRPr="00175E32">
              <w:rPr>
                <w:szCs w:val="24"/>
              </w:rPr>
              <w:t xml:space="preserve"> </w:t>
            </w:r>
            <w:r w:rsidRPr="00175E32">
              <w:rPr>
                <w:szCs w:val="24"/>
              </w:rPr>
              <w:t>011,0</w:t>
            </w:r>
          </w:p>
        </w:tc>
        <w:tc>
          <w:tcPr>
            <w:tcW w:w="1275" w:type="dxa"/>
            <w:tcBorders>
              <w:top w:val="single" w:sz="4" w:space="0" w:color="000000"/>
              <w:left w:val="single" w:sz="4" w:space="0" w:color="000000"/>
              <w:bottom w:val="single" w:sz="4" w:space="0" w:color="000000"/>
            </w:tcBorders>
            <w:vAlign w:val="center"/>
          </w:tcPr>
          <w:p w14:paraId="504176A4" w14:textId="77777777" w:rsidR="00F2220C" w:rsidRPr="00175E32" w:rsidRDefault="00F2220C" w:rsidP="00DC6912">
            <w:pPr>
              <w:ind w:firstLine="5"/>
              <w:jc w:val="center"/>
              <w:rPr>
                <w:szCs w:val="24"/>
              </w:rPr>
            </w:pPr>
            <w:r w:rsidRPr="00175E32">
              <w:rPr>
                <w:szCs w:val="24"/>
              </w:rPr>
              <w:t>34</w:t>
            </w:r>
            <w:r w:rsidR="00DE61AC" w:rsidRPr="00175E32">
              <w:rPr>
                <w:szCs w:val="24"/>
              </w:rPr>
              <w:t xml:space="preserve"> </w:t>
            </w:r>
            <w:r w:rsidRPr="00175E32">
              <w:rPr>
                <w:szCs w:val="24"/>
              </w:rPr>
              <w:t>752,5</w:t>
            </w:r>
          </w:p>
        </w:tc>
        <w:tc>
          <w:tcPr>
            <w:tcW w:w="1807" w:type="dxa"/>
            <w:tcBorders>
              <w:top w:val="single" w:sz="4" w:space="0" w:color="000000"/>
              <w:left w:val="single" w:sz="4" w:space="0" w:color="000000"/>
              <w:bottom w:val="single" w:sz="4" w:space="0" w:color="000000"/>
              <w:right w:val="single" w:sz="4" w:space="0" w:color="000000"/>
            </w:tcBorders>
            <w:vAlign w:val="center"/>
          </w:tcPr>
          <w:p w14:paraId="7A71426C" w14:textId="77777777" w:rsidR="00F2220C" w:rsidRPr="00175E32" w:rsidRDefault="00F2220C" w:rsidP="00DC6912">
            <w:pPr>
              <w:ind w:firstLine="5"/>
              <w:jc w:val="center"/>
              <w:rPr>
                <w:szCs w:val="24"/>
              </w:rPr>
            </w:pPr>
            <w:r w:rsidRPr="00175E32">
              <w:rPr>
                <w:szCs w:val="24"/>
              </w:rPr>
              <w:t>40</w:t>
            </w:r>
            <w:r w:rsidR="00DE61AC" w:rsidRPr="00175E32">
              <w:rPr>
                <w:szCs w:val="24"/>
              </w:rPr>
              <w:t xml:space="preserve"> </w:t>
            </w:r>
            <w:r w:rsidRPr="00175E32">
              <w:rPr>
                <w:szCs w:val="24"/>
              </w:rPr>
              <w:t>068,7</w:t>
            </w:r>
          </w:p>
        </w:tc>
      </w:tr>
      <w:tr w:rsidR="00F2220C" w:rsidRPr="00175E32" w14:paraId="1574D94D" w14:textId="77777777" w:rsidTr="00F2220C">
        <w:trPr>
          <w:jc w:val="center"/>
        </w:trPr>
        <w:tc>
          <w:tcPr>
            <w:tcW w:w="3261" w:type="dxa"/>
            <w:tcBorders>
              <w:top w:val="single" w:sz="4" w:space="0" w:color="000000"/>
              <w:left w:val="single" w:sz="4" w:space="0" w:color="000000"/>
              <w:bottom w:val="single" w:sz="4" w:space="0" w:color="000000"/>
            </w:tcBorders>
          </w:tcPr>
          <w:p w14:paraId="484A2028" w14:textId="77777777" w:rsidR="00F2220C" w:rsidRPr="00175E32" w:rsidRDefault="00F2220C" w:rsidP="000F7134">
            <w:pPr>
              <w:ind w:firstLine="5"/>
              <w:rPr>
                <w:szCs w:val="24"/>
              </w:rPr>
            </w:pPr>
            <w:r w:rsidRPr="00175E32">
              <w:rPr>
                <w:szCs w:val="24"/>
              </w:rPr>
              <w:t>Индекс физического объема инвестиций в основной капитал</w:t>
            </w:r>
          </w:p>
        </w:tc>
        <w:tc>
          <w:tcPr>
            <w:tcW w:w="1134" w:type="dxa"/>
            <w:tcBorders>
              <w:top w:val="single" w:sz="4" w:space="0" w:color="000000"/>
              <w:left w:val="single" w:sz="4" w:space="0" w:color="000000"/>
              <w:bottom w:val="single" w:sz="4" w:space="0" w:color="000000"/>
            </w:tcBorders>
            <w:vAlign w:val="center"/>
          </w:tcPr>
          <w:p w14:paraId="5EC07419" w14:textId="77777777" w:rsidR="00F2220C" w:rsidRPr="00175E32" w:rsidRDefault="00F2220C" w:rsidP="00DC6912">
            <w:pPr>
              <w:ind w:firstLine="5"/>
              <w:jc w:val="center"/>
              <w:rPr>
                <w:szCs w:val="24"/>
              </w:rPr>
            </w:pPr>
            <w:r w:rsidRPr="00175E32">
              <w:rPr>
                <w:szCs w:val="24"/>
              </w:rPr>
              <w:t>%</w:t>
            </w:r>
          </w:p>
        </w:tc>
        <w:tc>
          <w:tcPr>
            <w:tcW w:w="1526" w:type="dxa"/>
            <w:tcBorders>
              <w:top w:val="single" w:sz="4" w:space="0" w:color="000000"/>
              <w:left w:val="single" w:sz="4" w:space="0" w:color="000000"/>
              <w:bottom w:val="single" w:sz="4" w:space="0" w:color="000000"/>
            </w:tcBorders>
            <w:vAlign w:val="center"/>
          </w:tcPr>
          <w:p w14:paraId="1832CD8F" w14:textId="77777777" w:rsidR="00F2220C" w:rsidRPr="00175E32" w:rsidRDefault="00F2220C" w:rsidP="00DC6912">
            <w:pPr>
              <w:ind w:firstLine="5"/>
              <w:jc w:val="center"/>
              <w:rPr>
                <w:szCs w:val="24"/>
              </w:rPr>
            </w:pPr>
            <w:r w:rsidRPr="00175E32">
              <w:rPr>
                <w:szCs w:val="24"/>
              </w:rPr>
              <w:t>101,7</w:t>
            </w:r>
          </w:p>
        </w:tc>
        <w:tc>
          <w:tcPr>
            <w:tcW w:w="1275" w:type="dxa"/>
            <w:tcBorders>
              <w:top w:val="single" w:sz="4" w:space="0" w:color="000000"/>
              <w:left w:val="single" w:sz="4" w:space="0" w:color="000000"/>
              <w:bottom w:val="single" w:sz="4" w:space="0" w:color="000000"/>
            </w:tcBorders>
            <w:vAlign w:val="center"/>
          </w:tcPr>
          <w:p w14:paraId="70049EB1" w14:textId="77777777" w:rsidR="00F2220C" w:rsidRPr="00175E32" w:rsidRDefault="00F2220C" w:rsidP="00DC6912">
            <w:pPr>
              <w:ind w:firstLine="5"/>
              <w:jc w:val="center"/>
              <w:rPr>
                <w:szCs w:val="24"/>
              </w:rPr>
            </w:pPr>
            <w:r w:rsidRPr="00175E32">
              <w:rPr>
                <w:szCs w:val="24"/>
              </w:rPr>
              <w:t>107,2</w:t>
            </w:r>
          </w:p>
        </w:tc>
        <w:tc>
          <w:tcPr>
            <w:tcW w:w="1807" w:type="dxa"/>
            <w:tcBorders>
              <w:top w:val="single" w:sz="4" w:space="0" w:color="000000"/>
              <w:left w:val="single" w:sz="4" w:space="0" w:color="000000"/>
              <w:bottom w:val="single" w:sz="4" w:space="0" w:color="000000"/>
              <w:right w:val="single" w:sz="4" w:space="0" w:color="000000"/>
            </w:tcBorders>
            <w:vAlign w:val="center"/>
          </w:tcPr>
          <w:p w14:paraId="7C48F1E5" w14:textId="77777777" w:rsidR="00F2220C" w:rsidRPr="00175E32" w:rsidRDefault="00F2220C" w:rsidP="00DC6912">
            <w:pPr>
              <w:ind w:firstLine="5"/>
              <w:jc w:val="center"/>
              <w:rPr>
                <w:szCs w:val="24"/>
              </w:rPr>
            </w:pPr>
            <w:r w:rsidRPr="00175E32">
              <w:rPr>
                <w:szCs w:val="24"/>
              </w:rPr>
              <w:t>105,4</w:t>
            </w:r>
          </w:p>
        </w:tc>
      </w:tr>
      <w:tr w:rsidR="00F2220C" w:rsidRPr="00175E32" w14:paraId="564B0883" w14:textId="77777777" w:rsidTr="00F2220C">
        <w:trPr>
          <w:jc w:val="center"/>
        </w:trPr>
        <w:tc>
          <w:tcPr>
            <w:tcW w:w="3261" w:type="dxa"/>
            <w:tcBorders>
              <w:top w:val="single" w:sz="4" w:space="0" w:color="000000"/>
              <w:left w:val="single" w:sz="4" w:space="0" w:color="000000"/>
              <w:bottom w:val="single" w:sz="4" w:space="0" w:color="000000"/>
            </w:tcBorders>
          </w:tcPr>
          <w:p w14:paraId="3EC1233C" w14:textId="77777777" w:rsidR="00F2220C" w:rsidRPr="00175E32" w:rsidRDefault="00F2220C" w:rsidP="000F7134">
            <w:pPr>
              <w:ind w:firstLine="5"/>
              <w:rPr>
                <w:szCs w:val="24"/>
              </w:rPr>
            </w:pPr>
            <w:r w:rsidRPr="00175E32">
              <w:rPr>
                <w:szCs w:val="24"/>
              </w:rPr>
              <w:t xml:space="preserve">Инвестиции за счет собственных средств </w:t>
            </w:r>
          </w:p>
        </w:tc>
        <w:tc>
          <w:tcPr>
            <w:tcW w:w="1134" w:type="dxa"/>
            <w:tcBorders>
              <w:top w:val="single" w:sz="4" w:space="0" w:color="000000"/>
              <w:left w:val="single" w:sz="4" w:space="0" w:color="000000"/>
              <w:bottom w:val="single" w:sz="4" w:space="0" w:color="000000"/>
            </w:tcBorders>
          </w:tcPr>
          <w:p w14:paraId="12717A7C" w14:textId="77777777" w:rsidR="00F2220C" w:rsidRPr="00175E32" w:rsidRDefault="00F2220C" w:rsidP="00DC6912">
            <w:pPr>
              <w:ind w:firstLine="5"/>
              <w:jc w:val="center"/>
              <w:rPr>
                <w:szCs w:val="24"/>
              </w:rPr>
            </w:pPr>
            <w:r w:rsidRPr="00175E32">
              <w:rPr>
                <w:szCs w:val="24"/>
              </w:rPr>
              <w:t>млн. рублей</w:t>
            </w:r>
          </w:p>
        </w:tc>
        <w:tc>
          <w:tcPr>
            <w:tcW w:w="1526" w:type="dxa"/>
            <w:tcBorders>
              <w:top w:val="single" w:sz="4" w:space="0" w:color="000000"/>
              <w:left w:val="single" w:sz="4" w:space="0" w:color="000000"/>
              <w:bottom w:val="single" w:sz="4" w:space="0" w:color="000000"/>
            </w:tcBorders>
            <w:vAlign w:val="center"/>
          </w:tcPr>
          <w:p w14:paraId="267497AD" w14:textId="77777777" w:rsidR="00F2220C" w:rsidRPr="00175E32" w:rsidRDefault="00F2220C" w:rsidP="00DC6912">
            <w:pPr>
              <w:ind w:firstLine="5"/>
              <w:jc w:val="center"/>
              <w:rPr>
                <w:szCs w:val="24"/>
              </w:rPr>
            </w:pPr>
            <w:r w:rsidRPr="00175E32">
              <w:rPr>
                <w:szCs w:val="24"/>
              </w:rPr>
              <w:t>21</w:t>
            </w:r>
            <w:r w:rsidR="00DE61AC" w:rsidRPr="00175E32">
              <w:rPr>
                <w:szCs w:val="24"/>
              </w:rPr>
              <w:t xml:space="preserve"> </w:t>
            </w:r>
            <w:r w:rsidRPr="00175E32">
              <w:rPr>
                <w:szCs w:val="24"/>
              </w:rPr>
              <w:t>457,2</w:t>
            </w:r>
          </w:p>
        </w:tc>
        <w:tc>
          <w:tcPr>
            <w:tcW w:w="1275" w:type="dxa"/>
            <w:tcBorders>
              <w:top w:val="single" w:sz="4" w:space="0" w:color="000000"/>
              <w:left w:val="single" w:sz="4" w:space="0" w:color="000000"/>
              <w:bottom w:val="single" w:sz="4" w:space="0" w:color="000000"/>
            </w:tcBorders>
            <w:vAlign w:val="center"/>
          </w:tcPr>
          <w:p w14:paraId="61EB9D44" w14:textId="77777777" w:rsidR="00F2220C" w:rsidRPr="00175E32" w:rsidRDefault="00F2220C" w:rsidP="00DC6912">
            <w:pPr>
              <w:ind w:firstLine="5"/>
              <w:jc w:val="center"/>
              <w:rPr>
                <w:szCs w:val="24"/>
              </w:rPr>
            </w:pPr>
            <w:r w:rsidRPr="00175E32">
              <w:rPr>
                <w:szCs w:val="24"/>
              </w:rPr>
              <w:t>22</w:t>
            </w:r>
            <w:r w:rsidR="00DE61AC" w:rsidRPr="00175E32">
              <w:rPr>
                <w:szCs w:val="24"/>
              </w:rPr>
              <w:t xml:space="preserve"> </w:t>
            </w:r>
            <w:r w:rsidRPr="00175E32">
              <w:rPr>
                <w:szCs w:val="24"/>
              </w:rPr>
              <w:t>589,2</w:t>
            </w:r>
          </w:p>
        </w:tc>
        <w:tc>
          <w:tcPr>
            <w:tcW w:w="1807" w:type="dxa"/>
            <w:tcBorders>
              <w:top w:val="single" w:sz="4" w:space="0" w:color="000000"/>
              <w:left w:val="single" w:sz="4" w:space="0" w:color="000000"/>
              <w:bottom w:val="single" w:sz="4" w:space="0" w:color="000000"/>
              <w:right w:val="single" w:sz="4" w:space="0" w:color="000000"/>
            </w:tcBorders>
            <w:vAlign w:val="center"/>
          </w:tcPr>
          <w:p w14:paraId="26FD163E" w14:textId="77777777" w:rsidR="00F2220C" w:rsidRPr="00175E32" w:rsidRDefault="00F2220C" w:rsidP="00DC6912">
            <w:pPr>
              <w:ind w:firstLine="5"/>
              <w:jc w:val="center"/>
              <w:rPr>
                <w:szCs w:val="24"/>
              </w:rPr>
            </w:pPr>
            <w:r w:rsidRPr="00175E32">
              <w:rPr>
                <w:szCs w:val="24"/>
              </w:rPr>
              <w:t>19</w:t>
            </w:r>
            <w:r w:rsidR="00DE61AC" w:rsidRPr="00175E32">
              <w:rPr>
                <w:szCs w:val="24"/>
              </w:rPr>
              <w:t xml:space="preserve"> </w:t>
            </w:r>
            <w:r w:rsidRPr="00175E32">
              <w:rPr>
                <w:szCs w:val="24"/>
              </w:rPr>
              <w:t>233,0</w:t>
            </w:r>
          </w:p>
        </w:tc>
      </w:tr>
      <w:tr w:rsidR="00F2220C" w:rsidRPr="00175E32" w14:paraId="3C74BDC8" w14:textId="77777777" w:rsidTr="00F2220C">
        <w:trPr>
          <w:jc w:val="center"/>
        </w:trPr>
        <w:tc>
          <w:tcPr>
            <w:tcW w:w="3261" w:type="dxa"/>
            <w:tcBorders>
              <w:top w:val="single" w:sz="4" w:space="0" w:color="000000"/>
              <w:left w:val="single" w:sz="4" w:space="0" w:color="000000"/>
              <w:bottom w:val="single" w:sz="4" w:space="0" w:color="000000"/>
            </w:tcBorders>
          </w:tcPr>
          <w:p w14:paraId="17926814" w14:textId="77777777" w:rsidR="00F2220C" w:rsidRPr="00175E32" w:rsidRDefault="00F2220C" w:rsidP="000F7134">
            <w:pPr>
              <w:ind w:firstLine="5"/>
              <w:rPr>
                <w:szCs w:val="24"/>
              </w:rPr>
            </w:pPr>
            <w:r w:rsidRPr="00175E32">
              <w:rPr>
                <w:szCs w:val="24"/>
              </w:rPr>
              <w:t>Инвестиции за счет привлеченных средств</w:t>
            </w:r>
          </w:p>
        </w:tc>
        <w:tc>
          <w:tcPr>
            <w:tcW w:w="1134" w:type="dxa"/>
            <w:tcBorders>
              <w:top w:val="single" w:sz="4" w:space="0" w:color="000000"/>
              <w:left w:val="single" w:sz="4" w:space="0" w:color="000000"/>
              <w:bottom w:val="single" w:sz="4" w:space="0" w:color="000000"/>
            </w:tcBorders>
          </w:tcPr>
          <w:p w14:paraId="66AF7C9D" w14:textId="77777777" w:rsidR="00F2220C" w:rsidRPr="00175E32" w:rsidRDefault="00F2220C" w:rsidP="00DC6912">
            <w:pPr>
              <w:ind w:firstLine="5"/>
              <w:jc w:val="center"/>
              <w:rPr>
                <w:szCs w:val="24"/>
              </w:rPr>
            </w:pPr>
            <w:r w:rsidRPr="00175E32">
              <w:rPr>
                <w:szCs w:val="24"/>
              </w:rPr>
              <w:t>млн. рублей</w:t>
            </w:r>
          </w:p>
        </w:tc>
        <w:tc>
          <w:tcPr>
            <w:tcW w:w="1526" w:type="dxa"/>
            <w:tcBorders>
              <w:top w:val="single" w:sz="4" w:space="0" w:color="000000"/>
              <w:left w:val="single" w:sz="4" w:space="0" w:color="000000"/>
              <w:bottom w:val="single" w:sz="4" w:space="0" w:color="000000"/>
            </w:tcBorders>
            <w:vAlign w:val="center"/>
          </w:tcPr>
          <w:p w14:paraId="754C7976" w14:textId="77777777" w:rsidR="00F2220C" w:rsidRPr="00175E32" w:rsidRDefault="00F2220C" w:rsidP="00DC6912">
            <w:pPr>
              <w:ind w:firstLine="5"/>
              <w:jc w:val="center"/>
              <w:rPr>
                <w:szCs w:val="24"/>
              </w:rPr>
            </w:pPr>
            <w:r w:rsidRPr="00175E32">
              <w:rPr>
                <w:szCs w:val="24"/>
              </w:rPr>
              <w:t>11</w:t>
            </w:r>
            <w:r w:rsidR="00DE61AC" w:rsidRPr="00175E32">
              <w:rPr>
                <w:szCs w:val="24"/>
              </w:rPr>
              <w:t xml:space="preserve"> </w:t>
            </w:r>
            <w:r w:rsidRPr="00175E32">
              <w:rPr>
                <w:szCs w:val="24"/>
              </w:rPr>
              <w:t>553,8</w:t>
            </w:r>
          </w:p>
        </w:tc>
        <w:tc>
          <w:tcPr>
            <w:tcW w:w="1275" w:type="dxa"/>
            <w:tcBorders>
              <w:top w:val="single" w:sz="4" w:space="0" w:color="000000"/>
              <w:left w:val="single" w:sz="4" w:space="0" w:color="000000"/>
              <w:bottom w:val="single" w:sz="4" w:space="0" w:color="000000"/>
            </w:tcBorders>
            <w:vAlign w:val="center"/>
          </w:tcPr>
          <w:p w14:paraId="11DC8953" w14:textId="77777777" w:rsidR="00F2220C" w:rsidRPr="00175E32" w:rsidRDefault="00F2220C" w:rsidP="00DC6912">
            <w:pPr>
              <w:ind w:firstLine="5"/>
              <w:jc w:val="center"/>
              <w:rPr>
                <w:szCs w:val="24"/>
              </w:rPr>
            </w:pPr>
            <w:r w:rsidRPr="00175E32">
              <w:rPr>
                <w:szCs w:val="24"/>
              </w:rPr>
              <w:t>12</w:t>
            </w:r>
            <w:r w:rsidR="00DE61AC" w:rsidRPr="00175E32">
              <w:rPr>
                <w:szCs w:val="24"/>
              </w:rPr>
              <w:t xml:space="preserve"> </w:t>
            </w:r>
            <w:r w:rsidRPr="00175E32">
              <w:rPr>
                <w:szCs w:val="24"/>
              </w:rPr>
              <w:t>163,3</w:t>
            </w:r>
          </w:p>
        </w:tc>
        <w:tc>
          <w:tcPr>
            <w:tcW w:w="1807" w:type="dxa"/>
            <w:tcBorders>
              <w:top w:val="single" w:sz="4" w:space="0" w:color="000000"/>
              <w:left w:val="single" w:sz="4" w:space="0" w:color="000000"/>
              <w:bottom w:val="single" w:sz="4" w:space="0" w:color="000000"/>
              <w:right w:val="single" w:sz="4" w:space="0" w:color="000000"/>
            </w:tcBorders>
            <w:vAlign w:val="center"/>
          </w:tcPr>
          <w:p w14:paraId="548CE687" w14:textId="77777777" w:rsidR="00F2220C" w:rsidRPr="00175E32" w:rsidRDefault="00F2220C" w:rsidP="00DC6912">
            <w:pPr>
              <w:ind w:firstLine="5"/>
              <w:jc w:val="center"/>
              <w:rPr>
                <w:szCs w:val="24"/>
              </w:rPr>
            </w:pPr>
            <w:r w:rsidRPr="00175E32">
              <w:rPr>
                <w:szCs w:val="24"/>
              </w:rPr>
              <w:t>20</w:t>
            </w:r>
            <w:r w:rsidR="00DE61AC" w:rsidRPr="00175E32">
              <w:rPr>
                <w:szCs w:val="24"/>
              </w:rPr>
              <w:t xml:space="preserve"> </w:t>
            </w:r>
            <w:r w:rsidRPr="00175E32">
              <w:rPr>
                <w:szCs w:val="24"/>
              </w:rPr>
              <w:t>835,7</w:t>
            </w:r>
          </w:p>
        </w:tc>
      </w:tr>
      <w:tr w:rsidR="00F2220C" w:rsidRPr="00175E32" w14:paraId="175871A9" w14:textId="77777777" w:rsidTr="00F2220C">
        <w:trPr>
          <w:jc w:val="center"/>
        </w:trPr>
        <w:tc>
          <w:tcPr>
            <w:tcW w:w="3261" w:type="dxa"/>
            <w:tcBorders>
              <w:top w:val="single" w:sz="4" w:space="0" w:color="000000"/>
              <w:left w:val="single" w:sz="4" w:space="0" w:color="000000"/>
              <w:bottom w:val="single" w:sz="4" w:space="0" w:color="000000"/>
            </w:tcBorders>
          </w:tcPr>
          <w:p w14:paraId="65A17B58" w14:textId="77777777" w:rsidR="00F2220C" w:rsidRPr="00175E32" w:rsidRDefault="00F2220C" w:rsidP="000F7134">
            <w:pPr>
              <w:ind w:firstLine="5"/>
              <w:rPr>
                <w:szCs w:val="24"/>
              </w:rPr>
            </w:pPr>
            <w:r w:rsidRPr="00175E32">
              <w:rPr>
                <w:szCs w:val="24"/>
              </w:rPr>
              <w:t>Инвестиции за счет средств федерального бюджета</w:t>
            </w:r>
          </w:p>
        </w:tc>
        <w:tc>
          <w:tcPr>
            <w:tcW w:w="1134" w:type="dxa"/>
            <w:tcBorders>
              <w:top w:val="single" w:sz="4" w:space="0" w:color="000000"/>
              <w:left w:val="single" w:sz="4" w:space="0" w:color="000000"/>
              <w:bottom w:val="single" w:sz="4" w:space="0" w:color="000000"/>
            </w:tcBorders>
          </w:tcPr>
          <w:p w14:paraId="7F05C910" w14:textId="77777777" w:rsidR="00F2220C" w:rsidRPr="00175E32" w:rsidRDefault="00F2220C" w:rsidP="00DC6912">
            <w:pPr>
              <w:ind w:firstLine="5"/>
              <w:jc w:val="center"/>
              <w:rPr>
                <w:szCs w:val="24"/>
              </w:rPr>
            </w:pPr>
            <w:r w:rsidRPr="00175E32">
              <w:rPr>
                <w:szCs w:val="24"/>
              </w:rPr>
              <w:t>млн. рублей</w:t>
            </w:r>
          </w:p>
        </w:tc>
        <w:tc>
          <w:tcPr>
            <w:tcW w:w="1526" w:type="dxa"/>
            <w:tcBorders>
              <w:top w:val="single" w:sz="4" w:space="0" w:color="000000"/>
              <w:left w:val="single" w:sz="4" w:space="0" w:color="000000"/>
              <w:bottom w:val="single" w:sz="4" w:space="0" w:color="000000"/>
            </w:tcBorders>
            <w:vAlign w:val="center"/>
          </w:tcPr>
          <w:p w14:paraId="1BFF72CF" w14:textId="77777777" w:rsidR="00F2220C" w:rsidRPr="00175E32" w:rsidRDefault="00F2220C" w:rsidP="00DC6912">
            <w:pPr>
              <w:ind w:firstLine="5"/>
              <w:jc w:val="center"/>
              <w:rPr>
                <w:szCs w:val="24"/>
              </w:rPr>
            </w:pPr>
            <w:r w:rsidRPr="00175E32">
              <w:rPr>
                <w:szCs w:val="24"/>
              </w:rPr>
              <w:t>347,4</w:t>
            </w:r>
          </w:p>
        </w:tc>
        <w:tc>
          <w:tcPr>
            <w:tcW w:w="1275" w:type="dxa"/>
            <w:tcBorders>
              <w:top w:val="single" w:sz="4" w:space="0" w:color="000000"/>
              <w:left w:val="single" w:sz="4" w:space="0" w:color="000000"/>
              <w:bottom w:val="single" w:sz="4" w:space="0" w:color="000000"/>
            </w:tcBorders>
            <w:vAlign w:val="center"/>
          </w:tcPr>
          <w:p w14:paraId="31E43CC0" w14:textId="77777777" w:rsidR="00F2220C" w:rsidRPr="00175E32" w:rsidRDefault="00F2220C" w:rsidP="00DC6912">
            <w:pPr>
              <w:ind w:firstLine="5"/>
              <w:jc w:val="center"/>
              <w:rPr>
                <w:szCs w:val="24"/>
              </w:rPr>
            </w:pPr>
            <w:r w:rsidRPr="00175E32">
              <w:rPr>
                <w:szCs w:val="24"/>
              </w:rPr>
              <w:t>451,7</w:t>
            </w:r>
          </w:p>
        </w:tc>
        <w:tc>
          <w:tcPr>
            <w:tcW w:w="1807" w:type="dxa"/>
            <w:tcBorders>
              <w:top w:val="single" w:sz="4" w:space="0" w:color="000000"/>
              <w:left w:val="single" w:sz="4" w:space="0" w:color="000000"/>
              <w:bottom w:val="single" w:sz="4" w:space="0" w:color="000000"/>
              <w:right w:val="single" w:sz="4" w:space="0" w:color="000000"/>
            </w:tcBorders>
            <w:vAlign w:val="center"/>
          </w:tcPr>
          <w:p w14:paraId="1BFB6B84" w14:textId="77777777" w:rsidR="00F2220C" w:rsidRPr="00175E32" w:rsidRDefault="00F2220C" w:rsidP="00DC6912">
            <w:pPr>
              <w:ind w:firstLine="5"/>
              <w:jc w:val="center"/>
              <w:rPr>
                <w:szCs w:val="24"/>
              </w:rPr>
            </w:pPr>
            <w:r w:rsidRPr="00175E32">
              <w:rPr>
                <w:szCs w:val="24"/>
              </w:rPr>
              <w:t>298,8</w:t>
            </w:r>
          </w:p>
        </w:tc>
      </w:tr>
      <w:tr w:rsidR="00F2220C" w:rsidRPr="00175E32" w14:paraId="6B33F85E" w14:textId="77777777" w:rsidTr="00F2220C">
        <w:trPr>
          <w:jc w:val="center"/>
        </w:trPr>
        <w:tc>
          <w:tcPr>
            <w:tcW w:w="3261" w:type="dxa"/>
            <w:tcBorders>
              <w:top w:val="single" w:sz="4" w:space="0" w:color="000000"/>
              <w:left w:val="single" w:sz="4" w:space="0" w:color="000000"/>
              <w:bottom w:val="single" w:sz="4" w:space="0" w:color="000000"/>
            </w:tcBorders>
          </w:tcPr>
          <w:p w14:paraId="370D178B" w14:textId="77777777" w:rsidR="00F2220C" w:rsidRPr="00175E32" w:rsidRDefault="00F2220C" w:rsidP="000F7134">
            <w:pPr>
              <w:ind w:firstLine="5"/>
              <w:rPr>
                <w:szCs w:val="24"/>
              </w:rPr>
            </w:pPr>
            <w:r w:rsidRPr="00175E32">
              <w:rPr>
                <w:szCs w:val="24"/>
              </w:rPr>
              <w:t>Инвестиции за счет средств областного бюджета</w:t>
            </w:r>
          </w:p>
        </w:tc>
        <w:tc>
          <w:tcPr>
            <w:tcW w:w="1134" w:type="dxa"/>
            <w:tcBorders>
              <w:top w:val="single" w:sz="4" w:space="0" w:color="000000"/>
              <w:left w:val="single" w:sz="4" w:space="0" w:color="000000"/>
              <w:bottom w:val="single" w:sz="4" w:space="0" w:color="000000"/>
            </w:tcBorders>
          </w:tcPr>
          <w:p w14:paraId="0C4CFD5A" w14:textId="77777777" w:rsidR="00F2220C" w:rsidRPr="00175E32" w:rsidRDefault="00F2220C" w:rsidP="00DC6912">
            <w:pPr>
              <w:ind w:firstLine="5"/>
              <w:jc w:val="center"/>
              <w:rPr>
                <w:szCs w:val="24"/>
              </w:rPr>
            </w:pPr>
            <w:r w:rsidRPr="00175E32">
              <w:rPr>
                <w:szCs w:val="24"/>
              </w:rPr>
              <w:t>млн. рублей</w:t>
            </w:r>
          </w:p>
        </w:tc>
        <w:tc>
          <w:tcPr>
            <w:tcW w:w="1526" w:type="dxa"/>
            <w:tcBorders>
              <w:top w:val="single" w:sz="4" w:space="0" w:color="000000"/>
              <w:left w:val="single" w:sz="4" w:space="0" w:color="000000"/>
              <w:bottom w:val="single" w:sz="4" w:space="0" w:color="000000"/>
            </w:tcBorders>
            <w:vAlign w:val="center"/>
          </w:tcPr>
          <w:p w14:paraId="00A00E9C" w14:textId="77777777" w:rsidR="00F2220C" w:rsidRPr="00175E32" w:rsidRDefault="00F2220C" w:rsidP="00DC6912">
            <w:pPr>
              <w:ind w:firstLine="5"/>
              <w:jc w:val="center"/>
              <w:rPr>
                <w:szCs w:val="24"/>
              </w:rPr>
            </w:pPr>
            <w:r w:rsidRPr="00175E32">
              <w:rPr>
                <w:szCs w:val="24"/>
              </w:rPr>
              <w:t>594,1</w:t>
            </w:r>
          </w:p>
        </w:tc>
        <w:tc>
          <w:tcPr>
            <w:tcW w:w="1275" w:type="dxa"/>
            <w:tcBorders>
              <w:top w:val="single" w:sz="4" w:space="0" w:color="000000"/>
              <w:left w:val="single" w:sz="4" w:space="0" w:color="000000"/>
              <w:bottom w:val="single" w:sz="4" w:space="0" w:color="000000"/>
            </w:tcBorders>
            <w:vAlign w:val="center"/>
          </w:tcPr>
          <w:p w14:paraId="175D30E5" w14:textId="77777777" w:rsidR="00F2220C" w:rsidRPr="00175E32" w:rsidRDefault="00F2220C" w:rsidP="00DC6912">
            <w:pPr>
              <w:ind w:firstLine="5"/>
              <w:jc w:val="center"/>
              <w:rPr>
                <w:szCs w:val="24"/>
              </w:rPr>
            </w:pPr>
            <w:r w:rsidRPr="00175E32">
              <w:rPr>
                <w:szCs w:val="24"/>
              </w:rPr>
              <w:t>740,4</w:t>
            </w:r>
          </w:p>
        </w:tc>
        <w:tc>
          <w:tcPr>
            <w:tcW w:w="1807" w:type="dxa"/>
            <w:tcBorders>
              <w:top w:val="single" w:sz="4" w:space="0" w:color="000000"/>
              <w:left w:val="single" w:sz="4" w:space="0" w:color="000000"/>
              <w:bottom w:val="single" w:sz="4" w:space="0" w:color="000000"/>
              <w:right w:val="single" w:sz="4" w:space="0" w:color="000000"/>
            </w:tcBorders>
            <w:vAlign w:val="center"/>
          </w:tcPr>
          <w:p w14:paraId="6D2979D6" w14:textId="77777777" w:rsidR="00F2220C" w:rsidRPr="00175E32" w:rsidRDefault="00F2220C" w:rsidP="00DC6912">
            <w:pPr>
              <w:ind w:firstLine="5"/>
              <w:jc w:val="center"/>
              <w:rPr>
                <w:szCs w:val="24"/>
              </w:rPr>
            </w:pPr>
            <w:r w:rsidRPr="00175E32">
              <w:rPr>
                <w:szCs w:val="24"/>
              </w:rPr>
              <w:t>1</w:t>
            </w:r>
            <w:r w:rsidR="00DE61AC" w:rsidRPr="00175E32">
              <w:rPr>
                <w:szCs w:val="24"/>
              </w:rPr>
              <w:t xml:space="preserve"> </w:t>
            </w:r>
            <w:r w:rsidRPr="00175E32">
              <w:rPr>
                <w:szCs w:val="24"/>
              </w:rPr>
              <w:t>735,0</w:t>
            </w:r>
          </w:p>
        </w:tc>
      </w:tr>
      <w:tr w:rsidR="00F2220C" w:rsidRPr="00175E32" w14:paraId="4D3C9391" w14:textId="77777777" w:rsidTr="00F2220C">
        <w:trPr>
          <w:jc w:val="center"/>
        </w:trPr>
        <w:tc>
          <w:tcPr>
            <w:tcW w:w="3261" w:type="dxa"/>
            <w:tcBorders>
              <w:top w:val="single" w:sz="4" w:space="0" w:color="000000"/>
              <w:left w:val="single" w:sz="4" w:space="0" w:color="000000"/>
              <w:bottom w:val="single" w:sz="4" w:space="0" w:color="000000"/>
            </w:tcBorders>
          </w:tcPr>
          <w:p w14:paraId="43CC2CDA" w14:textId="77777777" w:rsidR="00F2220C" w:rsidRPr="00175E32" w:rsidRDefault="00F2220C" w:rsidP="000F7134">
            <w:pPr>
              <w:ind w:firstLine="5"/>
              <w:rPr>
                <w:szCs w:val="24"/>
              </w:rPr>
            </w:pPr>
            <w:r w:rsidRPr="00175E32">
              <w:rPr>
                <w:szCs w:val="24"/>
              </w:rPr>
              <w:lastRenderedPageBreak/>
              <w:t>Инвестиции за счет средств бюджета городского округа</w:t>
            </w:r>
          </w:p>
        </w:tc>
        <w:tc>
          <w:tcPr>
            <w:tcW w:w="1134" w:type="dxa"/>
            <w:tcBorders>
              <w:top w:val="single" w:sz="4" w:space="0" w:color="000000"/>
              <w:left w:val="single" w:sz="4" w:space="0" w:color="000000"/>
              <w:bottom w:val="single" w:sz="4" w:space="0" w:color="000000"/>
            </w:tcBorders>
          </w:tcPr>
          <w:p w14:paraId="0AE18708" w14:textId="77777777" w:rsidR="00F2220C" w:rsidRPr="00175E32" w:rsidRDefault="00F2220C" w:rsidP="00DC6912">
            <w:pPr>
              <w:ind w:firstLine="5"/>
              <w:jc w:val="center"/>
              <w:rPr>
                <w:szCs w:val="24"/>
              </w:rPr>
            </w:pPr>
            <w:r w:rsidRPr="00175E32">
              <w:rPr>
                <w:szCs w:val="24"/>
              </w:rPr>
              <w:t>млн. рублей</w:t>
            </w:r>
          </w:p>
        </w:tc>
        <w:tc>
          <w:tcPr>
            <w:tcW w:w="1526" w:type="dxa"/>
            <w:tcBorders>
              <w:top w:val="single" w:sz="4" w:space="0" w:color="000000"/>
              <w:left w:val="single" w:sz="4" w:space="0" w:color="000000"/>
              <w:bottom w:val="single" w:sz="4" w:space="0" w:color="000000"/>
            </w:tcBorders>
            <w:vAlign w:val="center"/>
          </w:tcPr>
          <w:p w14:paraId="0905FD99" w14:textId="77777777" w:rsidR="00F2220C" w:rsidRPr="00175E32" w:rsidRDefault="00F2220C" w:rsidP="00DC6912">
            <w:pPr>
              <w:ind w:firstLine="5"/>
              <w:jc w:val="center"/>
              <w:rPr>
                <w:szCs w:val="24"/>
              </w:rPr>
            </w:pPr>
            <w:r w:rsidRPr="00175E32">
              <w:rPr>
                <w:szCs w:val="24"/>
              </w:rPr>
              <w:t>215,9</w:t>
            </w:r>
          </w:p>
        </w:tc>
        <w:tc>
          <w:tcPr>
            <w:tcW w:w="1275" w:type="dxa"/>
            <w:tcBorders>
              <w:top w:val="single" w:sz="4" w:space="0" w:color="000000"/>
              <w:left w:val="single" w:sz="4" w:space="0" w:color="000000"/>
              <w:bottom w:val="single" w:sz="4" w:space="0" w:color="000000"/>
            </w:tcBorders>
            <w:vAlign w:val="center"/>
          </w:tcPr>
          <w:p w14:paraId="45DE9931" w14:textId="77777777" w:rsidR="00F2220C" w:rsidRPr="00175E32" w:rsidRDefault="00F2220C" w:rsidP="00DC6912">
            <w:pPr>
              <w:ind w:firstLine="5"/>
              <w:jc w:val="center"/>
              <w:rPr>
                <w:szCs w:val="24"/>
              </w:rPr>
            </w:pPr>
            <w:r w:rsidRPr="00175E32">
              <w:rPr>
                <w:szCs w:val="24"/>
              </w:rPr>
              <w:t>297,6</w:t>
            </w:r>
          </w:p>
        </w:tc>
        <w:tc>
          <w:tcPr>
            <w:tcW w:w="1807" w:type="dxa"/>
            <w:tcBorders>
              <w:top w:val="single" w:sz="4" w:space="0" w:color="000000"/>
              <w:left w:val="single" w:sz="4" w:space="0" w:color="000000"/>
              <w:bottom w:val="single" w:sz="4" w:space="0" w:color="000000"/>
              <w:right w:val="single" w:sz="4" w:space="0" w:color="000000"/>
            </w:tcBorders>
            <w:vAlign w:val="center"/>
          </w:tcPr>
          <w:p w14:paraId="07A7D900" w14:textId="77777777" w:rsidR="00F2220C" w:rsidRPr="00175E32" w:rsidRDefault="00F2220C" w:rsidP="00DC6912">
            <w:pPr>
              <w:ind w:firstLine="5"/>
              <w:jc w:val="center"/>
              <w:rPr>
                <w:szCs w:val="24"/>
              </w:rPr>
            </w:pPr>
            <w:r w:rsidRPr="00175E32">
              <w:rPr>
                <w:szCs w:val="24"/>
              </w:rPr>
              <w:t>193,9</w:t>
            </w:r>
          </w:p>
        </w:tc>
      </w:tr>
    </w:tbl>
    <w:p w14:paraId="27F5EEDB" w14:textId="77777777" w:rsidR="00EE07F3" w:rsidRPr="00175E32" w:rsidRDefault="00EE07F3" w:rsidP="00EE07F3">
      <w:pPr>
        <w:spacing w:line="276" w:lineRule="auto"/>
        <w:rPr>
          <w:szCs w:val="24"/>
        </w:rPr>
      </w:pPr>
    </w:p>
    <w:p w14:paraId="20D8FE7C" w14:textId="77777777" w:rsidR="00EE07F3" w:rsidRPr="00175E32" w:rsidRDefault="00EE07F3" w:rsidP="00EE07F3">
      <w:pPr>
        <w:spacing w:line="276" w:lineRule="auto"/>
        <w:rPr>
          <w:szCs w:val="24"/>
        </w:rPr>
      </w:pPr>
      <w:r w:rsidRPr="00175E32">
        <w:rPr>
          <w:szCs w:val="24"/>
        </w:rPr>
        <w:t xml:space="preserve">Корректировка значения объемов инвестиций в основной </w:t>
      </w:r>
      <w:r w:rsidR="00923023" w:rsidRPr="00175E32">
        <w:rPr>
          <w:szCs w:val="24"/>
        </w:rPr>
        <w:t>капитал на</w:t>
      </w:r>
      <w:r w:rsidRPr="00175E32">
        <w:rPr>
          <w:szCs w:val="24"/>
        </w:rPr>
        <w:t xml:space="preserve"> 2020 год </w:t>
      </w:r>
      <w:r w:rsidR="0030735E" w:rsidRPr="00175E32">
        <w:rPr>
          <w:szCs w:val="24"/>
        </w:rPr>
        <w:t xml:space="preserve">относительно прошлогоднего прогноза </w:t>
      </w:r>
      <w:r w:rsidRPr="00175E32">
        <w:rPr>
          <w:szCs w:val="24"/>
        </w:rPr>
        <w:t>в сторону увеличения объясняется более высоким фактом 2019 год</w:t>
      </w:r>
      <w:r w:rsidR="00C86C0F" w:rsidRPr="00175E32">
        <w:rPr>
          <w:szCs w:val="24"/>
        </w:rPr>
        <w:t>а</w:t>
      </w:r>
      <w:r w:rsidRPr="00175E32">
        <w:rPr>
          <w:szCs w:val="24"/>
        </w:rPr>
        <w:t xml:space="preserve">, сложившейся динамикой роста показателя в текущем году, а также учет в показателе по </w:t>
      </w:r>
      <w:r w:rsidR="00923023" w:rsidRPr="00175E32">
        <w:rPr>
          <w:szCs w:val="24"/>
        </w:rPr>
        <w:t>инвестициям оценочных</w:t>
      </w:r>
      <w:r w:rsidRPr="00175E32">
        <w:rPr>
          <w:szCs w:val="24"/>
        </w:rPr>
        <w:t xml:space="preserve"> данных ОЭЗ ППТ «Тольятти», включенных в границы городского округа Тольятти в 2020 году.</w:t>
      </w:r>
    </w:p>
    <w:p w14:paraId="3FA793FE" w14:textId="77777777" w:rsidR="00EE07F3" w:rsidRPr="00175E32" w:rsidRDefault="008441AB" w:rsidP="00EE07F3">
      <w:pPr>
        <w:spacing w:line="276" w:lineRule="auto"/>
      </w:pPr>
      <w:r w:rsidRPr="00175E32">
        <w:rPr>
          <w:szCs w:val="24"/>
        </w:rPr>
        <w:t xml:space="preserve">В связи с падением </w:t>
      </w:r>
      <w:r w:rsidRPr="00175E32">
        <w:t>производства и снижением прибыли на крупных и средних предприятиях город</w:t>
      </w:r>
      <w:r w:rsidR="00C704AE">
        <w:t>ского округа Тольятти</w:t>
      </w:r>
      <w:r w:rsidRPr="00175E32">
        <w:t xml:space="preserve"> в текущем </w:t>
      </w:r>
      <w:r w:rsidR="00923023" w:rsidRPr="00175E32">
        <w:t>году сократились</w:t>
      </w:r>
      <w:r w:rsidRPr="00175E32">
        <w:t xml:space="preserve"> объемы</w:t>
      </w:r>
      <w:r w:rsidR="00B46B60" w:rsidRPr="00175E32">
        <w:t xml:space="preserve"> </w:t>
      </w:r>
      <w:r w:rsidR="00EE07F3" w:rsidRPr="00175E32">
        <w:t>инвестиций</w:t>
      </w:r>
      <w:r w:rsidR="006851F7" w:rsidRPr="00175E32">
        <w:rPr>
          <w:szCs w:val="24"/>
        </w:rPr>
        <w:t>, финансируемы</w:t>
      </w:r>
      <w:r w:rsidRPr="00175E32">
        <w:rPr>
          <w:szCs w:val="24"/>
        </w:rPr>
        <w:t>е</w:t>
      </w:r>
      <w:r w:rsidR="00EE07F3" w:rsidRPr="00175E32">
        <w:rPr>
          <w:szCs w:val="24"/>
        </w:rPr>
        <w:t xml:space="preserve"> за счет собственных средств</w:t>
      </w:r>
      <w:r w:rsidR="00B46B60" w:rsidRPr="00175E32">
        <w:rPr>
          <w:szCs w:val="24"/>
        </w:rPr>
        <w:t>,</w:t>
      </w:r>
      <w:r w:rsidR="00EE07F3" w:rsidRPr="00175E32">
        <w:rPr>
          <w:szCs w:val="24"/>
        </w:rPr>
        <w:t xml:space="preserve"> </w:t>
      </w:r>
      <w:r w:rsidRPr="00175E32">
        <w:rPr>
          <w:szCs w:val="24"/>
        </w:rPr>
        <w:t>при этом</w:t>
      </w:r>
      <w:r w:rsidR="006851F7" w:rsidRPr="00175E32">
        <w:t xml:space="preserve"> увелич</w:t>
      </w:r>
      <w:r w:rsidRPr="00175E32">
        <w:t>ены</w:t>
      </w:r>
      <w:r w:rsidR="006851F7" w:rsidRPr="00175E32">
        <w:t xml:space="preserve"> объемы привлеченных инвестиций</w:t>
      </w:r>
      <w:r w:rsidR="00B602AE" w:rsidRPr="00175E32">
        <w:t>.</w:t>
      </w:r>
    </w:p>
    <w:p w14:paraId="1AE552EA" w14:textId="77777777" w:rsidR="00EE07F3" w:rsidRPr="00175E32" w:rsidRDefault="0054224F" w:rsidP="00EE07F3">
      <w:pPr>
        <w:spacing w:line="276" w:lineRule="auto"/>
        <w:rPr>
          <w:spacing w:val="-2"/>
        </w:rPr>
      </w:pPr>
      <w:r w:rsidRPr="00175E32">
        <w:rPr>
          <w:szCs w:val="24"/>
        </w:rPr>
        <w:t xml:space="preserve">Существенно скорректированы в сторону </w:t>
      </w:r>
      <w:r w:rsidR="00923023" w:rsidRPr="00175E32">
        <w:rPr>
          <w:szCs w:val="24"/>
        </w:rPr>
        <w:t>увеличения объемы</w:t>
      </w:r>
      <w:r w:rsidR="00B46B60" w:rsidRPr="00175E32">
        <w:rPr>
          <w:szCs w:val="24"/>
        </w:rPr>
        <w:t xml:space="preserve"> </w:t>
      </w:r>
      <w:r w:rsidR="00EE07F3" w:rsidRPr="00175E32">
        <w:rPr>
          <w:szCs w:val="24"/>
        </w:rPr>
        <w:t>инвестици</w:t>
      </w:r>
      <w:r w:rsidR="00B46B60" w:rsidRPr="00175E32">
        <w:rPr>
          <w:szCs w:val="24"/>
        </w:rPr>
        <w:t>й</w:t>
      </w:r>
      <w:r w:rsidR="00EE07F3" w:rsidRPr="00175E32">
        <w:rPr>
          <w:szCs w:val="24"/>
        </w:rPr>
        <w:t xml:space="preserve"> за счет средств областного бюджета </w:t>
      </w:r>
      <w:r w:rsidRPr="00175E32">
        <w:rPr>
          <w:szCs w:val="24"/>
        </w:rPr>
        <w:t>н</w:t>
      </w:r>
      <w:r w:rsidR="00EE07F3" w:rsidRPr="00175E32">
        <w:rPr>
          <w:szCs w:val="24"/>
        </w:rPr>
        <w:t xml:space="preserve">а основании сведений о плановых объемах </w:t>
      </w:r>
      <w:r w:rsidR="00923023" w:rsidRPr="00175E32">
        <w:rPr>
          <w:szCs w:val="24"/>
        </w:rPr>
        <w:t>капиталовложений на</w:t>
      </w:r>
      <w:r w:rsidR="00EE07F3" w:rsidRPr="00175E32">
        <w:rPr>
          <w:spacing w:val="-2"/>
        </w:rPr>
        <w:t xml:space="preserve"> развитие функционирования </w:t>
      </w:r>
      <w:r w:rsidR="00EE07F3" w:rsidRPr="00175E32">
        <w:t>ОЭЗ ППТ «Тольятти».</w:t>
      </w:r>
    </w:p>
    <w:p w14:paraId="6AAA941A" w14:textId="77777777" w:rsidR="00E57FD9" w:rsidRPr="00175E32" w:rsidRDefault="00EE07F3" w:rsidP="00923023">
      <w:pPr>
        <w:pStyle w:val="aff0"/>
        <w:numPr>
          <w:ilvl w:val="0"/>
          <w:numId w:val="5"/>
        </w:numPr>
        <w:spacing w:line="276" w:lineRule="auto"/>
        <w:ind w:left="0" w:firstLine="709"/>
        <w:rPr>
          <w:sz w:val="24"/>
          <w:szCs w:val="24"/>
        </w:rPr>
      </w:pPr>
      <w:r w:rsidRPr="00175E32">
        <w:rPr>
          <w:sz w:val="24"/>
          <w:szCs w:val="24"/>
        </w:rPr>
        <w:t>Увеличение инвестиционной деятельности на территории город</w:t>
      </w:r>
      <w:r w:rsidR="00C704AE">
        <w:rPr>
          <w:sz w:val="24"/>
          <w:szCs w:val="24"/>
        </w:rPr>
        <w:t>ского округа Тольятти</w:t>
      </w:r>
      <w:r w:rsidRPr="00175E32">
        <w:rPr>
          <w:sz w:val="24"/>
          <w:szCs w:val="24"/>
        </w:rPr>
        <w:t xml:space="preserve"> и региона влияет на развитие строительной сферы: объем строительных работ по крупным и средним предприятиям на территории городского округа Тольятти в 1 полугодии 2020 года увеличился в 2,3 раза относительно предыдущего года и составил 1,93 млрд. рублей</w:t>
      </w:r>
      <w:r w:rsidR="00E57FD9" w:rsidRPr="00175E32">
        <w:rPr>
          <w:sz w:val="24"/>
          <w:szCs w:val="24"/>
        </w:rPr>
        <w:t>.</w:t>
      </w:r>
    </w:p>
    <w:p w14:paraId="2D009305" w14:textId="77777777" w:rsidR="00E57FD9" w:rsidRPr="00175E32" w:rsidRDefault="00E57FD9" w:rsidP="00E57FD9">
      <w:pPr>
        <w:pStyle w:val="aff0"/>
        <w:spacing w:line="276" w:lineRule="auto"/>
        <w:rPr>
          <w:sz w:val="24"/>
          <w:szCs w:val="24"/>
          <w:shd w:val="clear" w:color="auto" w:fill="FFFFFF"/>
        </w:rPr>
      </w:pPr>
      <w:r w:rsidRPr="00175E32">
        <w:rPr>
          <w:sz w:val="24"/>
          <w:szCs w:val="24"/>
          <w:shd w:val="clear" w:color="auto" w:fill="FFFFFF"/>
        </w:rPr>
        <w:t>В городском округе Тольятти в 1 полугодии 2020 года наблюдается положительная динамика ввода в действие жилых домов (квартир) по сравнению с аналогичным периодом 2019 года: общий объем, введенного в эксплуатацию жилья (квартир), составил 31,9 тыс. кв. метров, что на 19,7</w:t>
      </w:r>
      <w:r w:rsidR="005C523D" w:rsidRPr="00175E32">
        <w:rPr>
          <w:sz w:val="24"/>
          <w:szCs w:val="24"/>
          <w:shd w:val="clear" w:color="auto" w:fill="FFFFFF"/>
        </w:rPr>
        <w:t>%</w:t>
      </w:r>
      <w:r w:rsidRPr="00175E32">
        <w:rPr>
          <w:sz w:val="24"/>
          <w:szCs w:val="24"/>
          <w:shd w:val="clear" w:color="auto" w:fill="FFFFFF"/>
        </w:rPr>
        <w:t xml:space="preserve"> выше </w:t>
      </w:r>
      <w:r w:rsidR="005C523D" w:rsidRPr="00175E32">
        <w:rPr>
          <w:sz w:val="24"/>
          <w:szCs w:val="24"/>
          <w:shd w:val="clear" w:color="auto" w:fill="FFFFFF"/>
        </w:rPr>
        <w:t xml:space="preserve">низкой базы </w:t>
      </w:r>
      <w:r w:rsidR="00FC1C3D">
        <w:rPr>
          <w:sz w:val="24"/>
          <w:szCs w:val="24"/>
          <w:shd w:val="clear" w:color="auto" w:fill="FFFFFF"/>
        </w:rPr>
        <w:t>аналогичного периода 2019 года.</w:t>
      </w:r>
    </w:p>
    <w:p w14:paraId="0A14FE09" w14:textId="77777777" w:rsidR="00E57FD9" w:rsidRPr="00175E32" w:rsidRDefault="00E57FD9" w:rsidP="00E57FD9">
      <w:pPr>
        <w:widowControl w:val="0"/>
        <w:spacing w:line="276" w:lineRule="auto"/>
        <w:rPr>
          <w:shd w:val="clear" w:color="auto" w:fill="FFFFFF"/>
        </w:rPr>
      </w:pPr>
      <w:r w:rsidRPr="00175E32">
        <w:rPr>
          <w:shd w:val="clear" w:color="auto" w:fill="FFFFFF"/>
        </w:rPr>
        <w:t xml:space="preserve">В соответствии с соглашением между министерством строительства Самарской области и администрацией городского округа Тольятти об установлении планового задания по вводу жилья для городского округа Тольятти на 2020 год (далее по разделу – Соглашение), плановое значение показателя по объему введенных жилых домов (квартир) в городском округе Тольятти в </w:t>
      </w:r>
      <w:r w:rsidR="00FC1C3D">
        <w:rPr>
          <w:shd w:val="clear" w:color="auto" w:fill="FFFFFF"/>
        </w:rPr>
        <w:t>2020 году составляет 108,4 тыс. кв. </w:t>
      </w:r>
      <w:r w:rsidRPr="00175E32">
        <w:rPr>
          <w:shd w:val="clear" w:color="auto" w:fill="FFFFFF"/>
        </w:rPr>
        <w:t>м общей площади жилья, что на 30,4% ниже факта 2019 года.</w:t>
      </w:r>
    </w:p>
    <w:p w14:paraId="6262633A" w14:textId="77777777" w:rsidR="00E57FD9" w:rsidRPr="00175E32" w:rsidRDefault="00E57FD9" w:rsidP="00E57FD9">
      <w:pPr>
        <w:spacing w:line="300" w:lineRule="auto"/>
        <w:jc w:val="center"/>
        <w:rPr>
          <w:rFonts w:eastAsia="Calibri"/>
          <w:szCs w:val="24"/>
          <w:lang w:eastAsia="ar-SA"/>
        </w:rPr>
      </w:pPr>
    </w:p>
    <w:p w14:paraId="73859E9B" w14:textId="77777777" w:rsidR="00E57FD9" w:rsidRPr="00175E32" w:rsidRDefault="00E57FD9" w:rsidP="00FC1C3D">
      <w:pPr>
        <w:spacing w:line="276" w:lineRule="auto"/>
        <w:ind w:firstLine="0"/>
        <w:jc w:val="center"/>
        <w:rPr>
          <w:rFonts w:eastAsia="Calibri"/>
          <w:szCs w:val="24"/>
          <w:lang w:eastAsia="ar-SA"/>
        </w:rPr>
      </w:pPr>
      <w:r w:rsidRPr="00175E32">
        <w:rPr>
          <w:rFonts w:eastAsia="Calibri"/>
          <w:szCs w:val="24"/>
          <w:lang w:eastAsia="ar-SA"/>
        </w:rPr>
        <w:t>Ожидаемое выполнение прогнозных показателей по разделу</w:t>
      </w:r>
    </w:p>
    <w:p w14:paraId="682287C8" w14:textId="77777777" w:rsidR="00E57FD9" w:rsidRPr="00175E32" w:rsidRDefault="00E57FD9" w:rsidP="00FC1C3D">
      <w:pPr>
        <w:spacing w:line="276" w:lineRule="auto"/>
        <w:ind w:firstLine="0"/>
        <w:jc w:val="center"/>
        <w:rPr>
          <w:rFonts w:eastAsia="Calibri"/>
          <w:szCs w:val="24"/>
          <w:lang w:eastAsia="ar-SA"/>
        </w:rPr>
      </w:pPr>
      <w:r w:rsidRPr="00175E32">
        <w:rPr>
          <w:rFonts w:eastAsia="Calibri"/>
          <w:szCs w:val="24"/>
          <w:lang w:eastAsia="ar-SA"/>
        </w:rPr>
        <w:t>«Жилищное строительство» на 2020 год</w:t>
      </w:r>
    </w:p>
    <w:p w14:paraId="0FBFFE04" w14:textId="77777777" w:rsidR="00E57FD9" w:rsidRPr="00175E32" w:rsidRDefault="00E57FD9" w:rsidP="00E57FD9">
      <w:pPr>
        <w:spacing w:line="300" w:lineRule="auto"/>
        <w:jc w:val="center"/>
        <w:rPr>
          <w:rFonts w:eastAsia="Calibri"/>
          <w:szCs w:val="24"/>
          <w:lang w:eastAsia="ar-SA"/>
        </w:rPr>
      </w:pPr>
    </w:p>
    <w:tbl>
      <w:tblPr>
        <w:tblW w:w="9588" w:type="dxa"/>
        <w:tblInd w:w="108" w:type="dxa"/>
        <w:tblLayout w:type="fixed"/>
        <w:tblLook w:val="0000" w:firstRow="0" w:lastRow="0" w:firstColumn="0" w:lastColumn="0" w:noHBand="0" w:noVBand="0"/>
      </w:tblPr>
      <w:tblGrid>
        <w:gridCol w:w="3174"/>
        <w:gridCol w:w="1247"/>
        <w:gridCol w:w="1735"/>
        <w:gridCol w:w="1697"/>
        <w:gridCol w:w="1735"/>
      </w:tblGrid>
      <w:tr w:rsidR="00E57FD9" w:rsidRPr="00175E32" w14:paraId="6154B4F9" w14:textId="77777777" w:rsidTr="00FC1C3D">
        <w:trPr>
          <w:cantSplit/>
          <w:trHeight w:val="211"/>
        </w:trPr>
        <w:tc>
          <w:tcPr>
            <w:tcW w:w="3174" w:type="dxa"/>
            <w:vMerge w:val="restart"/>
            <w:tcBorders>
              <w:top w:val="single" w:sz="4" w:space="0" w:color="000000"/>
              <w:left w:val="single" w:sz="4" w:space="0" w:color="000000"/>
              <w:bottom w:val="single" w:sz="4" w:space="0" w:color="000000"/>
            </w:tcBorders>
            <w:vAlign w:val="center"/>
          </w:tcPr>
          <w:p w14:paraId="5380AAAE" w14:textId="77777777" w:rsidR="00E57FD9" w:rsidRPr="00175E32" w:rsidRDefault="00E57FD9" w:rsidP="00FC1C3D">
            <w:pPr>
              <w:ind w:firstLine="0"/>
              <w:jc w:val="center"/>
              <w:rPr>
                <w:rFonts w:eastAsia="Calibri"/>
                <w:szCs w:val="24"/>
                <w:lang w:eastAsia="ar-SA"/>
              </w:rPr>
            </w:pPr>
            <w:r w:rsidRPr="00175E32">
              <w:rPr>
                <w:rFonts w:eastAsia="Calibri"/>
                <w:szCs w:val="24"/>
                <w:lang w:eastAsia="ar-SA"/>
              </w:rPr>
              <w:t>Показатели</w:t>
            </w:r>
          </w:p>
        </w:tc>
        <w:tc>
          <w:tcPr>
            <w:tcW w:w="1247" w:type="dxa"/>
            <w:vMerge w:val="restart"/>
            <w:tcBorders>
              <w:top w:val="single" w:sz="4" w:space="0" w:color="000000"/>
              <w:left w:val="single" w:sz="4" w:space="0" w:color="000000"/>
              <w:bottom w:val="single" w:sz="4" w:space="0" w:color="000000"/>
            </w:tcBorders>
            <w:vAlign w:val="center"/>
          </w:tcPr>
          <w:p w14:paraId="0A20BD24" w14:textId="77777777" w:rsidR="00E57FD9" w:rsidRPr="00175E32" w:rsidRDefault="00E57FD9" w:rsidP="00FC1C3D">
            <w:pPr>
              <w:ind w:firstLine="0"/>
              <w:jc w:val="center"/>
              <w:rPr>
                <w:rFonts w:eastAsia="Calibri"/>
                <w:szCs w:val="24"/>
                <w:lang w:eastAsia="ar-SA"/>
              </w:rPr>
            </w:pPr>
            <w:r w:rsidRPr="00175E32">
              <w:rPr>
                <w:rFonts w:eastAsia="Calibri"/>
                <w:szCs w:val="24"/>
                <w:lang w:eastAsia="ar-SA"/>
              </w:rPr>
              <w:t>Ед. изм.</w:t>
            </w:r>
          </w:p>
        </w:tc>
        <w:tc>
          <w:tcPr>
            <w:tcW w:w="3432" w:type="dxa"/>
            <w:gridSpan w:val="2"/>
            <w:tcBorders>
              <w:top w:val="single" w:sz="4" w:space="0" w:color="000000"/>
              <w:left w:val="single" w:sz="4" w:space="0" w:color="000000"/>
              <w:bottom w:val="single" w:sz="4" w:space="0" w:color="000000"/>
            </w:tcBorders>
          </w:tcPr>
          <w:p w14:paraId="2504BF15" w14:textId="77777777" w:rsidR="00E57FD9" w:rsidRPr="00175E32" w:rsidRDefault="00E57FD9" w:rsidP="00923023">
            <w:pPr>
              <w:ind w:firstLine="0"/>
              <w:jc w:val="center"/>
              <w:rPr>
                <w:rFonts w:eastAsia="Calibri"/>
                <w:szCs w:val="24"/>
                <w:lang w:eastAsia="ar-SA"/>
              </w:rPr>
            </w:pPr>
            <w:r w:rsidRPr="00175E32">
              <w:rPr>
                <w:rFonts w:eastAsia="Calibri"/>
                <w:szCs w:val="24"/>
                <w:lang w:eastAsia="ar-SA"/>
              </w:rPr>
              <w:t>Прогноз на 2020 год</w:t>
            </w:r>
          </w:p>
        </w:tc>
        <w:tc>
          <w:tcPr>
            <w:tcW w:w="1735" w:type="dxa"/>
            <w:vMerge w:val="restart"/>
            <w:tcBorders>
              <w:top w:val="single" w:sz="4" w:space="0" w:color="000000"/>
              <w:left w:val="single" w:sz="4" w:space="0" w:color="000000"/>
              <w:bottom w:val="single" w:sz="4" w:space="0" w:color="000000"/>
              <w:right w:val="single" w:sz="4" w:space="0" w:color="000000"/>
            </w:tcBorders>
          </w:tcPr>
          <w:p w14:paraId="42235A87" w14:textId="77777777" w:rsidR="00E57FD9" w:rsidRPr="00175E32" w:rsidRDefault="00E57FD9" w:rsidP="00923023">
            <w:pPr>
              <w:ind w:firstLine="0"/>
              <w:jc w:val="center"/>
              <w:rPr>
                <w:rFonts w:eastAsia="Calibri"/>
                <w:szCs w:val="24"/>
                <w:lang w:eastAsia="ar-SA"/>
              </w:rPr>
            </w:pPr>
            <w:r w:rsidRPr="00175E32">
              <w:rPr>
                <w:rFonts w:eastAsia="Calibri"/>
                <w:szCs w:val="24"/>
                <w:lang w:eastAsia="ar-SA"/>
              </w:rPr>
              <w:t>2020 год (оценка)</w:t>
            </w:r>
          </w:p>
        </w:tc>
      </w:tr>
      <w:tr w:rsidR="00E57FD9" w:rsidRPr="00175E32" w14:paraId="11BCAF7B" w14:textId="77777777" w:rsidTr="00923023">
        <w:trPr>
          <w:trHeight w:val="105"/>
        </w:trPr>
        <w:tc>
          <w:tcPr>
            <w:tcW w:w="3174" w:type="dxa"/>
            <w:vMerge/>
            <w:tcBorders>
              <w:top w:val="single" w:sz="4" w:space="0" w:color="000000"/>
              <w:left w:val="single" w:sz="4" w:space="0" w:color="000000"/>
              <w:bottom w:val="single" w:sz="4" w:space="0" w:color="auto"/>
            </w:tcBorders>
          </w:tcPr>
          <w:p w14:paraId="09AF9CB0" w14:textId="77777777" w:rsidR="00E57FD9" w:rsidRPr="00175E32" w:rsidRDefault="00E57FD9" w:rsidP="00923023">
            <w:pPr>
              <w:snapToGrid w:val="0"/>
              <w:ind w:firstLine="0"/>
              <w:rPr>
                <w:rFonts w:eastAsia="Calibri"/>
                <w:szCs w:val="24"/>
                <w:lang w:eastAsia="ar-SA"/>
              </w:rPr>
            </w:pPr>
          </w:p>
        </w:tc>
        <w:tc>
          <w:tcPr>
            <w:tcW w:w="1247" w:type="dxa"/>
            <w:vMerge/>
            <w:tcBorders>
              <w:top w:val="single" w:sz="4" w:space="0" w:color="000000"/>
              <w:left w:val="single" w:sz="4" w:space="0" w:color="000000"/>
              <w:bottom w:val="single" w:sz="4" w:space="0" w:color="auto"/>
            </w:tcBorders>
          </w:tcPr>
          <w:p w14:paraId="311AB274" w14:textId="77777777" w:rsidR="00E57FD9" w:rsidRPr="00175E32" w:rsidRDefault="00E57FD9" w:rsidP="00923023">
            <w:pPr>
              <w:snapToGrid w:val="0"/>
              <w:ind w:firstLine="0"/>
              <w:rPr>
                <w:rFonts w:eastAsia="Calibri"/>
                <w:szCs w:val="24"/>
                <w:lang w:eastAsia="ar-SA"/>
              </w:rPr>
            </w:pPr>
          </w:p>
        </w:tc>
        <w:tc>
          <w:tcPr>
            <w:tcW w:w="1735" w:type="dxa"/>
            <w:tcBorders>
              <w:left w:val="single" w:sz="4" w:space="0" w:color="000000"/>
              <w:bottom w:val="single" w:sz="4" w:space="0" w:color="auto"/>
            </w:tcBorders>
          </w:tcPr>
          <w:p w14:paraId="683CCD8D" w14:textId="77777777" w:rsidR="00E57FD9" w:rsidRPr="00175E32" w:rsidRDefault="00E57FD9" w:rsidP="00923023">
            <w:pPr>
              <w:ind w:firstLine="0"/>
              <w:jc w:val="center"/>
              <w:rPr>
                <w:rFonts w:eastAsia="Calibri"/>
                <w:szCs w:val="24"/>
                <w:lang w:eastAsia="ar-SA"/>
              </w:rPr>
            </w:pPr>
            <w:r w:rsidRPr="00175E32">
              <w:rPr>
                <w:rFonts w:eastAsia="Calibri"/>
                <w:szCs w:val="24"/>
                <w:lang w:eastAsia="ar-SA"/>
              </w:rPr>
              <w:t>1 вариант</w:t>
            </w:r>
          </w:p>
        </w:tc>
        <w:tc>
          <w:tcPr>
            <w:tcW w:w="1697" w:type="dxa"/>
            <w:tcBorders>
              <w:left w:val="single" w:sz="4" w:space="0" w:color="000000"/>
              <w:bottom w:val="single" w:sz="4" w:space="0" w:color="auto"/>
            </w:tcBorders>
          </w:tcPr>
          <w:p w14:paraId="7FA68A03" w14:textId="77777777" w:rsidR="00E57FD9" w:rsidRPr="00175E32" w:rsidRDefault="00E57FD9" w:rsidP="00923023">
            <w:pPr>
              <w:ind w:firstLine="0"/>
              <w:jc w:val="center"/>
              <w:rPr>
                <w:rFonts w:eastAsia="Calibri"/>
                <w:szCs w:val="24"/>
                <w:lang w:eastAsia="ar-SA"/>
              </w:rPr>
            </w:pPr>
            <w:r w:rsidRPr="00175E32">
              <w:rPr>
                <w:rFonts w:eastAsia="Calibri"/>
                <w:szCs w:val="24"/>
                <w:lang w:eastAsia="ar-SA"/>
              </w:rPr>
              <w:t>2 вариант</w:t>
            </w:r>
          </w:p>
        </w:tc>
        <w:tc>
          <w:tcPr>
            <w:tcW w:w="1735" w:type="dxa"/>
            <w:vMerge/>
            <w:tcBorders>
              <w:top w:val="single" w:sz="4" w:space="0" w:color="000000"/>
              <w:left w:val="single" w:sz="4" w:space="0" w:color="000000"/>
              <w:bottom w:val="single" w:sz="4" w:space="0" w:color="auto"/>
              <w:right w:val="single" w:sz="4" w:space="0" w:color="000000"/>
            </w:tcBorders>
          </w:tcPr>
          <w:p w14:paraId="33099598" w14:textId="77777777" w:rsidR="00E57FD9" w:rsidRPr="00175E32" w:rsidRDefault="00E57FD9" w:rsidP="00923023">
            <w:pPr>
              <w:snapToGrid w:val="0"/>
              <w:ind w:firstLine="0"/>
              <w:rPr>
                <w:rFonts w:eastAsia="Calibri"/>
                <w:szCs w:val="24"/>
                <w:lang w:eastAsia="ar-SA"/>
              </w:rPr>
            </w:pPr>
          </w:p>
        </w:tc>
      </w:tr>
      <w:tr w:rsidR="00E57FD9" w:rsidRPr="00175E32" w14:paraId="4E9F0568" w14:textId="77777777" w:rsidTr="00923023">
        <w:trPr>
          <w:trHeight w:val="885"/>
        </w:trPr>
        <w:tc>
          <w:tcPr>
            <w:tcW w:w="3174" w:type="dxa"/>
            <w:tcBorders>
              <w:top w:val="single" w:sz="4" w:space="0" w:color="auto"/>
              <w:left w:val="single" w:sz="4" w:space="0" w:color="auto"/>
              <w:bottom w:val="single" w:sz="4" w:space="0" w:color="auto"/>
              <w:right w:val="single" w:sz="4" w:space="0" w:color="auto"/>
            </w:tcBorders>
          </w:tcPr>
          <w:p w14:paraId="0EA4AB32" w14:textId="77777777" w:rsidR="00E57FD9" w:rsidRPr="00175E32" w:rsidRDefault="00E57FD9" w:rsidP="00923023">
            <w:pPr>
              <w:ind w:firstLine="0"/>
              <w:rPr>
                <w:rFonts w:eastAsia="Calibri"/>
                <w:szCs w:val="24"/>
                <w:lang w:eastAsia="ar-SA"/>
              </w:rPr>
            </w:pPr>
            <w:r w:rsidRPr="00175E32">
              <w:rPr>
                <w:rFonts w:eastAsia="Calibri"/>
                <w:szCs w:val="24"/>
                <w:lang w:eastAsia="ar-SA"/>
              </w:rPr>
              <w:t>Ввод в действие жилых домов (квартир) за счет всех источников финансирования</w:t>
            </w:r>
          </w:p>
        </w:tc>
        <w:tc>
          <w:tcPr>
            <w:tcW w:w="1247" w:type="dxa"/>
            <w:tcBorders>
              <w:top w:val="single" w:sz="4" w:space="0" w:color="auto"/>
              <w:left w:val="single" w:sz="4" w:space="0" w:color="auto"/>
              <w:bottom w:val="single" w:sz="4" w:space="0" w:color="auto"/>
              <w:right w:val="single" w:sz="4" w:space="0" w:color="auto"/>
            </w:tcBorders>
          </w:tcPr>
          <w:p w14:paraId="5E4868C4" w14:textId="77777777" w:rsidR="00E57FD9" w:rsidRPr="00175E32" w:rsidRDefault="00E57FD9" w:rsidP="00923023">
            <w:pPr>
              <w:ind w:firstLine="0"/>
              <w:jc w:val="center"/>
              <w:rPr>
                <w:rFonts w:eastAsia="Calibri"/>
                <w:szCs w:val="24"/>
                <w:lang w:eastAsia="ar-SA"/>
              </w:rPr>
            </w:pPr>
            <w:proofErr w:type="spellStart"/>
            <w:r w:rsidRPr="00175E32">
              <w:rPr>
                <w:rFonts w:eastAsia="Calibri"/>
                <w:szCs w:val="24"/>
                <w:lang w:eastAsia="ar-SA"/>
              </w:rPr>
              <w:t>тыс.кв</w:t>
            </w:r>
            <w:proofErr w:type="spellEnd"/>
            <w:r w:rsidRPr="00175E32">
              <w:rPr>
                <w:rFonts w:eastAsia="Calibri"/>
                <w:szCs w:val="24"/>
                <w:lang w:eastAsia="ar-SA"/>
              </w:rPr>
              <w:t>. метров</w:t>
            </w:r>
          </w:p>
        </w:tc>
        <w:tc>
          <w:tcPr>
            <w:tcW w:w="1735" w:type="dxa"/>
            <w:tcBorders>
              <w:top w:val="single" w:sz="4" w:space="0" w:color="auto"/>
              <w:left w:val="single" w:sz="4" w:space="0" w:color="auto"/>
              <w:bottom w:val="single" w:sz="4" w:space="0" w:color="auto"/>
              <w:right w:val="single" w:sz="4" w:space="0" w:color="auto"/>
            </w:tcBorders>
            <w:vAlign w:val="center"/>
          </w:tcPr>
          <w:p w14:paraId="1AE80B9C" w14:textId="77777777" w:rsidR="00E57FD9" w:rsidRPr="00175E32" w:rsidRDefault="00E57FD9" w:rsidP="00923023">
            <w:pPr>
              <w:ind w:firstLine="0"/>
              <w:jc w:val="center"/>
              <w:rPr>
                <w:rFonts w:eastAsia="Calibri"/>
                <w:szCs w:val="24"/>
                <w:lang w:eastAsia="ar-SA"/>
              </w:rPr>
            </w:pPr>
            <w:r w:rsidRPr="00175E32">
              <w:rPr>
                <w:rFonts w:eastAsia="Calibri"/>
                <w:szCs w:val="24"/>
                <w:lang w:eastAsia="ar-SA"/>
              </w:rPr>
              <w:t>104,7</w:t>
            </w:r>
          </w:p>
        </w:tc>
        <w:tc>
          <w:tcPr>
            <w:tcW w:w="1697" w:type="dxa"/>
            <w:tcBorders>
              <w:top w:val="single" w:sz="4" w:space="0" w:color="auto"/>
              <w:left w:val="single" w:sz="4" w:space="0" w:color="auto"/>
              <w:bottom w:val="single" w:sz="4" w:space="0" w:color="auto"/>
              <w:right w:val="single" w:sz="4" w:space="0" w:color="auto"/>
            </w:tcBorders>
            <w:vAlign w:val="center"/>
          </w:tcPr>
          <w:p w14:paraId="5312226F" w14:textId="77777777" w:rsidR="00E57FD9" w:rsidRPr="00175E32" w:rsidRDefault="00E57FD9" w:rsidP="00923023">
            <w:pPr>
              <w:ind w:firstLine="0"/>
              <w:jc w:val="center"/>
              <w:rPr>
                <w:rFonts w:eastAsia="Calibri"/>
                <w:szCs w:val="24"/>
                <w:lang w:eastAsia="ar-SA"/>
              </w:rPr>
            </w:pPr>
            <w:r w:rsidRPr="00175E32">
              <w:rPr>
                <w:rFonts w:eastAsia="Calibri"/>
                <w:szCs w:val="24"/>
                <w:lang w:eastAsia="ar-SA"/>
              </w:rPr>
              <w:t>148,0</w:t>
            </w:r>
          </w:p>
        </w:tc>
        <w:tc>
          <w:tcPr>
            <w:tcW w:w="1735" w:type="dxa"/>
            <w:tcBorders>
              <w:top w:val="single" w:sz="4" w:space="0" w:color="auto"/>
              <w:left w:val="single" w:sz="4" w:space="0" w:color="auto"/>
              <w:bottom w:val="single" w:sz="4" w:space="0" w:color="auto"/>
              <w:right w:val="single" w:sz="4" w:space="0" w:color="auto"/>
            </w:tcBorders>
            <w:vAlign w:val="center"/>
          </w:tcPr>
          <w:p w14:paraId="79BFD017" w14:textId="77777777" w:rsidR="00E57FD9" w:rsidRPr="00175E32" w:rsidRDefault="00E57FD9" w:rsidP="00923023">
            <w:pPr>
              <w:ind w:firstLine="0"/>
              <w:jc w:val="center"/>
              <w:rPr>
                <w:rFonts w:eastAsia="Calibri"/>
                <w:szCs w:val="24"/>
                <w:lang w:eastAsia="ar-SA"/>
              </w:rPr>
            </w:pPr>
            <w:r w:rsidRPr="00175E32">
              <w:rPr>
                <w:rFonts w:eastAsia="Calibri"/>
                <w:szCs w:val="24"/>
                <w:lang w:eastAsia="ar-SA"/>
              </w:rPr>
              <w:t>108,4</w:t>
            </w:r>
          </w:p>
        </w:tc>
      </w:tr>
    </w:tbl>
    <w:p w14:paraId="459F34C8" w14:textId="77777777" w:rsidR="00E57FD9" w:rsidRPr="00175E32" w:rsidRDefault="00E57FD9" w:rsidP="00E57FD9">
      <w:pPr>
        <w:spacing w:line="300" w:lineRule="auto"/>
        <w:rPr>
          <w:rFonts w:eastAsia="Calibri"/>
          <w:szCs w:val="24"/>
          <w:lang w:eastAsia="ar-SA"/>
        </w:rPr>
      </w:pPr>
    </w:p>
    <w:p w14:paraId="07B8B9DF" w14:textId="77777777" w:rsidR="001A0382" w:rsidRPr="00175E32" w:rsidRDefault="001A0382" w:rsidP="00E57FD9">
      <w:pPr>
        <w:suppressAutoHyphens w:val="0"/>
        <w:autoSpaceDE w:val="0"/>
        <w:autoSpaceDN w:val="0"/>
        <w:adjustRightInd w:val="0"/>
        <w:spacing w:line="276" w:lineRule="auto"/>
        <w:rPr>
          <w:rFonts w:eastAsiaTheme="minorEastAsia"/>
          <w:szCs w:val="24"/>
          <w:shd w:val="clear" w:color="auto" w:fill="FFFFFF"/>
          <w:lang w:eastAsia="ru-RU"/>
        </w:rPr>
      </w:pPr>
      <w:r w:rsidRPr="00175E32">
        <w:rPr>
          <w:rFonts w:eastAsiaTheme="minorEastAsia"/>
          <w:szCs w:val="24"/>
          <w:shd w:val="clear" w:color="auto" w:fill="FFFFFF"/>
          <w:lang w:eastAsia="ru-RU"/>
        </w:rPr>
        <w:t>При этом, у</w:t>
      </w:r>
      <w:r w:rsidRPr="00175E32">
        <w:rPr>
          <w:color w:val="000000"/>
          <w:lang w:eastAsia="ru-RU"/>
        </w:rPr>
        <w:t>ровень обеспеченности населения городского округа Тольятти жильем в 2020 году составит 23,</w:t>
      </w:r>
      <w:r w:rsidR="00517B24" w:rsidRPr="00175E32">
        <w:rPr>
          <w:color w:val="000000"/>
          <w:lang w:eastAsia="ru-RU"/>
        </w:rPr>
        <w:t>3</w:t>
      </w:r>
      <w:r w:rsidRPr="00175E32">
        <w:rPr>
          <w:color w:val="000000"/>
          <w:lang w:eastAsia="ru-RU"/>
        </w:rPr>
        <w:t xml:space="preserve"> кв. м на чел</w:t>
      </w:r>
      <w:r w:rsidR="00517B24" w:rsidRPr="00175E32">
        <w:rPr>
          <w:color w:val="000000"/>
          <w:lang w:eastAsia="ru-RU"/>
        </w:rPr>
        <w:t>овека</w:t>
      </w:r>
      <w:r w:rsidR="00FB71FD" w:rsidRPr="00175E32">
        <w:rPr>
          <w:color w:val="000000"/>
          <w:lang w:eastAsia="ru-RU"/>
        </w:rPr>
        <w:t xml:space="preserve">, что на </w:t>
      </w:r>
      <w:r w:rsidR="00251693" w:rsidRPr="00175E32">
        <w:rPr>
          <w:color w:val="000000"/>
          <w:lang w:eastAsia="ru-RU"/>
        </w:rPr>
        <w:t xml:space="preserve">1,3% выше </w:t>
      </w:r>
      <w:r w:rsidR="00FB71FD" w:rsidRPr="00175E32">
        <w:rPr>
          <w:color w:val="000000"/>
          <w:lang w:eastAsia="ru-RU"/>
        </w:rPr>
        <w:t>2019 года</w:t>
      </w:r>
      <w:r w:rsidR="00251693" w:rsidRPr="00175E32">
        <w:rPr>
          <w:color w:val="000000"/>
          <w:lang w:eastAsia="ru-RU"/>
        </w:rPr>
        <w:t xml:space="preserve"> (23 </w:t>
      </w:r>
      <w:proofErr w:type="spellStart"/>
      <w:proofErr w:type="gramStart"/>
      <w:r w:rsidR="00251693" w:rsidRPr="00175E32">
        <w:rPr>
          <w:color w:val="000000"/>
          <w:lang w:eastAsia="ru-RU"/>
        </w:rPr>
        <w:t>кв.м</w:t>
      </w:r>
      <w:proofErr w:type="spellEnd"/>
      <w:proofErr w:type="gramEnd"/>
      <w:r w:rsidR="00251693" w:rsidRPr="00175E32">
        <w:rPr>
          <w:color w:val="000000"/>
          <w:lang w:eastAsia="ru-RU"/>
        </w:rPr>
        <w:t>)</w:t>
      </w:r>
      <w:r w:rsidR="00517B24" w:rsidRPr="00175E32">
        <w:rPr>
          <w:color w:val="000000"/>
          <w:lang w:eastAsia="ru-RU"/>
        </w:rPr>
        <w:t>.</w:t>
      </w:r>
    </w:p>
    <w:p w14:paraId="54BF51FD" w14:textId="77777777" w:rsidR="00E57FD9" w:rsidRPr="00175E32" w:rsidRDefault="00E57FD9" w:rsidP="00E57FD9">
      <w:pPr>
        <w:suppressAutoHyphens w:val="0"/>
        <w:autoSpaceDE w:val="0"/>
        <w:autoSpaceDN w:val="0"/>
        <w:adjustRightInd w:val="0"/>
        <w:spacing w:line="276" w:lineRule="auto"/>
        <w:rPr>
          <w:rFonts w:eastAsiaTheme="minorEastAsia"/>
          <w:szCs w:val="24"/>
          <w:shd w:val="clear" w:color="auto" w:fill="FFFFFF"/>
          <w:lang w:eastAsia="ru-RU"/>
        </w:rPr>
      </w:pPr>
      <w:r w:rsidRPr="00175E32">
        <w:rPr>
          <w:rFonts w:eastAsiaTheme="minorEastAsia"/>
          <w:szCs w:val="24"/>
          <w:shd w:val="clear" w:color="auto" w:fill="FFFFFF"/>
          <w:lang w:eastAsia="ru-RU"/>
        </w:rPr>
        <w:lastRenderedPageBreak/>
        <w:t>На объемы ввода жилья по-прежнему продолжают оказывать влияние следующие негативные факторы:</w:t>
      </w:r>
    </w:p>
    <w:p w14:paraId="4AB936AB" w14:textId="77777777" w:rsidR="00E57FD9" w:rsidRPr="00175E32" w:rsidRDefault="00E57FD9" w:rsidP="00E57FD9">
      <w:pPr>
        <w:suppressAutoHyphens w:val="0"/>
        <w:autoSpaceDE w:val="0"/>
        <w:autoSpaceDN w:val="0"/>
        <w:adjustRightInd w:val="0"/>
        <w:spacing w:line="276" w:lineRule="auto"/>
        <w:rPr>
          <w:rFonts w:eastAsiaTheme="minorEastAsia"/>
          <w:szCs w:val="24"/>
          <w:shd w:val="clear" w:color="auto" w:fill="FFFFFF"/>
          <w:lang w:eastAsia="ru-RU"/>
        </w:rPr>
      </w:pPr>
      <w:r w:rsidRPr="00175E32">
        <w:rPr>
          <w:rFonts w:eastAsiaTheme="minorEastAsia"/>
          <w:szCs w:val="24"/>
          <w:shd w:val="clear" w:color="auto" w:fill="FFFFFF"/>
          <w:lang w:eastAsia="ru-RU"/>
        </w:rPr>
        <w:t>-  дефицит свободных финансовых средств у з</w:t>
      </w:r>
      <w:r w:rsidR="00FC1C3D">
        <w:rPr>
          <w:rFonts w:eastAsiaTheme="minorEastAsia"/>
          <w:szCs w:val="24"/>
          <w:shd w:val="clear" w:color="auto" w:fill="FFFFFF"/>
          <w:lang w:eastAsia="ru-RU"/>
        </w:rPr>
        <w:t>астройщиков;</w:t>
      </w:r>
    </w:p>
    <w:p w14:paraId="3E731D35" w14:textId="77777777" w:rsidR="00E57FD9" w:rsidRPr="00175E32" w:rsidRDefault="00E57FD9" w:rsidP="00E57FD9">
      <w:pPr>
        <w:suppressAutoHyphens w:val="0"/>
        <w:autoSpaceDE w:val="0"/>
        <w:autoSpaceDN w:val="0"/>
        <w:adjustRightInd w:val="0"/>
        <w:spacing w:line="276" w:lineRule="auto"/>
        <w:rPr>
          <w:rFonts w:eastAsiaTheme="minorEastAsia"/>
          <w:szCs w:val="24"/>
          <w:shd w:val="clear" w:color="auto" w:fill="FFFFFF"/>
          <w:lang w:eastAsia="ru-RU"/>
        </w:rPr>
      </w:pPr>
      <w:r w:rsidRPr="00175E32">
        <w:rPr>
          <w:rFonts w:eastAsiaTheme="minorEastAsia"/>
          <w:szCs w:val="24"/>
          <w:shd w:val="clear" w:color="auto" w:fill="FFFFFF"/>
          <w:lang w:eastAsia="ru-RU"/>
        </w:rPr>
        <w:t>- отсутствие полного пакета документов о получении разрешения на строительство;</w:t>
      </w:r>
    </w:p>
    <w:p w14:paraId="613440FC" w14:textId="77777777" w:rsidR="00E57FD9" w:rsidRPr="00175E32" w:rsidRDefault="00E57FD9" w:rsidP="00E57FD9">
      <w:pPr>
        <w:suppressAutoHyphens w:val="0"/>
        <w:autoSpaceDE w:val="0"/>
        <w:autoSpaceDN w:val="0"/>
        <w:adjustRightInd w:val="0"/>
        <w:spacing w:line="276" w:lineRule="auto"/>
        <w:rPr>
          <w:rFonts w:eastAsiaTheme="minorEastAsia"/>
          <w:szCs w:val="24"/>
          <w:shd w:val="clear" w:color="auto" w:fill="FFFFFF"/>
          <w:lang w:eastAsia="ru-RU"/>
        </w:rPr>
      </w:pPr>
      <w:r w:rsidRPr="00175E32">
        <w:rPr>
          <w:rFonts w:eastAsiaTheme="minorEastAsia"/>
          <w:szCs w:val="24"/>
          <w:shd w:val="clear" w:color="auto" w:fill="FFFFFF"/>
          <w:lang w:eastAsia="ru-RU"/>
        </w:rPr>
        <w:t>- высокий уровень платы за подключение новых объектов строительства к инженерным сетям;</w:t>
      </w:r>
    </w:p>
    <w:p w14:paraId="2CADEF5F" w14:textId="77777777" w:rsidR="00E57FD9" w:rsidRPr="00175E32" w:rsidRDefault="00E57FD9" w:rsidP="00E57FD9">
      <w:pPr>
        <w:suppressAutoHyphens w:val="0"/>
        <w:autoSpaceDE w:val="0"/>
        <w:autoSpaceDN w:val="0"/>
        <w:adjustRightInd w:val="0"/>
        <w:spacing w:line="276" w:lineRule="auto"/>
        <w:rPr>
          <w:rFonts w:eastAsiaTheme="minorEastAsia"/>
          <w:szCs w:val="24"/>
          <w:shd w:val="clear" w:color="auto" w:fill="FFFFFF"/>
          <w:lang w:eastAsia="ru-RU"/>
        </w:rPr>
      </w:pPr>
      <w:r w:rsidRPr="00175E32">
        <w:rPr>
          <w:rFonts w:eastAsiaTheme="minorEastAsia"/>
          <w:szCs w:val="24"/>
          <w:shd w:val="clear" w:color="auto" w:fill="FFFFFF"/>
          <w:lang w:eastAsia="ru-RU"/>
        </w:rPr>
        <w:t>-  сложная и длительная процедура выделения земельных участков под жилищное строительство.</w:t>
      </w:r>
    </w:p>
    <w:p w14:paraId="27C4D19A" w14:textId="77777777" w:rsidR="00E57FD9" w:rsidRPr="00175E32" w:rsidRDefault="00E57FD9" w:rsidP="00E57FD9">
      <w:pPr>
        <w:suppressAutoHyphens w:val="0"/>
        <w:autoSpaceDE w:val="0"/>
        <w:autoSpaceDN w:val="0"/>
        <w:adjustRightInd w:val="0"/>
        <w:spacing w:line="276" w:lineRule="auto"/>
        <w:rPr>
          <w:rFonts w:eastAsiaTheme="minorEastAsia"/>
          <w:szCs w:val="24"/>
          <w:shd w:val="clear" w:color="auto" w:fill="FFFFFF"/>
          <w:lang w:eastAsia="ru-RU"/>
        </w:rPr>
      </w:pPr>
      <w:r w:rsidRPr="00175E32">
        <w:rPr>
          <w:rFonts w:eastAsiaTheme="minorEastAsia"/>
          <w:szCs w:val="24"/>
          <w:shd w:val="clear" w:color="auto" w:fill="FFFFFF"/>
          <w:lang w:eastAsia="ru-RU"/>
        </w:rPr>
        <w:t xml:space="preserve">В целях достижения прогнозного значения осуществляется мониторинг объектов жилищного строительства и взаимодействие с </w:t>
      </w:r>
      <w:r w:rsidR="00FB71FD" w:rsidRPr="00175E32">
        <w:rPr>
          <w:rFonts w:eastAsiaTheme="minorEastAsia"/>
          <w:szCs w:val="24"/>
          <w:shd w:val="clear" w:color="auto" w:fill="FFFFFF"/>
          <w:lang w:eastAsia="ru-RU"/>
        </w:rPr>
        <w:t>м</w:t>
      </w:r>
      <w:r w:rsidRPr="00175E32">
        <w:rPr>
          <w:rFonts w:eastAsiaTheme="minorEastAsia"/>
          <w:szCs w:val="24"/>
          <w:shd w:val="clear" w:color="auto" w:fill="FFFFFF"/>
          <w:lang w:eastAsia="ru-RU"/>
        </w:rPr>
        <w:t>инистерством строительства Самарской области и Государственной инспекцией строительного надзора по проблемным объектам жилищного строительства.</w:t>
      </w:r>
    </w:p>
    <w:p w14:paraId="44A9BC5D" w14:textId="77777777" w:rsidR="00E57FD9" w:rsidRPr="00175E32" w:rsidRDefault="00E57FD9" w:rsidP="00E57FD9">
      <w:pPr>
        <w:suppressAutoHyphens w:val="0"/>
        <w:autoSpaceDE w:val="0"/>
        <w:autoSpaceDN w:val="0"/>
        <w:adjustRightInd w:val="0"/>
        <w:spacing w:line="276" w:lineRule="auto"/>
        <w:rPr>
          <w:rFonts w:eastAsiaTheme="minorEastAsia"/>
          <w:szCs w:val="24"/>
          <w:shd w:val="clear" w:color="auto" w:fill="FFFFFF"/>
          <w:lang w:eastAsia="ru-RU"/>
        </w:rPr>
      </w:pPr>
      <w:r w:rsidRPr="00175E32">
        <w:rPr>
          <w:rFonts w:eastAsiaTheme="minorEastAsia"/>
          <w:szCs w:val="24"/>
          <w:shd w:val="clear" w:color="auto" w:fill="FFFFFF"/>
          <w:lang w:eastAsia="ru-RU"/>
        </w:rPr>
        <w:t xml:space="preserve">Мониторинг строительства объектов капитального строительства, в том числе, проблемных объектов долевого строительства на территории городского округа Тольятти осуществляется путем непосредственного взаимодействия с застройщиками, инициативными группами граждан, органами прокуратуры, государственной инспекцией строительного надзора Самарской области, </w:t>
      </w:r>
      <w:r w:rsidR="008D7A93" w:rsidRPr="00175E32">
        <w:rPr>
          <w:rFonts w:eastAsiaTheme="minorEastAsia"/>
          <w:szCs w:val="24"/>
          <w:shd w:val="clear" w:color="auto" w:fill="FFFFFF"/>
          <w:lang w:eastAsia="ru-RU"/>
        </w:rPr>
        <w:t>м</w:t>
      </w:r>
      <w:r w:rsidRPr="00175E32">
        <w:rPr>
          <w:rFonts w:eastAsiaTheme="minorEastAsia"/>
          <w:szCs w:val="24"/>
          <w:shd w:val="clear" w:color="auto" w:fill="FFFFFF"/>
          <w:lang w:eastAsia="ru-RU"/>
        </w:rPr>
        <w:t>инистерством строительства Самарской области.</w:t>
      </w:r>
    </w:p>
    <w:p w14:paraId="3EAC1733" w14:textId="77777777" w:rsidR="00E57FD9" w:rsidRPr="00175E32" w:rsidRDefault="00E57FD9" w:rsidP="00E57FD9">
      <w:pPr>
        <w:suppressAutoHyphens w:val="0"/>
        <w:autoSpaceDE w:val="0"/>
        <w:autoSpaceDN w:val="0"/>
        <w:adjustRightInd w:val="0"/>
        <w:spacing w:line="276" w:lineRule="auto"/>
        <w:rPr>
          <w:rFonts w:eastAsiaTheme="minorEastAsia"/>
          <w:szCs w:val="24"/>
          <w:shd w:val="clear" w:color="auto" w:fill="FFFFFF"/>
          <w:lang w:eastAsia="ru-RU"/>
        </w:rPr>
      </w:pPr>
      <w:r w:rsidRPr="00175E32">
        <w:rPr>
          <w:rFonts w:eastAsiaTheme="minorEastAsia"/>
          <w:szCs w:val="24"/>
          <w:shd w:val="clear" w:color="auto" w:fill="FFFFFF"/>
          <w:lang w:eastAsia="ru-RU"/>
        </w:rPr>
        <w:t xml:space="preserve">В перечне проблемных объектов, для строительства которых привлекались денежные средства граждан, утвержденном </w:t>
      </w:r>
      <w:hyperlink r:id="rId9" w:history="1">
        <w:r w:rsidRPr="00175E32">
          <w:rPr>
            <w:rFonts w:eastAsiaTheme="minorEastAsia"/>
            <w:szCs w:val="24"/>
            <w:shd w:val="clear" w:color="auto" w:fill="FFFFFF"/>
            <w:lang w:eastAsia="ru-RU"/>
          </w:rPr>
          <w:t xml:space="preserve">постановлением Правительства Самарской области от 13.07.2011 № 329 (ред. от 09.06.2020) </w:t>
        </w:r>
      </w:hyperlink>
      <w:r w:rsidRPr="00175E32">
        <w:rPr>
          <w:rFonts w:eastAsiaTheme="minorEastAsia"/>
          <w:szCs w:val="24"/>
          <w:shd w:val="clear" w:color="auto" w:fill="FFFFFF"/>
          <w:lang w:eastAsia="ru-RU"/>
        </w:rPr>
        <w:t>на территории городского округа Тольятти в настоящее время находится 7 проблемных объектов:</w:t>
      </w:r>
    </w:p>
    <w:p w14:paraId="6B02CA14" w14:textId="77777777" w:rsidR="00E57FD9" w:rsidRPr="00175E32" w:rsidRDefault="00E57FD9" w:rsidP="00E57FD9">
      <w:pPr>
        <w:suppressAutoHyphens w:val="0"/>
        <w:autoSpaceDE w:val="0"/>
        <w:autoSpaceDN w:val="0"/>
        <w:adjustRightInd w:val="0"/>
        <w:spacing w:line="276" w:lineRule="auto"/>
        <w:rPr>
          <w:rFonts w:eastAsiaTheme="minorEastAsia"/>
          <w:szCs w:val="24"/>
          <w:shd w:val="clear" w:color="auto" w:fill="FFFFFF"/>
          <w:lang w:eastAsia="ru-RU"/>
        </w:rPr>
      </w:pPr>
      <w:r w:rsidRPr="00175E32">
        <w:rPr>
          <w:rFonts w:eastAsiaTheme="minorEastAsia"/>
          <w:szCs w:val="24"/>
          <w:shd w:val="clear" w:color="auto" w:fill="FFFFFF"/>
          <w:lang w:eastAsia="ru-RU"/>
        </w:rPr>
        <w:t>- комплекс жилых домов переменной этажности (5-14 этажей), расположенный в Автозаводском районе, по ул.40 лет Победы, 5;</w:t>
      </w:r>
    </w:p>
    <w:p w14:paraId="650F5733" w14:textId="77777777" w:rsidR="00E57FD9" w:rsidRPr="00175E32" w:rsidRDefault="00E57FD9" w:rsidP="00E57FD9">
      <w:pPr>
        <w:suppressAutoHyphens w:val="0"/>
        <w:autoSpaceDE w:val="0"/>
        <w:autoSpaceDN w:val="0"/>
        <w:adjustRightInd w:val="0"/>
        <w:spacing w:line="276" w:lineRule="auto"/>
        <w:rPr>
          <w:rFonts w:eastAsiaTheme="minorEastAsia"/>
          <w:szCs w:val="24"/>
          <w:shd w:val="clear" w:color="auto" w:fill="FFFFFF"/>
          <w:lang w:eastAsia="ru-RU"/>
        </w:rPr>
      </w:pPr>
      <w:r w:rsidRPr="00175E32">
        <w:rPr>
          <w:rFonts w:eastAsiaTheme="minorEastAsia"/>
          <w:szCs w:val="24"/>
          <w:shd w:val="clear" w:color="auto" w:fill="FFFFFF"/>
          <w:lang w:eastAsia="ru-RU"/>
        </w:rPr>
        <w:t xml:space="preserve">- жилой комплекс, расположенный по адресу: г. Тольятти, ул. </w:t>
      </w:r>
      <w:proofErr w:type="spellStart"/>
      <w:r w:rsidRPr="00175E32">
        <w:rPr>
          <w:rFonts w:eastAsiaTheme="minorEastAsia"/>
          <w:szCs w:val="24"/>
          <w:shd w:val="clear" w:color="auto" w:fill="FFFFFF"/>
          <w:lang w:eastAsia="ru-RU"/>
        </w:rPr>
        <w:t>Баныкина</w:t>
      </w:r>
      <w:proofErr w:type="spellEnd"/>
      <w:r w:rsidRPr="00175E32">
        <w:rPr>
          <w:rFonts w:eastAsiaTheme="minorEastAsia"/>
          <w:szCs w:val="24"/>
          <w:shd w:val="clear" w:color="auto" w:fill="FFFFFF"/>
          <w:lang w:eastAsia="ru-RU"/>
        </w:rPr>
        <w:t>, 5 очередь;</w:t>
      </w:r>
    </w:p>
    <w:p w14:paraId="18913C23" w14:textId="77777777" w:rsidR="00E57FD9" w:rsidRPr="00175E32" w:rsidRDefault="00E57FD9" w:rsidP="00E57FD9">
      <w:pPr>
        <w:suppressAutoHyphens w:val="0"/>
        <w:autoSpaceDE w:val="0"/>
        <w:autoSpaceDN w:val="0"/>
        <w:adjustRightInd w:val="0"/>
        <w:spacing w:line="276" w:lineRule="auto"/>
        <w:rPr>
          <w:rFonts w:eastAsiaTheme="minorEastAsia"/>
          <w:szCs w:val="24"/>
          <w:shd w:val="clear" w:color="auto" w:fill="FFFFFF"/>
          <w:lang w:eastAsia="ru-RU"/>
        </w:rPr>
      </w:pPr>
      <w:r w:rsidRPr="00175E32">
        <w:rPr>
          <w:rFonts w:eastAsiaTheme="minorEastAsia"/>
          <w:szCs w:val="24"/>
          <w:shd w:val="clear" w:color="auto" w:fill="FFFFFF"/>
          <w:lang w:eastAsia="ru-RU"/>
        </w:rPr>
        <w:t>- жилой дом, расположенный по ул. Коммунистической, 18А;</w:t>
      </w:r>
    </w:p>
    <w:p w14:paraId="16BCC0D1" w14:textId="77777777" w:rsidR="00E57FD9" w:rsidRPr="00175E32" w:rsidRDefault="00E57FD9" w:rsidP="00E57FD9">
      <w:pPr>
        <w:suppressAutoHyphens w:val="0"/>
        <w:autoSpaceDE w:val="0"/>
        <w:autoSpaceDN w:val="0"/>
        <w:adjustRightInd w:val="0"/>
        <w:spacing w:line="276" w:lineRule="auto"/>
        <w:rPr>
          <w:rFonts w:eastAsiaTheme="minorEastAsia"/>
          <w:szCs w:val="24"/>
          <w:shd w:val="clear" w:color="auto" w:fill="FFFFFF"/>
          <w:lang w:eastAsia="ru-RU"/>
        </w:rPr>
      </w:pPr>
      <w:r w:rsidRPr="00175E32">
        <w:rPr>
          <w:rFonts w:eastAsiaTheme="minorEastAsia"/>
          <w:szCs w:val="24"/>
          <w:shd w:val="clear" w:color="auto" w:fill="FFFFFF"/>
          <w:lang w:eastAsia="ru-RU"/>
        </w:rPr>
        <w:t>- жилой дом, расположенный в Автозаводском районе, квартал 20, Южное шоссе, в юго-восточном торце жилого дома № 45;</w:t>
      </w:r>
    </w:p>
    <w:p w14:paraId="623DCAF2" w14:textId="77777777" w:rsidR="00E57FD9" w:rsidRPr="00175E32" w:rsidRDefault="00E57FD9" w:rsidP="00E57FD9">
      <w:pPr>
        <w:suppressAutoHyphens w:val="0"/>
        <w:autoSpaceDE w:val="0"/>
        <w:autoSpaceDN w:val="0"/>
        <w:adjustRightInd w:val="0"/>
        <w:spacing w:line="276" w:lineRule="auto"/>
        <w:rPr>
          <w:rFonts w:eastAsiaTheme="minorEastAsia"/>
          <w:szCs w:val="24"/>
          <w:shd w:val="clear" w:color="auto" w:fill="FFFFFF"/>
          <w:lang w:eastAsia="ru-RU"/>
        </w:rPr>
      </w:pPr>
      <w:r w:rsidRPr="00175E32">
        <w:rPr>
          <w:rFonts w:eastAsiaTheme="minorEastAsia"/>
          <w:szCs w:val="24"/>
          <w:shd w:val="clear" w:color="auto" w:fill="FFFFFF"/>
          <w:lang w:eastAsia="ru-RU"/>
        </w:rPr>
        <w:t>- 7-ми этажный жилой дом, расположенный в Центральном р</w:t>
      </w:r>
      <w:r w:rsidR="00FC1C3D">
        <w:rPr>
          <w:rFonts w:eastAsiaTheme="minorEastAsia"/>
          <w:szCs w:val="24"/>
          <w:shd w:val="clear" w:color="auto" w:fill="FFFFFF"/>
          <w:lang w:eastAsia="ru-RU"/>
        </w:rPr>
        <w:t xml:space="preserve">айоне, ул. Ларина, 2; </w:t>
      </w:r>
    </w:p>
    <w:p w14:paraId="779F8884" w14:textId="77777777" w:rsidR="00E57FD9" w:rsidRPr="00175E32" w:rsidRDefault="00E57FD9" w:rsidP="00E57FD9">
      <w:pPr>
        <w:suppressAutoHyphens w:val="0"/>
        <w:autoSpaceDE w:val="0"/>
        <w:autoSpaceDN w:val="0"/>
        <w:adjustRightInd w:val="0"/>
        <w:spacing w:line="276" w:lineRule="auto"/>
        <w:rPr>
          <w:rFonts w:eastAsiaTheme="minorEastAsia"/>
          <w:szCs w:val="24"/>
          <w:shd w:val="clear" w:color="auto" w:fill="FFFFFF"/>
          <w:lang w:eastAsia="ru-RU"/>
        </w:rPr>
      </w:pPr>
      <w:r w:rsidRPr="00175E32">
        <w:rPr>
          <w:rFonts w:eastAsiaTheme="minorEastAsia"/>
          <w:szCs w:val="24"/>
          <w:shd w:val="clear" w:color="auto" w:fill="FFFFFF"/>
          <w:lang w:eastAsia="ru-RU"/>
        </w:rPr>
        <w:t>- жилой дом, расположенный в Комсомольском районе, юго-восточнее пересечения</w:t>
      </w:r>
      <w:r w:rsidRPr="00175E32">
        <w:rPr>
          <w:rFonts w:eastAsiaTheme="minorEastAsia"/>
          <w:szCs w:val="24"/>
          <w:shd w:val="clear" w:color="auto" w:fill="FFFF00"/>
          <w:lang w:eastAsia="ru-RU"/>
        </w:rPr>
        <w:t xml:space="preserve"> </w:t>
      </w:r>
      <w:r w:rsidRPr="00175E32">
        <w:rPr>
          <w:rFonts w:eastAsiaTheme="minorEastAsia"/>
          <w:szCs w:val="24"/>
          <w:shd w:val="clear" w:color="auto" w:fill="FFFFFF"/>
          <w:lang w:eastAsia="ru-RU"/>
        </w:rPr>
        <w:t>ул. Коммунистической и ул. Матросова;</w:t>
      </w:r>
    </w:p>
    <w:p w14:paraId="3E4531A8" w14:textId="77777777" w:rsidR="00E57FD9" w:rsidRPr="00175E32" w:rsidRDefault="00E57FD9" w:rsidP="00E57FD9">
      <w:pPr>
        <w:suppressAutoHyphens w:val="0"/>
        <w:autoSpaceDE w:val="0"/>
        <w:autoSpaceDN w:val="0"/>
        <w:adjustRightInd w:val="0"/>
        <w:spacing w:line="276" w:lineRule="auto"/>
        <w:rPr>
          <w:rFonts w:eastAsiaTheme="minorEastAsia"/>
          <w:szCs w:val="24"/>
          <w:shd w:val="clear" w:color="auto" w:fill="FFFFFF"/>
          <w:lang w:eastAsia="ru-RU"/>
        </w:rPr>
      </w:pPr>
      <w:r w:rsidRPr="00175E32">
        <w:rPr>
          <w:rFonts w:eastAsiaTheme="minorEastAsia"/>
          <w:szCs w:val="24"/>
          <w:shd w:val="clear" w:color="auto" w:fill="FFFFFF"/>
          <w:lang w:eastAsia="ru-RU"/>
        </w:rPr>
        <w:t>- жилой дом, расположенный в Комсомольском рай</w:t>
      </w:r>
      <w:r w:rsidR="00FC1C3D">
        <w:rPr>
          <w:rFonts w:eastAsiaTheme="minorEastAsia"/>
          <w:szCs w:val="24"/>
          <w:shd w:val="clear" w:color="auto" w:fill="FFFFFF"/>
          <w:lang w:eastAsia="ru-RU"/>
        </w:rPr>
        <w:t>оне, юго-западнее здания по ул. </w:t>
      </w:r>
      <w:r w:rsidRPr="00175E32">
        <w:rPr>
          <w:rFonts w:eastAsiaTheme="minorEastAsia"/>
          <w:szCs w:val="24"/>
          <w:shd w:val="clear" w:color="auto" w:fill="FFFFFF"/>
          <w:lang w:eastAsia="ru-RU"/>
        </w:rPr>
        <w:t>Коммунистическая, 12.</w:t>
      </w:r>
    </w:p>
    <w:p w14:paraId="7F8EBDB0" w14:textId="77777777" w:rsidR="00E57FD9" w:rsidRPr="00175E32" w:rsidRDefault="00E57FD9" w:rsidP="00E57FD9">
      <w:pPr>
        <w:suppressAutoHyphens w:val="0"/>
        <w:autoSpaceDE w:val="0"/>
        <w:autoSpaceDN w:val="0"/>
        <w:adjustRightInd w:val="0"/>
        <w:spacing w:line="276" w:lineRule="auto"/>
        <w:rPr>
          <w:rFonts w:eastAsiaTheme="minorEastAsia"/>
          <w:szCs w:val="24"/>
          <w:shd w:val="clear" w:color="auto" w:fill="FFFFFF"/>
          <w:lang w:eastAsia="ru-RU"/>
        </w:rPr>
      </w:pPr>
      <w:r w:rsidRPr="00175E32">
        <w:rPr>
          <w:rFonts w:eastAsiaTheme="minorEastAsia"/>
          <w:szCs w:val="24"/>
          <w:shd w:val="clear" w:color="auto" w:fill="FFFFFF"/>
          <w:lang w:eastAsia="ru-RU"/>
        </w:rPr>
        <w:t xml:space="preserve">Восстановление строительной отрасли </w:t>
      </w:r>
      <w:r w:rsidR="006975DC">
        <w:rPr>
          <w:szCs w:val="24"/>
        </w:rPr>
        <w:t>городского округа Тольятти</w:t>
      </w:r>
      <w:r w:rsidRPr="00175E32">
        <w:rPr>
          <w:rFonts w:eastAsiaTheme="minorEastAsia"/>
          <w:szCs w:val="24"/>
          <w:shd w:val="clear" w:color="auto" w:fill="FFFFFF"/>
          <w:lang w:eastAsia="ru-RU"/>
        </w:rPr>
        <w:t xml:space="preserve"> напрямую зависит от увеличения платежеспособности населения для приобретения жилья, повышения инвестиционного спроса на недвижимость, активности участия строительных компаний городского округа Тольятти в федеральных и областных программах.</w:t>
      </w:r>
    </w:p>
    <w:p w14:paraId="221009F7" w14:textId="77777777" w:rsidR="00E57FD9" w:rsidRPr="00175E32" w:rsidRDefault="00E57FD9" w:rsidP="00E57FD9">
      <w:pPr>
        <w:suppressAutoHyphens w:val="0"/>
        <w:autoSpaceDE w:val="0"/>
        <w:autoSpaceDN w:val="0"/>
        <w:adjustRightInd w:val="0"/>
        <w:spacing w:line="276" w:lineRule="auto"/>
        <w:rPr>
          <w:rFonts w:eastAsiaTheme="minorEastAsia"/>
          <w:szCs w:val="24"/>
          <w:lang w:eastAsia="ru-RU"/>
        </w:rPr>
      </w:pPr>
      <w:r w:rsidRPr="00175E32">
        <w:rPr>
          <w:rFonts w:eastAsiaTheme="minorEastAsia"/>
          <w:szCs w:val="24"/>
          <w:lang w:eastAsia="ru-RU"/>
        </w:rPr>
        <w:t>На территории городского округа Тольятти реализуется государственная программа Самарской области «Развитие жилищного строительства в Самарской области» до 2022 года, План мероприятий («дорожная карта») «Улучшение инвестиционного климата в сфере строительства на территории Самарской области».</w:t>
      </w:r>
    </w:p>
    <w:p w14:paraId="5C5B1A7A" w14:textId="77777777" w:rsidR="00E57FD9" w:rsidRPr="00175E32" w:rsidRDefault="00E57FD9" w:rsidP="00E57FD9">
      <w:pPr>
        <w:suppressAutoHyphens w:val="0"/>
        <w:autoSpaceDE w:val="0"/>
        <w:autoSpaceDN w:val="0"/>
        <w:adjustRightInd w:val="0"/>
        <w:spacing w:line="276" w:lineRule="auto"/>
        <w:rPr>
          <w:rFonts w:eastAsiaTheme="minorEastAsia"/>
          <w:szCs w:val="24"/>
          <w:shd w:val="clear" w:color="auto" w:fill="FFFF00"/>
          <w:lang w:eastAsia="ru-RU"/>
        </w:rPr>
      </w:pPr>
      <w:r w:rsidRPr="00175E32">
        <w:rPr>
          <w:rFonts w:eastAsiaTheme="minorEastAsia"/>
          <w:szCs w:val="24"/>
          <w:lang w:eastAsia="ru-RU"/>
        </w:rPr>
        <w:t xml:space="preserve">Предоставление молодым семьям социальных выплат осуществляется в рамках реализации подпрограммы «Оказание государственной поддержки гражданам в обеспечении жильем и оплате жилищно-коммунальных услуг» государственной программы РФ «Обеспечение доступным и комфортным жильем и коммунальными </w:t>
      </w:r>
      <w:r w:rsidRPr="00175E32">
        <w:rPr>
          <w:rFonts w:eastAsiaTheme="minorEastAsia"/>
          <w:szCs w:val="24"/>
          <w:lang w:eastAsia="ru-RU"/>
        </w:rPr>
        <w:lastRenderedPageBreak/>
        <w:t>услугами граждан Российской Федерации», утвержденной постановлением Правительства РФ от 30.12.2017 № 17</w:t>
      </w:r>
      <w:r w:rsidR="00FC1C3D">
        <w:rPr>
          <w:rFonts w:eastAsiaTheme="minorEastAsia"/>
          <w:szCs w:val="24"/>
          <w:lang w:eastAsia="ru-RU"/>
        </w:rPr>
        <w:t>10, подпрограммы «Молодой семье</w:t>
      </w:r>
      <w:r w:rsidRPr="00175E32">
        <w:rPr>
          <w:rFonts w:eastAsiaTheme="minorEastAsia"/>
          <w:szCs w:val="24"/>
          <w:lang w:eastAsia="ru-RU"/>
        </w:rPr>
        <w:t>–доступное жилье» до 2022 года государственной программы Самарской области «Развитие жилищного строительства в Самарской области» до 2022 года, муниципальной программы городского округа Тольятти «Молодой семье – досту</w:t>
      </w:r>
      <w:r w:rsidR="00FC1C3D">
        <w:rPr>
          <w:rFonts w:eastAsiaTheme="minorEastAsia"/>
          <w:szCs w:val="24"/>
          <w:lang w:eastAsia="ru-RU"/>
        </w:rPr>
        <w:t>пное жилье» на 2014-2022 годы.</w:t>
      </w:r>
    </w:p>
    <w:p w14:paraId="2E139AAE" w14:textId="77777777" w:rsidR="00E57FD9" w:rsidRPr="00175E32" w:rsidRDefault="00E57FD9" w:rsidP="00E57FD9">
      <w:pPr>
        <w:suppressAutoHyphens w:val="0"/>
        <w:autoSpaceDE w:val="0"/>
        <w:autoSpaceDN w:val="0"/>
        <w:adjustRightInd w:val="0"/>
        <w:spacing w:line="276" w:lineRule="auto"/>
        <w:rPr>
          <w:rFonts w:eastAsiaTheme="minorEastAsia"/>
          <w:szCs w:val="24"/>
          <w:lang w:eastAsia="ru-RU"/>
        </w:rPr>
      </w:pPr>
      <w:r w:rsidRPr="00175E32">
        <w:rPr>
          <w:rFonts w:eastAsiaTheme="minorEastAsia"/>
          <w:szCs w:val="24"/>
          <w:lang w:eastAsia="ru-RU"/>
        </w:rPr>
        <w:t xml:space="preserve">Выполнение мероприятий подпрограммы обеспечивается </w:t>
      </w:r>
      <w:proofErr w:type="spellStart"/>
      <w:r w:rsidRPr="00175E32">
        <w:rPr>
          <w:rFonts w:eastAsiaTheme="minorEastAsia"/>
          <w:szCs w:val="24"/>
          <w:lang w:eastAsia="ru-RU"/>
        </w:rPr>
        <w:t>софинансированием</w:t>
      </w:r>
      <w:proofErr w:type="spellEnd"/>
      <w:r w:rsidRPr="00175E32">
        <w:rPr>
          <w:rFonts w:eastAsiaTheme="minorEastAsia"/>
          <w:szCs w:val="24"/>
          <w:lang w:eastAsia="ru-RU"/>
        </w:rPr>
        <w:t xml:space="preserve"> средств федерального бюджета, бюджета Самарской области и бюджета городского округа Тольятти.</w:t>
      </w:r>
    </w:p>
    <w:p w14:paraId="4121CF51" w14:textId="77777777" w:rsidR="00E57FD9" w:rsidRPr="00175E32" w:rsidRDefault="00E57FD9" w:rsidP="00E57FD9">
      <w:pPr>
        <w:suppressAutoHyphens w:val="0"/>
        <w:autoSpaceDE w:val="0"/>
        <w:autoSpaceDN w:val="0"/>
        <w:adjustRightInd w:val="0"/>
        <w:spacing w:line="276" w:lineRule="auto"/>
        <w:rPr>
          <w:rFonts w:eastAsiaTheme="minorEastAsia"/>
          <w:szCs w:val="24"/>
          <w:lang w:eastAsia="ru-RU"/>
        </w:rPr>
      </w:pPr>
      <w:r w:rsidRPr="00175E32">
        <w:rPr>
          <w:rFonts w:eastAsiaTheme="minorEastAsia"/>
          <w:szCs w:val="24"/>
          <w:lang w:eastAsia="ru-RU"/>
        </w:rPr>
        <w:t>В 2020 году в число получателей социальной выплаты из списка молодых семей – претендентов, утвержденного Губернатором Самарской области, вошли 675 молодых семей городского округа</w:t>
      </w:r>
      <w:r w:rsidR="00FB71FD" w:rsidRPr="00175E32">
        <w:rPr>
          <w:rFonts w:eastAsiaTheme="minorEastAsia"/>
          <w:szCs w:val="24"/>
          <w:lang w:eastAsia="ru-RU"/>
        </w:rPr>
        <w:t xml:space="preserve"> Тольятти</w:t>
      </w:r>
      <w:r w:rsidRPr="00175E32">
        <w:rPr>
          <w:rFonts w:eastAsiaTheme="minorEastAsia"/>
          <w:szCs w:val="24"/>
          <w:lang w:eastAsia="ru-RU"/>
        </w:rPr>
        <w:t>.</w:t>
      </w:r>
    </w:p>
    <w:p w14:paraId="491B228D" w14:textId="77777777" w:rsidR="00E57FD9" w:rsidRPr="00175E32" w:rsidRDefault="00E57FD9" w:rsidP="00E57FD9">
      <w:pPr>
        <w:suppressAutoHyphens w:val="0"/>
        <w:autoSpaceDE w:val="0"/>
        <w:autoSpaceDN w:val="0"/>
        <w:adjustRightInd w:val="0"/>
        <w:spacing w:line="276" w:lineRule="auto"/>
        <w:rPr>
          <w:rFonts w:eastAsiaTheme="minorEastAsia"/>
          <w:szCs w:val="24"/>
          <w:lang w:eastAsia="ru-RU"/>
        </w:rPr>
      </w:pPr>
      <w:r w:rsidRPr="00175E32">
        <w:rPr>
          <w:rFonts w:eastAsiaTheme="minorEastAsia"/>
          <w:szCs w:val="24"/>
          <w:lang w:eastAsia="ru-RU"/>
        </w:rPr>
        <w:t>В бюджете городского округа Тольятти в 2020 году на предоставление социальных выплат на улучшение жилищных условий молодых семей предусмотрены средства в размере 131</w:t>
      </w:r>
      <w:r w:rsidR="00C704AE">
        <w:rPr>
          <w:rFonts w:eastAsiaTheme="minorEastAsia"/>
          <w:szCs w:val="24"/>
          <w:lang w:eastAsia="ru-RU"/>
        </w:rPr>
        <w:t xml:space="preserve"> </w:t>
      </w:r>
      <w:r w:rsidRPr="00175E32">
        <w:rPr>
          <w:rFonts w:eastAsiaTheme="minorEastAsia"/>
          <w:szCs w:val="24"/>
          <w:lang w:eastAsia="ru-RU"/>
        </w:rPr>
        <w:t xml:space="preserve">792,0 тыс. </w:t>
      </w:r>
      <w:r w:rsidR="008D7A93" w:rsidRPr="00175E32">
        <w:rPr>
          <w:rFonts w:eastAsiaTheme="minorEastAsia"/>
          <w:szCs w:val="24"/>
          <w:lang w:eastAsia="ru-RU"/>
        </w:rPr>
        <w:t>рублей</w:t>
      </w:r>
      <w:r w:rsidR="00C704AE">
        <w:rPr>
          <w:rFonts w:eastAsiaTheme="minorEastAsia"/>
          <w:szCs w:val="24"/>
          <w:lang w:eastAsia="ru-RU"/>
        </w:rPr>
        <w:t>.</w:t>
      </w:r>
      <w:r w:rsidRPr="00175E32">
        <w:rPr>
          <w:rFonts w:eastAsiaTheme="minorEastAsia"/>
          <w:szCs w:val="24"/>
          <w:lang w:eastAsia="ru-RU"/>
        </w:rPr>
        <w:t xml:space="preserve"> На 01.07.2020 свидетельства о праве на получение социальной выплаты получили 647 молодых семей.</w:t>
      </w:r>
    </w:p>
    <w:p w14:paraId="31096A0B" w14:textId="77777777" w:rsidR="00E57FD9" w:rsidRPr="00175E32" w:rsidRDefault="00E57FD9" w:rsidP="00E57FD9">
      <w:pPr>
        <w:suppressAutoHyphens w:val="0"/>
        <w:autoSpaceDE w:val="0"/>
        <w:autoSpaceDN w:val="0"/>
        <w:adjustRightInd w:val="0"/>
        <w:spacing w:line="276" w:lineRule="auto"/>
        <w:rPr>
          <w:rFonts w:eastAsiaTheme="minorEastAsia"/>
          <w:szCs w:val="24"/>
          <w:lang w:eastAsia="ru-RU"/>
        </w:rPr>
      </w:pPr>
      <w:r w:rsidRPr="00175E32">
        <w:rPr>
          <w:rFonts w:eastAsiaTheme="minorEastAsia"/>
          <w:szCs w:val="24"/>
          <w:lang w:eastAsia="ru-RU"/>
        </w:rPr>
        <w:t xml:space="preserve">В отчетном периоде был утвержден норматив стоимости 1 квадратного метра общей площади жилого помещения по городскому округу Тольятти на 1 и 2 кварталы 2020 года для расчета размеров социальных выплат </w:t>
      </w:r>
      <w:r w:rsidR="00FC1C3D">
        <w:rPr>
          <w:rFonts w:eastAsiaTheme="minorEastAsia"/>
          <w:szCs w:val="24"/>
          <w:lang w:eastAsia="ru-RU"/>
        </w:rPr>
        <w:t>молодым семьям в размере 36 674 </w:t>
      </w:r>
      <w:r w:rsidR="008A1EBE">
        <w:rPr>
          <w:rFonts w:eastAsiaTheme="minorEastAsia"/>
          <w:szCs w:val="24"/>
          <w:lang w:eastAsia="ru-RU"/>
        </w:rPr>
        <w:t>рублей.</w:t>
      </w:r>
    </w:p>
    <w:p w14:paraId="5135F446" w14:textId="77777777" w:rsidR="00E57FD9" w:rsidRPr="00175E32" w:rsidRDefault="00E57FD9" w:rsidP="00E57FD9">
      <w:pPr>
        <w:widowControl w:val="0"/>
        <w:suppressAutoHyphens w:val="0"/>
        <w:autoSpaceDE w:val="0"/>
        <w:autoSpaceDN w:val="0"/>
        <w:adjustRightInd w:val="0"/>
        <w:spacing w:line="276" w:lineRule="auto"/>
        <w:rPr>
          <w:rFonts w:eastAsiaTheme="minorEastAsia"/>
          <w:szCs w:val="24"/>
          <w:lang w:eastAsia="ru-RU"/>
        </w:rPr>
      </w:pPr>
      <w:r w:rsidRPr="00175E32">
        <w:rPr>
          <w:rFonts w:eastAsiaTheme="minorEastAsia"/>
          <w:szCs w:val="24"/>
          <w:lang w:eastAsia="ru-RU"/>
        </w:rPr>
        <w:t>По состоянию на 01.07.2020 на учете для обеспечения жилыми помещениями за счет средств федерального и областного бюджетов состоят 406 получателей из числа льготных категорий граждан в соответствии с действующим законода</w:t>
      </w:r>
      <w:r w:rsidR="008A1EBE">
        <w:rPr>
          <w:rFonts w:eastAsiaTheme="minorEastAsia"/>
          <w:szCs w:val="24"/>
          <w:lang w:eastAsia="ru-RU"/>
        </w:rPr>
        <w:t>тельством Российской Федерации.</w:t>
      </w:r>
    </w:p>
    <w:p w14:paraId="1DE8F7D3" w14:textId="77777777" w:rsidR="00E57FD9" w:rsidRPr="00175E32" w:rsidRDefault="00E57FD9" w:rsidP="00E57FD9">
      <w:pPr>
        <w:suppressAutoHyphens w:val="0"/>
        <w:autoSpaceDE w:val="0"/>
        <w:autoSpaceDN w:val="0"/>
        <w:adjustRightInd w:val="0"/>
        <w:spacing w:line="276" w:lineRule="auto"/>
        <w:rPr>
          <w:color w:val="000000"/>
          <w:szCs w:val="24"/>
          <w:lang w:eastAsia="ru-RU"/>
        </w:rPr>
      </w:pPr>
      <w:r w:rsidRPr="00175E32">
        <w:rPr>
          <w:color w:val="000000"/>
          <w:szCs w:val="24"/>
          <w:lang w:eastAsia="ru-RU"/>
        </w:rPr>
        <w:t>В 1 полугодии 2020 года перечислены су</w:t>
      </w:r>
      <w:r w:rsidR="008A1EBE">
        <w:rPr>
          <w:color w:val="000000"/>
          <w:szCs w:val="24"/>
          <w:lang w:eastAsia="ru-RU"/>
        </w:rPr>
        <w:t>бвенции в размере 20 611,1 тыс. </w:t>
      </w:r>
      <w:r w:rsidRPr="00175E32">
        <w:rPr>
          <w:color w:val="000000"/>
          <w:szCs w:val="24"/>
          <w:lang w:eastAsia="ru-RU"/>
        </w:rPr>
        <w:t>рублей на предоставление 16 социальных выплат, выдано 13 государственных жилищных сертификата, приобретено 3 квартиры для обеспечения жилыми помещениями муниципального жилищного фонда по договорам социального найма.</w:t>
      </w:r>
    </w:p>
    <w:p w14:paraId="0D781DB1" w14:textId="77777777" w:rsidR="00974690" w:rsidRDefault="00974690" w:rsidP="0048723E">
      <w:pPr>
        <w:pStyle w:val="3"/>
      </w:pPr>
    </w:p>
    <w:p w14:paraId="5417C014" w14:textId="77777777" w:rsidR="00DF1951" w:rsidRPr="00175E32" w:rsidRDefault="008A1EBE" w:rsidP="008A1EBE">
      <w:pPr>
        <w:pStyle w:val="3"/>
        <w:ind w:left="0" w:firstLine="0"/>
      </w:pPr>
      <w:r>
        <w:t>Финансы</w:t>
      </w:r>
    </w:p>
    <w:p w14:paraId="2E30A29F" w14:textId="77777777" w:rsidR="00974690" w:rsidRDefault="00974690" w:rsidP="00974690">
      <w:pPr>
        <w:keepNext/>
        <w:tabs>
          <w:tab w:val="num" w:pos="0"/>
        </w:tabs>
        <w:spacing w:line="276" w:lineRule="auto"/>
        <w:ind w:firstLine="690"/>
        <w:rPr>
          <w:color w:val="000000"/>
          <w:szCs w:val="24"/>
          <w:lang w:eastAsia="ru-RU"/>
        </w:rPr>
      </w:pPr>
    </w:p>
    <w:p w14:paraId="1ADB820F" w14:textId="77777777" w:rsidR="00EB7B3A" w:rsidRPr="00175E32" w:rsidRDefault="00EB7B3A" w:rsidP="00974690">
      <w:pPr>
        <w:keepNext/>
        <w:tabs>
          <w:tab w:val="num" w:pos="0"/>
        </w:tabs>
        <w:spacing w:line="276" w:lineRule="auto"/>
        <w:ind w:firstLine="690"/>
        <w:rPr>
          <w:color w:val="000000"/>
          <w:szCs w:val="24"/>
          <w:lang w:eastAsia="ru-RU"/>
        </w:rPr>
      </w:pPr>
      <w:r w:rsidRPr="00175E32">
        <w:rPr>
          <w:color w:val="000000"/>
          <w:szCs w:val="24"/>
          <w:lang w:eastAsia="ru-RU"/>
        </w:rPr>
        <w:t>Ограничительные меры, введенные в условиях глобальной пандемии, оказали негативное влияние на финансовые показатели деятельности крупных и средних организаций городского округа Тольятти.</w:t>
      </w:r>
    </w:p>
    <w:p w14:paraId="72193A2F" w14:textId="77777777" w:rsidR="003B681E" w:rsidRPr="006E7CE4" w:rsidRDefault="0033425F" w:rsidP="006E7CE4">
      <w:pPr>
        <w:widowControl w:val="0"/>
        <w:tabs>
          <w:tab w:val="num" w:pos="0"/>
        </w:tabs>
        <w:spacing w:line="276" w:lineRule="auto"/>
        <w:ind w:firstLine="690"/>
        <w:rPr>
          <w:color w:val="000000"/>
          <w:szCs w:val="24"/>
          <w:lang w:eastAsia="ru-RU"/>
        </w:rPr>
      </w:pPr>
      <w:r w:rsidRPr="006E7CE4">
        <w:rPr>
          <w:color w:val="000000"/>
          <w:szCs w:val="24"/>
          <w:lang w:eastAsia="ru-RU"/>
        </w:rPr>
        <w:t xml:space="preserve">В </w:t>
      </w:r>
      <w:r w:rsidR="00C704AE">
        <w:rPr>
          <w:color w:val="000000"/>
          <w:szCs w:val="24"/>
          <w:lang w:eastAsia="ru-RU"/>
        </w:rPr>
        <w:t>1</w:t>
      </w:r>
      <w:r w:rsidRPr="006E7CE4">
        <w:rPr>
          <w:color w:val="000000"/>
          <w:szCs w:val="24"/>
          <w:lang w:eastAsia="ru-RU"/>
        </w:rPr>
        <w:t xml:space="preserve"> полугодии 2020 года </w:t>
      </w:r>
      <w:r w:rsidR="003B681E" w:rsidRPr="006E7CE4">
        <w:rPr>
          <w:color w:val="000000"/>
          <w:szCs w:val="24"/>
          <w:lang w:eastAsia="ru-RU"/>
        </w:rPr>
        <w:t xml:space="preserve">положительный сальдированный финансовый результат по сравнению с </w:t>
      </w:r>
      <w:r w:rsidR="00C704AE">
        <w:rPr>
          <w:color w:val="000000"/>
          <w:szCs w:val="24"/>
          <w:lang w:eastAsia="ru-RU"/>
        </w:rPr>
        <w:t>1</w:t>
      </w:r>
      <w:r w:rsidR="003B681E" w:rsidRPr="006E7CE4">
        <w:rPr>
          <w:color w:val="000000"/>
          <w:szCs w:val="24"/>
          <w:lang w:eastAsia="ru-RU"/>
        </w:rPr>
        <w:t xml:space="preserve"> полугодием 2019 года снизился на 61</w:t>
      </w:r>
      <w:r w:rsidR="00C704AE">
        <w:rPr>
          <w:color w:val="000000"/>
          <w:szCs w:val="24"/>
          <w:lang w:eastAsia="ru-RU"/>
        </w:rPr>
        <w:t>,0</w:t>
      </w:r>
      <w:r w:rsidR="003B681E" w:rsidRPr="006E7CE4">
        <w:rPr>
          <w:color w:val="000000"/>
          <w:szCs w:val="24"/>
          <w:lang w:eastAsia="ru-RU"/>
        </w:rPr>
        <w:t>%</w:t>
      </w:r>
      <w:r w:rsidRPr="006E7CE4">
        <w:rPr>
          <w:color w:val="000000"/>
          <w:szCs w:val="24"/>
          <w:lang w:eastAsia="ru-RU"/>
        </w:rPr>
        <w:t xml:space="preserve"> до 7 243,2 млн. рублей</w:t>
      </w:r>
      <w:r w:rsidR="003B681E" w:rsidRPr="006E7CE4">
        <w:rPr>
          <w:color w:val="000000"/>
          <w:szCs w:val="24"/>
          <w:lang w:eastAsia="ru-RU"/>
        </w:rPr>
        <w:t>, в том числе:</w:t>
      </w:r>
    </w:p>
    <w:p w14:paraId="4CDA1AE1" w14:textId="77777777" w:rsidR="003B681E" w:rsidRPr="006E7CE4" w:rsidRDefault="003B681E" w:rsidP="006E7CE4">
      <w:pPr>
        <w:widowControl w:val="0"/>
        <w:tabs>
          <w:tab w:val="num" w:pos="0"/>
        </w:tabs>
        <w:spacing w:line="276" w:lineRule="auto"/>
        <w:ind w:firstLine="690"/>
        <w:rPr>
          <w:color w:val="000000"/>
          <w:szCs w:val="24"/>
          <w:lang w:eastAsia="ru-RU"/>
        </w:rPr>
      </w:pPr>
      <w:r w:rsidRPr="006E7CE4">
        <w:rPr>
          <w:color w:val="000000"/>
          <w:szCs w:val="24"/>
          <w:lang w:eastAsia="ru-RU"/>
        </w:rPr>
        <w:t>- прибыль</w:t>
      </w:r>
      <w:r w:rsidR="0033425F" w:rsidRPr="006E7CE4">
        <w:rPr>
          <w:color w:val="000000"/>
          <w:szCs w:val="24"/>
          <w:lang w:eastAsia="ru-RU"/>
        </w:rPr>
        <w:t xml:space="preserve"> крупных и средних организаций</w:t>
      </w:r>
      <w:r w:rsidRPr="006E7CE4">
        <w:rPr>
          <w:color w:val="000000"/>
          <w:szCs w:val="24"/>
          <w:lang w:eastAsia="ru-RU"/>
        </w:rPr>
        <w:t xml:space="preserve"> </w:t>
      </w:r>
      <w:r w:rsidR="0033425F" w:rsidRPr="006E7CE4">
        <w:rPr>
          <w:color w:val="000000"/>
          <w:szCs w:val="24"/>
          <w:lang w:eastAsia="ru-RU"/>
        </w:rPr>
        <w:t>сократилась</w:t>
      </w:r>
      <w:r w:rsidRPr="006E7CE4">
        <w:rPr>
          <w:color w:val="000000"/>
          <w:szCs w:val="24"/>
          <w:lang w:eastAsia="ru-RU"/>
        </w:rPr>
        <w:t xml:space="preserve"> на 48,4% </w:t>
      </w:r>
      <w:r w:rsidR="008A1EBE">
        <w:rPr>
          <w:color w:val="000000"/>
          <w:szCs w:val="24"/>
          <w:lang w:eastAsia="ru-RU"/>
        </w:rPr>
        <w:t>до 10 893,1 </w:t>
      </w:r>
      <w:r w:rsidR="0033425F" w:rsidRPr="006E7CE4">
        <w:rPr>
          <w:color w:val="000000"/>
          <w:szCs w:val="24"/>
          <w:lang w:eastAsia="ru-RU"/>
        </w:rPr>
        <w:t xml:space="preserve">млн. рублей, в основном, за счёт снижения на 60,8% прибыли химических производств, </w:t>
      </w:r>
      <w:r w:rsidRPr="006E7CE4">
        <w:rPr>
          <w:color w:val="000000"/>
          <w:szCs w:val="24"/>
          <w:lang w:eastAsia="ru-RU"/>
        </w:rPr>
        <w:t xml:space="preserve">что обусловлено </w:t>
      </w:r>
      <w:r w:rsidR="00C704AE">
        <w:rPr>
          <w:color w:val="000000"/>
          <w:szCs w:val="24"/>
          <w:lang w:eastAsia="ru-RU"/>
        </w:rPr>
        <w:t>сокращением</w:t>
      </w:r>
      <w:r w:rsidRPr="006E7CE4">
        <w:rPr>
          <w:color w:val="000000"/>
          <w:szCs w:val="24"/>
          <w:lang w:eastAsia="ru-RU"/>
        </w:rPr>
        <w:t xml:space="preserve"> с декабря 2019 года закупок сырья из Китая для химического производства, а также сокращением экспорта химической продукции, по причине ограничения поставок иностранным потребителям;</w:t>
      </w:r>
    </w:p>
    <w:p w14:paraId="664602AD" w14:textId="77777777" w:rsidR="0033425F" w:rsidRPr="006E7CE4" w:rsidRDefault="003B681E" w:rsidP="006E7CE4">
      <w:pPr>
        <w:widowControl w:val="0"/>
        <w:tabs>
          <w:tab w:val="num" w:pos="0"/>
        </w:tabs>
        <w:spacing w:line="276" w:lineRule="auto"/>
        <w:ind w:firstLine="690"/>
        <w:rPr>
          <w:color w:val="000000"/>
          <w:szCs w:val="24"/>
          <w:lang w:eastAsia="ru-RU"/>
        </w:rPr>
      </w:pPr>
      <w:r w:rsidRPr="006E7CE4">
        <w:rPr>
          <w:color w:val="000000"/>
          <w:szCs w:val="24"/>
          <w:lang w:eastAsia="ru-RU"/>
        </w:rPr>
        <w:t xml:space="preserve">- убыток </w:t>
      </w:r>
      <w:r w:rsidR="0033425F" w:rsidRPr="006E7CE4">
        <w:rPr>
          <w:color w:val="000000"/>
          <w:szCs w:val="24"/>
          <w:lang w:eastAsia="ru-RU"/>
        </w:rPr>
        <w:t xml:space="preserve">крупных и средних организаций </w:t>
      </w:r>
      <w:r w:rsidRPr="006E7CE4">
        <w:rPr>
          <w:color w:val="000000"/>
          <w:szCs w:val="24"/>
          <w:lang w:eastAsia="ru-RU"/>
        </w:rPr>
        <w:t>вырос на 47</w:t>
      </w:r>
      <w:r w:rsidR="00C704AE">
        <w:rPr>
          <w:color w:val="000000"/>
          <w:szCs w:val="24"/>
          <w:lang w:eastAsia="ru-RU"/>
        </w:rPr>
        <w:t>,0</w:t>
      </w:r>
      <w:r w:rsidRPr="006E7CE4">
        <w:rPr>
          <w:color w:val="000000"/>
          <w:szCs w:val="24"/>
          <w:lang w:eastAsia="ru-RU"/>
        </w:rPr>
        <w:t>%</w:t>
      </w:r>
      <w:r w:rsidR="0033425F" w:rsidRPr="006E7CE4">
        <w:rPr>
          <w:color w:val="000000"/>
          <w:szCs w:val="24"/>
          <w:lang w:eastAsia="ru-RU"/>
        </w:rPr>
        <w:t xml:space="preserve"> и составил 3 649,9 млн. рублей, в основном, за счёт роста в 3,0 раза убытка одного из предприятия химического производства, а также в 2,4 раза убытка в производстве автотранспортных средств.</w:t>
      </w:r>
    </w:p>
    <w:p w14:paraId="26E197FE" w14:textId="77777777" w:rsidR="003B681E" w:rsidRPr="006E7CE4" w:rsidRDefault="003B681E" w:rsidP="006E7CE4">
      <w:pPr>
        <w:widowControl w:val="0"/>
        <w:tabs>
          <w:tab w:val="num" w:pos="0"/>
        </w:tabs>
        <w:spacing w:line="276" w:lineRule="auto"/>
        <w:ind w:firstLine="690"/>
        <w:rPr>
          <w:color w:val="000000"/>
          <w:szCs w:val="24"/>
          <w:lang w:eastAsia="ru-RU"/>
        </w:rPr>
      </w:pPr>
      <w:r w:rsidRPr="006E7CE4">
        <w:rPr>
          <w:color w:val="000000"/>
          <w:szCs w:val="24"/>
          <w:lang w:eastAsia="ru-RU"/>
        </w:rPr>
        <w:lastRenderedPageBreak/>
        <w:t xml:space="preserve">Более трети (35,6%) крупных и средних организаций </w:t>
      </w:r>
      <w:r w:rsidR="00C704AE">
        <w:rPr>
          <w:color w:val="000000"/>
          <w:szCs w:val="24"/>
          <w:lang w:eastAsia="ru-RU"/>
        </w:rPr>
        <w:t xml:space="preserve">городского округа </w:t>
      </w:r>
      <w:r w:rsidRPr="006E7CE4">
        <w:rPr>
          <w:color w:val="000000"/>
          <w:szCs w:val="24"/>
          <w:lang w:eastAsia="ru-RU"/>
        </w:rPr>
        <w:t xml:space="preserve">Тольятти – убыточны. Наибольшая доля убыточных организаций - в полиграфической деятельности и в деятельности в области культуры, спорта, организации досуга и развлечений (по 100%), в деятельности гостиниц и предприятий общественного питания и в производстве машин и оборудования (по 80%), в производстве готовых металлических изделий (75%), в ремонте и монтаже оборудования (60%). </w:t>
      </w:r>
    </w:p>
    <w:p w14:paraId="3790A964" w14:textId="77777777" w:rsidR="003B681E" w:rsidRPr="006E7CE4" w:rsidRDefault="003B681E" w:rsidP="006E7CE4">
      <w:pPr>
        <w:widowControl w:val="0"/>
        <w:tabs>
          <w:tab w:val="num" w:pos="0"/>
        </w:tabs>
        <w:spacing w:line="276" w:lineRule="auto"/>
        <w:ind w:firstLine="690"/>
        <w:rPr>
          <w:color w:val="000000"/>
          <w:szCs w:val="24"/>
          <w:lang w:eastAsia="ru-RU"/>
        </w:rPr>
      </w:pPr>
      <w:r w:rsidRPr="006E7CE4">
        <w:rPr>
          <w:color w:val="000000"/>
          <w:szCs w:val="24"/>
          <w:lang w:eastAsia="ru-RU"/>
        </w:rPr>
        <w:t>На 01.07.2020 от налогоплательщиков городского округа Тольятти в бюджетную систему Российской Федерации поступило налоговы</w:t>
      </w:r>
      <w:r w:rsidR="008A1EBE">
        <w:rPr>
          <w:color w:val="000000"/>
          <w:szCs w:val="24"/>
          <w:lang w:eastAsia="ru-RU"/>
        </w:rPr>
        <w:t>х доходов, администрируемых ФНС </w:t>
      </w:r>
      <w:r w:rsidRPr="006E7CE4">
        <w:rPr>
          <w:color w:val="000000"/>
          <w:szCs w:val="24"/>
          <w:lang w:eastAsia="ru-RU"/>
        </w:rPr>
        <w:t xml:space="preserve">России, на сумму 20 534,8 млн. рублей (-4,5% от уровня 1 полугодия прошлого года, в основном, за счет снижения поступлений налога на прибыль и НДС), в том числе: в бюджет Российской Федерации зачислено – 7 026,7 млн. рублей, в консолидированный бюджет Самарской области – 13 508,2 млн. рублей (или 14,9% в общем объеме налоговых доходов областного консолидированного бюджета), из них зачислено в бюджет городского округа </w:t>
      </w:r>
      <w:r w:rsidR="00C704AE">
        <w:rPr>
          <w:color w:val="000000"/>
          <w:szCs w:val="24"/>
          <w:lang w:eastAsia="ru-RU"/>
        </w:rPr>
        <w:t xml:space="preserve">Тольятти </w:t>
      </w:r>
      <w:r w:rsidRPr="006E7CE4">
        <w:rPr>
          <w:color w:val="000000"/>
          <w:szCs w:val="24"/>
          <w:lang w:eastAsia="ru-RU"/>
        </w:rPr>
        <w:t>– 2 372,6 млн. рублей (или 11,6% от общего объема налоговых доходов, собранных на территории городского округа Тольятти).</w:t>
      </w:r>
    </w:p>
    <w:p w14:paraId="43BF2B0F" w14:textId="77777777" w:rsidR="003B681E" w:rsidRPr="006E7CE4" w:rsidRDefault="003B681E" w:rsidP="006E7CE4">
      <w:pPr>
        <w:widowControl w:val="0"/>
        <w:tabs>
          <w:tab w:val="num" w:pos="0"/>
        </w:tabs>
        <w:spacing w:line="276" w:lineRule="auto"/>
        <w:ind w:firstLine="690"/>
        <w:rPr>
          <w:color w:val="000000"/>
          <w:szCs w:val="24"/>
          <w:lang w:eastAsia="ru-RU"/>
        </w:rPr>
      </w:pPr>
      <w:r w:rsidRPr="006E7CE4">
        <w:rPr>
          <w:color w:val="000000"/>
          <w:szCs w:val="24"/>
          <w:lang w:eastAsia="ru-RU"/>
        </w:rPr>
        <w:t>По видам налогов налоговые доходы, администрируемые ФНС России, составили:</w:t>
      </w:r>
    </w:p>
    <w:p w14:paraId="17E3AE1A" w14:textId="77777777" w:rsidR="003B681E" w:rsidRPr="006E7CE4" w:rsidRDefault="003B681E" w:rsidP="006E7CE4">
      <w:pPr>
        <w:widowControl w:val="0"/>
        <w:tabs>
          <w:tab w:val="num" w:pos="0"/>
        </w:tabs>
        <w:spacing w:line="276" w:lineRule="auto"/>
        <w:ind w:firstLine="690"/>
        <w:rPr>
          <w:color w:val="000000"/>
          <w:szCs w:val="24"/>
          <w:lang w:eastAsia="ru-RU"/>
        </w:rPr>
      </w:pPr>
      <w:r w:rsidRPr="006E7CE4">
        <w:rPr>
          <w:color w:val="000000"/>
          <w:szCs w:val="24"/>
          <w:lang w:eastAsia="ru-RU"/>
        </w:rPr>
        <w:t>а) налоги на прибыль, доходы – 11 830,3 млн. рублей (+0,9% к уровню соответствующего периода прошлого года), в том чис</w:t>
      </w:r>
      <w:r w:rsidR="008A1EBE">
        <w:rPr>
          <w:color w:val="000000"/>
          <w:szCs w:val="24"/>
          <w:lang w:eastAsia="ru-RU"/>
        </w:rPr>
        <w:t>ле:</w:t>
      </w:r>
    </w:p>
    <w:p w14:paraId="149AD225" w14:textId="77777777" w:rsidR="003B681E" w:rsidRPr="006E7CE4" w:rsidRDefault="003B681E" w:rsidP="006E7CE4">
      <w:pPr>
        <w:widowControl w:val="0"/>
        <w:tabs>
          <w:tab w:val="num" w:pos="0"/>
        </w:tabs>
        <w:spacing w:line="276" w:lineRule="auto"/>
        <w:ind w:firstLine="690"/>
        <w:rPr>
          <w:color w:val="000000"/>
          <w:szCs w:val="24"/>
          <w:lang w:eastAsia="ru-RU"/>
        </w:rPr>
      </w:pPr>
      <w:r w:rsidRPr="006E7CE4">
        <w:rPr>
          <w:color w:val="000000"/>
          <w:szCs w:val="24"/>
          <w:lang w:eastAsia="ru-RU"/>
        </w:rPr>
        <w:t>- налог на прибыль организаций – 6037,6 млн. рублей (+4,3%), в основном, за счёт роста в январе-марте 2020 года поступлений авансовых платежей крупных организаций от прибыли, пол</w:t>
      </w:r>
      <w:r w:rsidR="008A1EBE">
        <w:rPr>
          <w:color w:val="000000"/>
          <w:szCs w:val="24"/>
          <w:lang w:eastAsia="ru-RU"/>
        </w:rPr>
        <w:t>ученной в 4 квартале 2019 года;</w:t>
      </w:r>
    </w:p>
    <w:p w14:paraId="127C9FD9" w14:textId="77777777" w:rsidR="003B681E" w:rsidRPr="006E7CE4" w:rsidRDefault="003B681E" w:rsidP="006E7CE4">
      <w:pPr>
        <w:widowControl w:val="0"/>
        <w:tabs>
          <w:tab w:val="num" w:pos="0"/>
        </w:tabs>
        <w:spacing w:line="276" w:lineRule="auto"/>
        <w:ind w:firstLine="690"/>
        <w:rPr>
          <w:color w:val="000000"/>
          <w:szCs w:val="24"/>
          <w:lang w:eastAsia="ru-RU"/>
        </w:rPr>
      </w:pPr>
      <w:r w:rsidRPr="006E7CE4">
        <w:rPr>
          <w:color w:val="000000"/>
          <w:szCs w:val="24"/>
          <w:lang w:eastAsia="ru-RU"/>
        </w:rPr>
        <w:t>- налог на доходы физических лиц (НДФЛ) – 5 792,7 млн. рублей (-2,4%) за счёт негативного влияния в апреле-мае 2020 года ограничительных мер, введенных в связи с коронавирусной инфекцией; в местный бюджет зачислено НДФЛ на сумму 1 728,6 млн. рублей;</w:t>
      </w:r>
    </w:p>
    <w:p w14:paraId="520D0978" w14:textId="77777777" w:rsidR="003B681E" w:rsidRPr="006E7CE4" w:rsidRDefault="003B681E" w:rsidP="006E7CE4">
      <w:pPr>
        <w:widowControl w:val="0"/>
        <w:tabs>
          <w:tab w:val="num" w:pos="0"/>
        </w:tabs>
        <w:spacing w:line="276" w:lineRule="auto"/>
        <w:ind w:firstLine="690"/>
        <w:rPr>
          <w:color w:val="000000"/>
          <w:szCs w:val="24"/>
          <w:lang w:eastAsia="ru-RU"/>
        </w:rPr>
      </w:pPr>
      <w:r w:rsidRPr="006E7CE4">
        <w:rPr>
          <w:color w:val="000000"/>
          <w:szCs w:val="24"/>
          <w:lang w:eastAsia="ru-RU"/>
        </w:rPr>
        <w:t>б) налоги на товары (работы, услуги) – 6 161,7 млн</w:t>
      </w:r>
      <w:r w:rsidR="008A1EBE">
        <w:rPr>
          <w:color w:val="000000"/>
          <w:szCs w:val="24"/>
          <w:lang w:eastAsia="ru-RU"/>
        </w:rPr>
        <w:t>. рублей (-13,8%), в том числе:</w:t>
      </w:r>
    </w:p>
    <w:p w14:paraId="59311EED" w14:textId="77777777" w:rsidR="003B681E" w:rsidRPr="006E7CE4" w:rsidRDefault="003B681E" w:rsidP="006E7CE4">
      <w:pPr>
        <w:widowControl w:val="0"/>
        <w:tabs>
          <w:tab w:val="num" w:pos="0"/>
        </w:tabs>
        <w:spacing w:line="276" w:lineRule="auto"/>
        <w:ind w:firstLine="690"/>
        <w:rPr>
          <w:color w:val="000000"/>
          <w:szCs w:val="24"/>
          <w:lang w:eastAsia="ru-RU"/>
        </w:rPr>
      </w:pPr>
      <w:r w:rsidRPr="006E7CE4">
        <w:rPr>
          <w:color w:val="000000"/>
          <w:szCs w:val="24"/>
          <w:lang w:eastAsia="ru-RU"/>
        </w:rPr>
        <w:t>- НДС – 6408,3 млн. рублей (-11,4%), в основном, за счет увеличения по сравнению с 1 полугодием 2019 года объемов возмещения НДС из бюджета по экспортным операциям в химическом производстве и снижения поступлений НДС в производстве автотранспортных средств, согласно данным форм 1-НОМ по Самарской области, размещенным на официальном сайте ФНС России.</w:t>
      </w:r>
    </w:p>
    <w:p w14:paraId="4C7C5E3C" w14:textId="77777777" w:rsidR="003B681E" w:rsidRPr="006E7CE4" w:rsidRDefault="003B681E" w:rsidP="006E7CE4">
      <w:pPr>
        <w:widowControl w:val="0"/>
        <w:tabs>
          <w:tab w:val="num" w:pos="0"/>
        </w:tabs>
        <w:spacing w:line="276" w:lineRule="auto"/>
        <w:ind w:firstLine="690"/>
        <w:rPr>
          <w:color w:val="000000"/>
          <w:szCs w:val="24"/>
          <w:lang w:eastAsia="ru-RU"/>
        </w:rPr>
      </w:pPr>
      <w:r w:rsidRPr="006E7CE4">
        <w:rPr>
          <w:color w:val="000000"/>
          <w:szCs w:val="24"/>
          <w:lang w:eastAsia="ru-RU"/>
        </w:rPr>
        <w:t xml:space="preserve">- акцизы – (-246,6 млн. рублей), в основном, в связи с возмещением из бюджета акцизов на бензол, параксилол, </w:t>
      </w:r>
      <w:proofErr w:type="spellStart"/>
      <w:r w:rsidRPr="006E7CE4">
        <w:rPr>
          <w:color w:val="000000"/>
          <w:szCs w:val="24"/>
          <w:lang w:eastAsia="ru-RU"/>
        </w:rPr>
        <w:t>ортоксилол</w:t>
      </w:r>
      <w:proofErr w:type="spellEnd"/>
      <w:r w:rsidRPr="006E7CE4">
        <w:rPr>
          <w:color w:val="000000"/>
          <w:szCs w:val="24"/>
          <w:lang w:eastAsia="ru-RU"/>
        </w:rPr>
        <w:t xml:space="preserve"> и средние дистилляты, используемые в качестве сырья в химической промышленности (-593,9 млн. рублей); одновременно снизились поступления акцизов в производстве ав</w:t>
      </w:r>
      <w:r w:rsidR="008A1EBE">
        <w:rPr>
          <w:color w:val="000000"/>
          <w:szCs w:val="24"/>
          <w:lang w:eastAsia="ru-RU"/>
        </w:rPr>
        <w:t>тотранспортных средств на 150,9 </w:t>
      </w:r>
      <w:r w:rsidRPr="006E7CE4">
        <w:rPr>
          <w:color w:val="000000"/>
          <w:szCs w:val="24"/>
          <w:lang w:eastAsia="ru-RU"/>
        </w:rPr>
        <w:t>млн. рублей;</w:t>
      </w:r>
    </w:p>
    <w:p w14:paraId="5A381277" w14:textId="77777777" w:rsidR="003B681E" w:rsidRPr="006E7CE4" w:rsidRDefault="003B681E" w:rsidP="006E7CE4">
      <w:pPr>
        <w:widowControl w:val="0"/>
        <w:tabs>
          <w:tab w:val="num" w:pos="0"/>
        </w:tabs>
        <w:spacing w:line="276" w:lineRule="auto"/>
        <w:ind w:firstLine="690"/>
        <w:rPr>
          <w:color w:val="000000"/>
          <w:szCs w:val="24"/>
          <w:lang w:eastAsia="ru-RU"/>
        </w:rPr>
      </w:pPr>
      <w:r w:rsidRPr="006E7CE4">
        <w:rPr>
          <w:color w:val="000000"/>
          <w:szCs w:val="24"/>
          <w:lang w:eastAsia="ru-RU"/>
        </w:rPr>
        <w:t>в) налоги на совокупный доход – 859,7 млн. рублей (-9,9%), в основном, в связи с предоставлением организациям и индивидуальным предпринимателям, занятым в сферах деятельности, наиболее пострадавших в условиях ухудшения ситуации в связи с распространением новой коронавирусной инфекции, отсрочки (рассрочки) по уплате налогов, в том числе:</w:t>
      </w:r>
    </w:p>
    <w:p w14:paraId="342943EF" w14:textId="77777777" w:rsidR="003B681E" w:rsidRPr="006E7CE4" w:rsidRDefault="003B681E" w:rsidP="006E7CE4">
      <w:pPr>
        <w:widowControl w:val="0"/>
        <w:tabs>
          <w:tab w:val="num" w:pos="0"/>
        </w:tabs>
        <w:spacing w:line="276" w:lineRule="auto"/>
        <w:ind w:firstLine="690"/>
        <w:rPr>
          <w:color w:val="000000"/>
          <w:szCs w:val="24"/>
          <w:lang w:eastAsia="ru-RU"/>
        </w:rPr>
      </w:pPr>
      <w:r w:rsidRPr="006E7CE4">
        <w:rPr>
          <w:color w:val="000000"/>
          <w:szCs w:val="24"/>
          <w:lang w:eastAsia="ru-RU"/>
        </w:rPr>
        <w:t xml:space="preserve"> - налог, взимаемого в связи с применением упрощенной системы налогообложения (УСН) – 729,6 млн. рублей (-9,0%); при этом его отчисления в бюджет городского округа Тольятти выросли на 78,4% до 28,1 млн. рублей в связи с ростом с 2% до 4% норматива отчислений в местные бюджеты Самарской области;</w:t>
      </w:r>
    </w:p>
    <w:p w14:paraId="2E200676" w14:textId="77777777" w:rsidR="003B681E" w:rsidRPr="006E7CE4" w:rsidRDefault="003B681E" w:rsidP="006E7CE4">
      <w:pPr>
        <w:widowControl w:val="0"/>
        <w:tabs>
          <w:tab w:val="num" w:pos="0"/>
        </w:tabs>
        <w:spacing w:line="276" w:lineRule="auto"/>
        <w:ind w:firstLine="690"/>
        <w:rPr>
          <w:color w:val="000000"/>
          <w:szCs w:val="24"/>
          <w:lang w:eastAsia="ru-RU"/>
        </w:rPr>
      </w:pPr>
      <w:r w:rsidRPr="006E7CE4">
        <w:rPr>
          <w:color w:val="000000"/>
          <w:szCs w:val="24"/>
          <w:lang w:eastAsia="ru-RU"/>
        </w:rPr>
        <w:lastRenderedPageBreak/>
        <w:t>-налог на вмененный доход для отдельных видов деятельности (ЕНВД) снизился на 15,8% до 118,3 млн. рублей, зачислен в бюджет городского о</w:t>
      </w:r>
      <w:r w:rsidR="008A1EBE">
        <w:rPr>
          <w:color w:val="000000"/>
          <w:szCs w:val="24"/>
          <w:lang w:eastAsia="ru-RU"/>
        </w:rPr>
        <w:t>круга Тольятти в полном объеме;</w:t>
      </w:r>
    </w:p>
    <w:p w14:paraId="1DA4A028" w14:textId="77777777" w:rsidR="003B681E" w:rsidRPr="006E7CE4" w:rsidRDefault="003B681E" w:rsidP="006E7CE4">
      <w:pPr>
        <w:widowControl w:val="0"/>
        <w:tabs>
          <w:tab w:val="num" w:pos="0"/>
        </w:tabs>
        <w:spacing w:line="276" w:lineRule="auto"/>
        <w:ind w:firstLine="690"/>
        <w:rPr>
          <w:color w:val="000000"/>
          <w:szCs w:val="24"/>
          <w:lang w:eastAsia="ru-RU"/>
        </w:rPr>
      </w:pPr>
      <w:r w:rsidRPr="006E7CE4">
        <w:rPr>
          <w:color w:val="000000"/>
          <w:szCs w:val="24"/>
          <w:lang w:eastAsia="ru-RU"/>
        </w:rPr>
        <w:t>- налог, взимаемый в связи с применением патентной системы налогообложения – 10,8 млн. рублей (-2,6%), зачислен в бюджет городского округа Тольятти в полном объеме;</w:t>
      </w:r>
    </w:p>
    <w:p w14:paraId="4FA0D65A" w14:textId="77777777" w:rsidR="003B681E" w:rsidRPr="006E7CE4" w:rsidRDefault="003B681E" w:rsidP="006E7CE4">
      <w:pPr>
        <w:widowControl w:val="0"/>
        <w:tabs>
          <w:tab w:val="num" w:pos="0"/>
        </w:tabs>
        <w:spacing w:line="276" w:lineRule="auto"/>
        <w:ind w:firstLine="690"/>
        <w:rPr>
          <w:color w:val="000000"/>
          <w:szCs w:val="24"/>
          <w:lang w:eastAsia="ru-RU"/>
        </w:rPr>
      </w:pPr>
      <w:r w:rsidRPr="006E7CE4">
        <w:rPr>
          <w:color w:val="000000"/>
          <w:szCs w:val="24"/>
          <w:lang w:eastAsia="ru-RU"/>
        </w:rPr>
        <w:t>- единый сельскохозяйственный налог – 1,1 млн. рублей, зачислен в бюджет городского округа Тольятти в полном объеме;</w:t>
      </w:r>
    </w:p>
    <w:p w14:paraId="684C20E5" w14:textId="77777777" w:rsidR="003B681E" w:rsidRPr="006E7CE4" w:rsidRDefault="003B681E" w:rsidP="006E7CE4">
      <w:pPr>
        <w:widowControl w:val="0"/>
        <w:tabs>
          <w:tab w:val="num" w:pos="0"/>
        </w:tabs>
        <w:spacing w:line="276" w:lineRule="auto"/>
        <w:ind w:firstLine="690"/>
        <w:rPr>
          <w:color w:val="000000"/>
          <w:szCs w:val="24"/>
          <w:lang w:eastAsia="ru-RU"/>
        </w:rPr>
      </w:pPr>
      <w:r w:rsidRPr="006E7CE4">
        <w:rPr>
          <w:color w:val="000000"/>
          <w:szCs w:val="24"/>
          <w:lang w:eastAsia="ru-RU"/>
        </w:rPr>
        <w:t>г) налоги на имущество – 1 723,0 млн. рубл</w:t>
      </w:r>
      <w:r w:rsidR="008A1EBE">
        <w:rPr>
          <w:color w:val="000000"/>
          <w:szCs w:val="24"/>
          <w:lang w:eastAsia="ru-RU"/>
        </w:rPr>
        <w:t>ей, что на 5,8% больше, чем в 1 </w:t>
      </w:r>
      <w:r w:rsidRPr="006E7CE4">
        <w:rPr>
          <w:color w:val="000000"/>
          <w:szCs w:val="24"/>
          <w:lang w:eastAsia="ru-RU"/>
        </w:rPr>
        <w:t>полугодии прошлого года, в основном, за счет роста на 15,3% до 1116,3 млн. рублей поступления н</w:t>
      </w:r>
      <w:r w:rsidR="008A1EBE">
        <w:rPr>
          <w:color w:val="000000"/>
          <w:szCs w:val="24"/>
          <w:lang w:eastAsia="ru-RU"/>
        </w:rPr>
        <w:t>алога на имущества организаций;</w:t>
      </w:r>
    </w:p>
    <w:p w14:paraId="4B96E81A" w14:textId="77777777" w:rsidR="003B681E" w:rsidRPr="006E7CE4" w:rsidRDefault="003B681E" w:rsidP="006E7CE4">
      <w:pPr>
        <w:widowControl w:val="0"/>
        <w:tabs>
          <w:tab w:val="num" w:pos="0"/>
        </w:tabs>
        <w:spacing w:line="276" w:lineRule="auto"/>
        <w:ind w:firstLine="690"/>
        <w:rPr>
          <w:color w:val="000000"/>
          <w:szCs w:val="24"/>
          <w:lang w:eastAsia="ru-RU"/>
        </w:rPr>
      </w:pPr>
      <w:r w:rsidRPr="006E7CE4">
        <w:rPr>
          <w:color w:val="000000"/>
          <w:szCs w:val="24"/>
          <w:lang w:eastAsia="ru-RU"/>
        </w:rPr>
        <w:t>- земельный налог -  353,3 млн. рублей (-14,1%), в основном, за счёт уменьшения кадастровой стоимости земельных участков по решениям суда, а также отсрочка уплаты авансовых платежей по налогу за 1 квартал 2020 года до 30 октября текущего года согласно Постановлению правительства РФ №</w:t>
      </w:r>
      <w:r w:rsidR="00C704AE">
        <w:rPr>
          <w:color w:val="000000"/>
          <w:szCs w:val="24"/>
          <w:lang w:eastAsia="ru-RU"/>
        </w:rPr>
        <w:t> </w:t>
      </w:r>
      <w:r w:rsidRPr="006E7CE4">
        <w:rPr>
          <w:color w:val="000000"/>
          <w:szCs w:val="24"/>
          <w:lang w:eastAsia="ru-RU"/>
        </w:rPr>
        <w:t>409 от 02.04.2020 «О мерах по обеспечению устойчивого развития экономики»; налог зачислен в бюджет городского о</w:t>
      </w:r>
      <w:r w:rsidR="008A1EBE">
        <w:rPr>
          <w:color w:val="000000"/>
          <w:szCs w:val="24"/>
          <w:lang w:eastAsia="ru-RU"/>
        </w:rPr>
        <w:t>круга Тольятти в полном объеме;</w:t>
      </w:r>
    </w:p>
    <w:p w14:paraId="77531166" w14:textId="77777777" w:rsidR="003B681E" w:rsidRPr="006E7CE4" w:rsidRDefault="003B681E" w:rsidP="006E7CE4">
      <w:pPr>
        <w:widowControl w:val="0"/>
        <w:tabs>
          <w:tab w:val="num" w:pos="0"/>
        </w:tabs>
        <w:spacing w:line="276" w:lineRule="auto"/>
        <w:ind w:firstLine="690"/>
        <w:rPr>
          <w:color w:val="000000"/>
          <w:szCs w:val="24"/>
          <w:lang w:eastAsia="ru-RU"/>
        </w:rPr>
      </w:pPr>
      <w:r w:rsidRPr="006E7CE4">
        <w:rPr>
          <w:color w:val="000000"/>
          <w:szCs w:val="24"/>
          <w:lang w:eastAsia="ru-RU"/>
        </w:rPr>
        <w:t>- налог на имущество физических лиц (НИФЛ) – 77,3 млн. рублей (-2,9%) поступил в порядке погашения задолженности за 2018 год по сроку уплаты до 1 декабря 2019 года; зачислен в бюджет городского округа Тольятти в полном объеме;</w:t>
      </w:r>
    </w:p>
    <w:p w14:paraId="48CF5BBB" w14:textId="77777777" w:rsidR="003B681E" w:rsidRPr="006E7CE4" w:rsidRDefault="003B681E" w:rsidP="006E7CE4">
      <w:pPr>
        <w:widowControl w:val="0"/>
        <w:tabs>
          <w:tab w:val="num" w:pos="0"/>
        </w:tabs>
        <w:spacing w:line="276" w:lineRule="auto"/>
        <w:ind w:firstLine="690"/>
        <w:rPr>
          <w:color w:val="000000"/>
          <w:szCs w:val="24"/>
          <w:lang w:eastAsia="ru-RU"/>
        </w:rPr>
      </w:pPr>
      <w:r w:rsidRPr="006E7CE4">
        <w:rPr>
          <w:color w:val="000000"/>
          <w:szCs w:val="24"/>
          <w:lang w:eastAsia="ru-RU"/>
        </w:rPr>
        <w:t>- транспортный нал</w:t>
      </w:r>
      <w:r w:rsidR="008A1EBE">
        <w:rPr>
          <w:color w:val="000000"/>
          <w:szCs w:val="24"/>
          <w:lang w:eastAsia="ru-RU"/>
        </w:rPr>
        <w:t>ог – 176,1 млн. рублей (+3,5%);</w:t>
      </w:r>
    </w:p>
    <w:p w14:paraId="55FF0181" w14:textId="77777777" w:rsidR="003B681E" w:rsidRPr="006E7CE4" w:rsidRDefault="003B681E" w:rsidP="006E7CE4">
      <w:pPr>
        <w:widowControl w:val="0"/>
        <w:tabs>
          <w:tab w:val="num" w:pos="0"/>
        </w:tabs>
        <w:spacing w:line="276" w:lineRule="auto"/>
        <w:ind w:firstLine="690"/>
        <w:rPr>
          <w:color w:val="000000"/>
          <w:szCs w:val="24"/>
          <w:lang w:eastAsia="ru-RU"/>
        </w:rPr>
      </w:pPr>
      <w:r w:rsidRPr="006E7CE4">
        <w:rPr>
          <w:color w:val="000000"/>
          <w:szCs w:val="24"/>
          <w:lang w:eastAsia="ru-RU"/>
        </w:rPr>
        <w:t>- налоги, сборы за пользование природными ресурсами и прочие налоговые доходы – 95,7 млн. рублей (- 9,1%), в основном, за счёт снижения поступлений госпошлины в связи с сокращением количества обращений граждан в МФЦ для государственной регистрации прав на недвижимое имущество и сделок с ним в период самоизоляции и ограничительных мер по COVID-19, из них в бюджет городского округа Тольятти поступило 84,0 млн. рублей госпошлины.</w:t>
      </w:r>
    </w:p>
    <w:p w14:paraId="32E99345" w14:textId="77777777" w:rsidR="003B681E" w:rsidRPr="006E7CE4" w:rsidRDefault="003B681E" w:rsidP="006E7CE4">
      <w:pPr>
        <w:widowControl w:val="0"/>
        <w:tabs>
          <w:tab w:val="num" w:pos="0"/>
        </w:tabs>
        <w:spacing w:line="276" w:lineRule="auto"/>
        <w:ind w:firstLine="690"/>
        <w:rPr>
          <w:color w:val="000000"/>
          <w:szCs w:val="24"/>
          <w:lang w:eastAsia="ru-RU"/>
        </w:rPr>
      </w:pPr>
      <w:r w:rsidRPr="006E7CE4">
        <w:rPr>
          <w:color w:val="000000"/>
          <w:szCs w:val="24"/>
          <w:lang w:eastAsia="ru-RU"/>
        </w:rPr>
        <w:t xml:space="preserve">Неналоговые доходы в бюджет городского округа </w:t>
      </w:r>
      <w:r w:rsidR="00C704AE">
        <w:rPr>
          <w:color w:val="000000"/>
          <w:szCs w:val="24"/>
          <w:lang w:eastAsia="ru-RU"/>
        </w:rPr>
        <w:t xml:space="preserve">Тольятти </w:t>
      </w:r>
      <w:r w:rsidRPr="006E7CE4">
        <w:rPr>
          <w:color w:val="000000"/>
          <w:szCs w:val="24"/>
          <w:lang w:eastAsia="ru-RU"/>
        </w:rPr>
        <w:t>за 6 месяцев 2020 года поступили в сумме 343,2 млн. рублей (-19,2%), в основ</w:t>
      </w:r>
      <w:r w:rsidR="008A1EBE">
        <w:rPr>
          <w:color w:val="000000"/>
          <w:szCs w:val="24"/>
          <w:lang w:eastAsia="ru-RU"/>
        </w:rPr>
        <w:t>ном, за счёт сокращения на 70,7 </w:t>
      </w:r>
      <w:r w:rsidRPr="006E7CE4">
        <w:rPr>
          <w:color w:val="000000"/>
          <w:szCs w:val="24"/>
          <w:lang w:eastAsia="ru-RU"/>
        </w:rPr>
        <w:t>млн. рублей доходов, получаемых в виде арендной платы за передачу в возмездное пользование муниципального имущества в связи с наличием переплаты, образовавшейся за прошлые периоды, уменьшением площадей арендуемых земельных участков в связи с их выкупом, а также снижением собираемости арендной платы в связи с ухудшением экономической ситуации в период действия ограничительных мер по коронавирусу.</w:t>
      </w:r>
    </w:p>
    <w:p w14:paraId="45C39D00" w14:textId="77777777" w:rsidR="003B681E" w:rsidRPr="006E7CE4" w:rsidRDefault="003B681E" w:rsidP="006E7CE4">
      <w:pPr>
        <w:widowControl w:val="0"/>
        <w:tabs>
          <w:tab w:val="num" w:pos="0"/>
        </w:tabs>
        <w:spacing w:line="276" w:lineRule="auto"/>
        <w:ind w:firstLine="690"/>
        <w:rPr>
          <w:color w:val="000000"/>
          <w:szCs w:val="24"/>
          <w:lang w:eastAsia="ru-RU"/>
        </w:rPr>
      </w:pPr>
      <w:r w:rsidRPr="006E7CE4">
        <w:rPr>
          <w:color w:val="000000"/>
          <w:szCs w:val="24"/>
          <w:lang w:eastAsia="ru-RU"/>
        </w:rPr>
        <w:t xml:space="preserve">Расходы бюджета городского округа </w:t>
      </w:r>
      <w:r w:rsidR="00C704AE">
        <w:rPr>
          <w:color w:val="000000"/>
          <w:szCs w:val="24"/>
          <w:lang w:eastAsia="ru-RU"/>
        </w:rPr>
        <w:t xml:space="preserve">Тольятти </w:t>
      </w:r>
      <w:r w:rsidRPr="006E7CE4">
        <w:rPr>
          <w:color w:val="000000"/>
          <w:szCs w:val="24"/>
          <w:lang w:eastAsia="ru-RU"/>
        </w:rPr>
        <w:t>(без расходо</w:t>
      </w:r>
      <w:r w:rsidR="008A1EBE">
        <w:rPr>
          <w:color w:val="000000"/>
          <w:szCs w:val="24"/>
          <w:lang w:eastAsia="ru-RU"/>
        </w:rPr>
        <w:t>в из вышестоящих бюджетов) за 1 </w:t>
      </w:r>
      <w:r w:rsidRPr="006E7CE4">
        <w:rPr>
          <w:color w:val="000000"/>
          <w:szCs w:val="24"/>
          <w:lang w:eastAsia="ru-RU"/>
        </w:rPr>
        <w:t>полугодие 2020 года выросли на 9,0% относительно соответствующего периода прошлого года и составили 3 721 819 млн. рубле</w:t>
      </w:r>
      <w:r w:rsidR="008A1EBE">
        <w:rPr>
          <w:color w:val="000000"/>
          <w:szCs w:val="24"/>
          <w:lang w:eastAsia="ru-RU"/>
        </w:rPr>
        <w:t>й, в том числе по направлениям:</w:t>
      </w:r>
    </w:p>
    <w:p w14:paraId="7C6AE828" w14:textId="77777777" w:rsidR="003B681E" w:rsidRPr="006E7CE4" w:rsidRDefault="003B681E" w:rsidP="006E7CE4">
      <w:pPr>
        <w:widowControl w:val="0"/>
        <w:tabs>
          <w:tab w:val="num" w:pos="0"/>
        </w:tabs>
        <w:spacing w:line="276" w:lineRule="auto"/>
        <w:ind w:firstLine="690"/>
        <w:rPr>
          <w:color w:val="000000"/>
          <w:szCs w:val="24"/>
          <w:lang w:eastAsia="ru-RU"/>
        </w:rPr>
      </w:pPr>
      <w:r w:rsidRPr="006E7CE4">
        <w:rPr>
          <w:color w:val="000000"/>
          <w:szCs w:val="24"/>
          <w:lang w:eastAsia="ru-RU"/>
        </w:rPr>
        <w:t>- общегосударственные расходы – 503,0 млн. рублей (-17,5%);</w:t>
      </w:r>
    </w:p>
    <w:p w14:paraId="2C593A99" w14:textId="77777777" w:rsidR="003B681E" w:rsidRPr="006E7CE4" w:rsidRDefault="0044461E" w:rsidP="006E7CE4">
      <w:pPr>
        <w:widowControl w:val="0"/>
        <w:tabs>
          <w:tab w:val="num" w:pos="0"/>
        </w:tabs>
        <w:spacing w:line="276" w:lineRule="auto"/>
        <w:ind w:firstLine="690"/>
        <w:rPr>
          <w:color w:val="000000"/>
          <w:szCs w:val="24"/>
          <w:lang w:eastAsia="ru-RU"/>
        </w:rPr>
      </w:pPr>
      <w:r>
        <w:rPr>
          <w:color w:val="000000"/>
          <w:szCs w:val="24"/>
          <w:lang w:eastAsia="ru-RU"/>
        </w:rPr>
        <w:t>- </w:t>
      </w:r>
      <w:r w:rsidR="003B681E" w:rsidRPr="006E7CE4">
        <w:rPr>
          <w:color w:val="000000"/>
          <w:szCs w:val="24"/>
          <w:lang w:eastAsia="ru-RU"/>
        </w:rPr>
        <w:t>национальная безопасность и правоох</w:t>
      </w:r>
      <w:r w:rsidR="008A1EBE">
        <w:rPr>
          <w:color w:val="000000"/>
          <w:szCs w:val="24"/>
          <w:lang w:eastAsia="ru-RU"/>
        </w:rPr>
        <w:t>ранительная деятельность – 75,9 </w:t>
      </w:r>
      <w:r w:rsidR="003B681E" w:rsidRPr="006E7CE4">
        <w:rPr>
          <w:color w:val="000000"/>
          <w:szCs w:val="24"/>
          <w:lang w:eastAsia="ru-RU"/>
        </w:rPr>
        <w:t>млн. рублей (+34,6%);</w:t>
      </w:r>
    </w:p>
    <w:p w14:paraId="7629C0FE" w14:textId="77777777" w:rsidR="003B681E" w:rsidRPr="006E7CE4" w:rsidRDefault="003B681E" w:rsidP="006E7CE4">
      <w:pPr>
        <w:widowControl w:val="0"/>
        <w:tabs>
          <w:tab w:val="num" w:pos="0"/>
        </w:tabs>
        <w:spacing w:line="276" w:lineRule="auto"/>
        <w:ind w:firstLine="690"/>
        <w:rPr>
          <w:color w:val="000000"/>
          <w:szCs w:val="24"/>
          <w:lang w:eastAsia="ru-RU"/>
        </w:rPr>
      </w:pPr>
      <w:r w:rsidRPr="006E7CE4">
        <w:rPr>
          <w:color w:val="000000"/>
          <w:szCs w:val="24"/>
          <w:lang w:eastAsia="ru-RU"/>
        </w:rPr>
        <w:t>- национальная экономика – 437,8 млн. рублей (+4,1%);</w:t>
      </w:r>
    </w:p>
    <w:p w14:paraId="3ADDC011" w14:textId="77777777" w:rsidR="003B681E" w:rsidRPr="006E7CE4" w:rsidRDefault="003B681E" w:rsidP="006E7CE4">
      <w:pPr>
        <w:widowControl w:val="0"/>
        <w:tabs>
          <w:tab w:val="num" w:pos="0"/>
        </w:tabs>
        <w:spacing w:line="276" w:lineRule="auto"/>
        <w:ind w:firstLine="690"/>
        <w:rPr>
          <w:color w:val="000000"/>
          <w:szCs w:val="24"/>
          <w:lang w:eastAsia="ru-RU"/>
        </w:rPr>
      </w:pPr>
      <w:r w:rsidRPr="006E7CE4">
        <w:rPr>
          <w:color w:val="000000"/>
          <w:szCs w:val="24"/>
          <w:lang w:eastAsia="ru-RU"/>
        </w:rPr>
        <w:t>- жилищно-коммунальное хозяйство – 419,8 млн. рублей (+22,4%);</w:t>
      </w:r>
    </w:p>
    <w:p w14:paraId="681E2650" w14:textId="77777777" w:rsidR="003B681E" w:rsidRPr="006E7CE4" w:rsidRDefault="003B681E" w:rsidP="006E7CE4">
      <w:pPr>
        <w:widowControl w:val="0"/>
        <w:tabs>
          <w:tab w:val="num" w:pos="0"/>
        </w:tabs>
        <w:spacing w:line="276" w:lineRule="auto"/>
        <w:ind w:firstLine="690"/>
        <w:rPr>
          <w:color w:val="000000"/>
          <w:szCs w:val="24"/>
          <w:lang w:eastAsia="ru-RU"/>
        </w:rPr>
      </w:pPr>
      <w:r w:rsidRPr="006E7CE4">
        <w:rPr>
          <w:color w:val="000000"/>
          <w:szCs w:val="24"/>
          <w:lang w:eastAsia="ru-RU"/>
        </w:rPr>
        <w:t>- охрана окружающей среды – 1,5 млн. рублей (-8,2%);</w:t>
      </w:r>
    </w:p>
    <w:p w14:paraId="67B0B89B" w14:textId="77777777" w:rsidR="003B681E" w:rsidRPr="006E7CE4" w:rsidRDefault="003B681E" w:rsidP="006E7CE4">
      <w:pPr>
        <w:widowControl w:val="0"/>
        <w:tabs>
          <w:tab w:val="num" w:pos="0"/>
        </w:tabs>
        <w:spacing w:line="276" w:lineRule="auto"/>
        <w:ind w:firstLine="690"/>
        <w:rPr>
          <w:color w:val="000000"/>
          <w:szCs w:val="24"/>
          <w:lang w:eastAsia="ru-RU"/>
        </w:rPr>
      </w:pPr>
      <w:r w:rsidRPr="006E7CE4">
        <w:rPr>
          <w:color w:val="000000"/>
          <w:szCs w:val="24"/>
          <w:lang w:eastAsia="ru-RU"/>
        </w:rPr>
        <w:t>-социально-культурная сфера (образование, культура, социальная политика, физическая культура и спорт) – 2 094,2 млн. рублей (+ 17,8%);</w:t>
      </w:r>
    </w:p>
    <w:p w14:paraId="01A70195" w14:textId="77777777" w:rsidR="003B681E" w:rsidRPr="006E7CE4" w:rsidRDefault="003B681E" w:rsidP="006E7CE4">
      <w:pPr>
        <w:widowControl w:val="0"/>
        <w:tabs>
          <w:tab w:val="num" w:pos="0"/>
        </w:tabs>
        <w:spacing w:line="276" w:lineRule="auto"/>
        <w:ind w:firstLine="690"/>
        <w:rPr>
          <w:color w:val="000000"/>
          <w:szCs w:val="24"/>
          <w:lang w:eastAsia="ru-RU"/>
        </w:rPr>
      </w:pPr>
      <w:r w:rsidRPr="006E7CE4">
        <w:rPr>
          <w:color w:val="000000"/>
          <w:szCs w:val="24"/>
          <w:lang w:eastAsia="ru-RU"/>
        </w:rPr>
        <w:lastRenderedPageBreak/>
        <w:t>- средства массовой информации – 3,9 млн. рублей (-1,1%);</w:t>
      </w:r>
    </w:p>
    <w:p w14:paraId="7EF45A7C" w14:textId="77777777" w:rsidR="003B681E" w:rsidRPr="006E7CE4" w:rsidRDefault="003B681E" w:rsidP="006E7CE4">
      <w:pPr>
        <w:widowControl w:val="0"/>
        <w:tabs>
          <w:tab w:val="num" w:pos="0"/>
        </w:tabs>
        <w:spacing w:line="276" w:lineRule="auto"/>
        <w:ind w:firstLine="690"/>
        <w:rPr>
          <w:color w:val="000000"/>
          <w:szCs w:val="24"/>
          <w:lang w:eastAsia="ru-RU"/>
        </w:rPr>
      </w:pPr>
      <w:r w:rsidRPr="006E7CE4">
        <w:rPr>
          <w:color w:val="000000"/>
          <w:szCs w:val="24"/>
          <w:lang w:eastAsia="ru-RU"/>
        </w:rPr>
        <w:t>- расходы на обслуживание муниципального долга – 185,8 млн. рублей (-8,0%) за счёт замещения кредитов кредитных организаций бюджетными кредитами, досрочным погашением кредитов, иных мер по снижению расходов на обслуживание муниципального долга.</w:t>
      </w:r>
    </w:p>
    <w:p w14:paraId="7F405170" w14:textId="77777777" w:rsidR="003B681E" w:rsidRPr="006E7CE4" w:rsidRDefault="003B681E" w:rsidP="006E7CE4">
      <w:pPr>
        <w:widowControl w:val="0"/>
        <w:tabs>
          <w:tab w:val="num" w:pos="0"/>
        </w:tabs>
        <w:spacing w:line="276" w:lineRule="auto"/>
        <w:ind w:firstLine="690"/>
        <w:rPr>
          <w:color w:val="000000"/>
          <w:szCs w:val="24"/>
          <w:lang w:eastAsia="ru-RU"/>
        </w:rPr>
      </w:pPr>
      <w:r w:rsidRPr="006E7CE4">
        <w:rPr>
          <w:color w:val="000000"/>
          <w:szCs w:val="24"/>
          <w:lang w:eastAsia="ru-RU"/>
        </w:rPr>
        <w:t>Согласно рейтингу городских округов Самарской области за январь-июнь 2020 года в сравнении с соответствующим периодом прошлого года городской округ Тольятти по показателям:</w:t>
      </w:r>
    </w:p>
    <w:p w14:paraId="61812DF2" w14:textId="77777777" w:rsidR="003B681E" w:rsidRPr="006E7CE4" w:rsidRDefault="003B681E" w:rsidP="006E7CE4">
      <w:pPr>
        <w:widowControl w:val="0"/>
        <w:tabs>
          <w:tab w:val="num" w:pos="0"/>
        </w:tabs>
        <w:spacing w:line="276" w:lineRule="auto"/>
        <w:ind w:firstLine="690"/>
        <w:rPr>
          <w:color w:val="000000"/>
          <w:szCs w:val="24"/>
          <w:lang w:eastAsia="ru-RU"/>
        </w:rPr>
      </w:pPr>
      <w:r w:rsidRPr="006E7CE4">
        <w:rPr>
          <w:color w:val="000000"/>
          <w:szCs w:val="24"/>
          <w:lang w:eastAsia="ru-RU"/>
        </w:rPr>
        <w:t xml:space="preserve">- «Бюджетная обеспеченность за счет налоговых и неналоговых доходов на душу населения» - на </w:t>
      </w:r>
      <w:r w:rsidR="006975DC">
        <w:rPr>
          <w:color w:val="000000"/>
          <w:szCs w:val="24"/>
          <w:lang w:eastAsia="ru-RU"/>
        </w:rPr>
        <w:t>четвертом</w:t>
      </w:r>
      <w:r w:rsidRPr="006E7CE4">
        <w:rPr>
          <w:color w:val="000000"/>
          <w:szCs w:val="24"/>
          <w:lang w:eastAsia="ru-RU"/>
        </w:rPr>
        <w:t xml:space="preserve"> месте (как и в прошлом году) среди </w:t>
      </w:r>
      <w:r w:rsidR="006975DC">
        <w:rPr>
          <w:color w:val="000000"/>
          <w:szCs w:val="24"/>
          <w:lang w:eastAsia="ru-RU"/>
        </w:rPr>
        <w:t>десяти</w:t>
      </w:r>
      <w:r w:rsidRPr="006E7CE4">
        <w:rPr>
          <w:color w:val="000000"/>
          <w:szCs w:val="24"/>
          <w:lang w:eastAsia="ru-RU"/>
        </w:rPr>
        <w:t xml:space="preserve"> городских округов со значением показателя 3 957 рублей (в среднем по городским округам Самарской области – 4 747 рублей);</w:t>
      </w:r>
    </w:p>
    <w:p w14:paraId="33CC8B49" w14:textId="77777777" w:rsidR="003B681E" w:rsidRPr="006E7CE4" w:rsidRDefault="003B681E" w:rsidP="006E7CE4">
      <w:pPr>
        <w:widowControl w:val="0"/>
        <w:tabs>
          <w:tab w:val="num" w:pos="0"/>
        </w:tabs>
        <w:spacing w:line="276" w:lineRule="auto"/>
        <w:ind w:firstLine="690"/>
        <w:rPr>
          <w:color w:val="000000"/>
          <w:szCs w:val="24"/>
          <w:lang w:eastAsia="ru-RU"/>
        </w:rPr>
      </w:pPr>
      <w:r w:rsidRPr="006E7CE4">
        <w:rPr>
          <w:color w:val="000000"/>
          <w:szCs w:val="24"/>
          <w:lang w:eastAsia="ru-RU"/>
        </w:rPr>
        <w:t xml:space="preserve">- «Бюджетная обеспеченность с учётом безвозмездных перечислений на душу населения, рублей» - повысился с </w:t>
      </w:r>
      <w:r w:rsidR="006975DC">
        <w:rPr>
          <w:color w:val="000000"/>
          <w:szCs w:val="24"/>
          <w:lang w:eastAsia="ru-RU"/>
        </w:rPr>
        <w:t>третьего</w:t>
      </w:r>
      <w:r w:rsidRPr="006E7CE4">
        <w:rPr>
          <w:color w:val="000000"/>
          <w:szCs w:val="24"/>
          <w:lang w:eastAsia="ru-RU"/>
        </w:rPr>
        <w:t xml:space="preserve"> места на </w:t>
      </w:r>
      <w:r w:rsidR="006975DC">
        <w:rPr>
          <w:color w:val="000000"/>
          <w:szCs w:val="24"/>
          <w:lang w:eastAsia="ru-RU"/>
        </w:rPr>
        <w:t>второе</w:t>
      </w:r>
      <w:r w:rsidRPr="006E7CE4">
        <w:rPr>
          <w:color w:val="000000"/>
          <w:szCs w:val="24"/>
          <w:lang w:eastAsia="ru-RU"/>
        </w:rPr>
        <w:t xml:space="preserve"> место со значением 8 617 рублей (в среднем по городским округам Самарской области – 9 238 рублей).</w:t>
      </w:r>
    </w:p>
    <w:p w14:paraId="49083859" w14:textId="77777777" w:rsidR="003B681E" w:rsidRPr="006E7CE4" w:rsidRDefault="003B681E" w:rsidP="006E7CE4">
      <w:pPr>
        <w:widowControl w:val="0"/>
        <w:tabs>
          <w:tab w:val="num" w:pos="0"/>
        </w:tabs>
        <w:spacing w:line="276" w:lineRule="auto"/>
        <w:ind w:firstLine="690"/>
        <w:rPr>
          <w:color w:val="000000"/>
          <w:szCs w:val="24"/>
          <w:lang w:eastAsia="ru-RU"/>
        </w:rPr>
      </w:pPr>
      <w:r w:rsidRPr="006E7CE4">
        <w:rPr>
          <w:color w:val="000000"/>
          <w:szCs w:val="24"/>
          <w:lang w:eastAsia="ru-RU"/>
        </w:rPr>
        <w:t>Оценка на конец 2020 года ожидаемых значений финансовых показателей произведена на основании полугодовой статистической и налоговой информации, данных о кассовых доходах и расходах бюджета городского округа Тольятти за 1 полугодие 2020 года, ожидаемых доходах бюджета до конца 2020 года в условиях предоставления отсрочек по уплате налогов и платежей, а также ожидаемых расходов в условиях сокращения доходной части.</w:t>
      </w:r>
    </w:p>
    <w:p w14:paraId="5B669D73" w14:textId="77777777" w:rsidR="003B681E" w:rsidRPr="006E7CE4" w:rsidRDefault="003B681E" w:rsidP="006E7CE4">
      <w:pPr>
        <w:widowControl w:val="0"/>
        <w:tabs>
          <w:tab w:val="num" w:pos="0"/>
        </w:tabs>
        <w:spacing w:line="276" w:lineRule="auto"/>
        <w:ind w:firstLine="690"/>
        <w:rPr>
          <w:color w:val="000000"/>
          <w:szCs w:val="24"/>
          <w:lang w:eastAsia="ru-RU"/>
        </w:rPr>
      </w:pPr>
      <w:r w:rsidRPr="006E7CE4">
        <w:rPr>
          <w:color w:val="000000"/>
          <w:szCs w:val="24"/>
          <w:lang w:eastAsia="ru-RU"/>
        </w:rPr>
        <w:t>Доля прибыли химического производства, традиционно формирующего основную долю прибыли крупных и средних организаций, в 2020 году значительно снизилась (с 59,4% в 2019 году до 41,1% в январе-июне 2020 года) в связи с проблемами импорта сырья и экспорта готовой продукции в условиях распространения коронавирусной инфекции в мире, начи</w:t>
      </w:r>
      <w:r w:rsidR="008A1EBE">
        <w:rPr>
          <w:color w:val="000000"/>
          <w:szCs w:val="24"/>
          <w:lang w:eastAsia="ru-RU"/>
        </w:rPr>
        <w:t>ная с января-февраля 2020 года.</w:t>
      </w:r>
    </w:p>
    <w:p w14:paraId="0AB32CEE" w14:textId="77777777" w:rsidR="00C963C0" w:rsidRPr="006E7CE4" w:rsidRDefault="00C963C0" w:rsidP="006E7CE4">
      <w:pPr>
        <w:widowControl w:val="0"/>
        <w:tabs>
          <w:tab w:val="num" w:pos="0"/>
        </w:tabs>
        <w:spacing w:line="276" w:lineRule="auto"/>
        <w:ind w:firstLine="690"/>
        <w:rPr>
          <w:color w:val="000000"/>
          <w:szCs w:val="24"/>
          <w:lang w:eastAsia="ru-RU"/>
        </w:rPr>
      </w:pPr>
      <w:r w:rsidRPr="006E7CE4">
        <w:rPr>
          <w:color w:val="000000"/>
          <w:szCs w:val="24"/>
          <w:lang w:eastAsia="ru-RU"/>
        </w:rPr>
        <w:t xml:space="preserve">В условиях полной неопределенности, объём прибыли крупных и средних организаций на конец 2020 года оценивается в 16 857 млн. рублей с применением темпа её снижения по итогам </w:t>
      </w:r>
      <w:r w:rsidR="0044461E">
        <w:rPr>
          <w:color w:val="000000"/>
          <w:szCs w:val="24"/>
          <w:lang w:eastAsia="ru-RU"/>
        </w:rPr>
        <w:t>1</w:t>
      </w:r>
      <w:r w:rsidRPr="006E7CE4">
        <w:rPr>
          <w:color w:val="000000"/>
          <w:szCs w:val="24"/>
          <w:lang w:eastAsia="ru-RU"/>
        </w:rPr>
        <w:t xml:space="preserve"> полугодия 2020 года.</w:t>
      </w:r>
    </w:p>
    <w:p w14:paraId="16CF6C5F" w14:textId="77777777" w:rsidR="003B681E" w:rsidRPr="006E7CE4" w:rsidRDefault="00C963C0" w:rsidP="006E7CE4">
      <w:pPr>
        <w:widowControl w:val="0"/>
        <w:tabs>
          <w:tab w:val="num" w:pos="0"/>
        </w:tabs>
        <w:spacing w:line="276" w:lineRule="auto"/>
        <w:ind w:firstLine="690"/>
        <w:rPr>
          <w:color w:val="000000"/>
          <w:szCs w:val="24"/>
          <w:lang w:eastAsia="ru-RU"/>
        </w:rPr>
      </w:pPr>
      <w:r w:rsidRPr="006E7CE4">
        <w:rPr>
          <w:color w:val="000000"/>
          <w:szCs w:val="24"/>
          <w:lang w:eastAsia="ru-RU"/>
        </w:rPr>
        <w:t xml:space="preserve">  </w:t>
      </w:r>
      <w:r w:rsidR="003B681E" w:rsidRPr="006E7CE4">
        <w:rPr>
          <w:color w:val="000000"/>
          <w:szCs w:val="24"/>
          <w:lang w:eastAsia="ru-RU"/>
        </w:rPr>
        <w:t>Амортизационные отчисления на полное восстановление основных средств организаций, исключая малые организации, составят оценочно 26 909 млн. рублей (+ 14,5% к уровню 2019 года в соответствии с темпом роста инвестиций в основной капитал).</w:t>
      </w:r>
    </w:p>
    <w:p w14:paraId="2E7D3E0C" w14:textId="77777777" w:rsidR="003B681E" w:rsidRPr="006E7CE4" w:rsidRDefault="003B681E" w:rsidP="006E7CE4">
      <w:pPr>
        <w:widowControl w:val="0"/>
        <w:tabs>
          <w:tab w:val="num" w:pos="0"/>
        </w:tabs>
        <w:spacing w:line="276" w:lineRule="auto"/>
        <w:ind w:firstLine="690"/>
        <w:rPr>
          <w:color w:val="000000"/>
          <w:szCs w:val="24"/>
          <w:lang w:eastAsia="ru-RU"/>
        </w:rPr>
      </w:pPr>
      <w:r w:rsidRPr="006E7CE4">
        <w:rPr>
          <w:color w:val="000000"/>
          <w:szCs w:val="24"/>
          <w:lang w:eastAsia="ru-RU"/>
        </w:rPr>
        <w:t xml:space="preserve">Налоговые доходы в 2020 году оценочно снизятся на </w:t>
      </w:r>
      <w:r w:rsidR="004D0168">
        <w:rPr>
          <w:color w:val="000000"/>
          <w:szCs w:val="24"/>
          <w:lang w:eastAsia="ru-RU"/>
        </w:rPr>
        <w:t>15,7</w:t>
      </w:r>
      <w:r w:rsidRPr="006E7CE4">
        <w:rPr>
          <w:color w:val="000000"/>
          <w:szCs w:val="24"/>
          <w:lang w:eastAsia="ru-RU"/>
        </w:rPr>
        <w:t xml:space="preserve">% и составят </w:t>
      </w:r>
      <w:r w:rsidR="00FC1775" w:rsidRPr="006E7CE4">
        <w:rPr>
          <w:color w:val="000000"/>
          <w:szCs w:val="24"/>
          <w:lang w:eastAsia="ru-RU"/>
        </w:rPr>
        <w:t>36 </w:t>
      </w:r>
      <w:r w:rsidR="004D0168">
        <w:rPr>
          <w:color w:val="000000"/>
          <w:szCs w:val="24"/>
          <w:lang w:eastAsia="ru-RU"/>
        </w:rPr>
        <w:t>219</w:t>
      </w:r>
      <w:r w:rsidR="00FC1775" w:rsidRPr="006E7CE4">
        <w:rPr>
          <w:color w:val="000000"/>
          <w:szCs w:val="24"/>
          <w:lang w:eastAsia="ru-RU"/>
        </w:rPr>
        <w:t> </w:t>
      </w:r>
      <w:r w:rsidRPr="006E7CE4">
        <w:rPr>
          <w:color w:val="000000"/>
          <w:szCs w:val="24"/>
          <w:lang w:eastAsia="ru-RU"/>
        </w:rPr>
        <w:t>млн. рублей с учётом фактических полугодовых значений и ожидаемых поступлений во втором полугодии текущего года, в том ч</w:t>
      </w:r>
      <w:r w:rsidR="008A1EBE">
        <w:rPr>
          <w:color w:val="000000"/>
          <w:szCs w:val="24"/>
          <w:lang w:eastAsia="ru-RU"/>
        </w:rPr>
        <w:t>исле по основным видам налогов:</w:t>
      </w:r>
    </w:p>
    <w:p w14:paraId="15C21B6B" w14:textId="77777777" w:rsidR="003B681E" w:rsidRPr="006E7CE4" w:rsidRDefault="003B681E" w:rsidP="006E7CE4">
      <w:pPr>
        <w:widowControl w:val="0"/>
        <w:tabs>
          <w:tab w:val="num" w:pos="0"/>
        </w:tabs>
        <w:spacing w:line="276" w:lineRule="auto"/>
        <w:ind w:firstLine="690"/>
        <w:rPr>
          <w:color w:val="000000"/>
          <w:szCs w:val="24"/>
          <w:lang w:eastAsia="ru-RU"/>
        </w:rPr>
      </w:pPr>
      <w:r w:rsidRPr="006E7CE4">
        <w:rPr>
          <w:color w:val="000000"/>
          <w:szCs w:val="24"/>
          <w:lang w:eastAsia="ru-RU"/>
        </w:rPr>
        <w:t xml:space="preserve">- налоги на прибыль, доходы (налог на прибыль организаций, НДФЛ): снижение на </w:t>
      </w:r>
      <w:r w:rsidR="00FC1775" w:rsidRPr="006E7CE4">
        <w:rPr>
          <w:color w:val="000000"/>
          <w:szCs w:val="24"/>
          <w:lang w:eastAsia="ru-RU"/>
        </w:rPr>
        <w:t>2</w:t>
      </w:r>
      <w:r w:rsidR="004D0168">
        <w:rPr>
          <w:color w:val="000000"/>
          <w:szCs w:val="24"/>
          <w:lang w:eastAsia="ru-RU"/>
        </w:rPr>
        <w:t>2,8</w:t>
      </w:r>
      <w:r w:rsidRPr="006E7CE4">
        <w:rPr>
          <w:color w:val="000000"/>
          <w:szCs w:val="24"/>
          <w:lang w:eastAsia="ru-RU"/>
        </w:rPr>
        <w:t xml:space="preserve">% до </w:t>
      </w:r>
      <w:r w:rsidR="00FC1775" w:rsidRPr="006E7CE4">
        <w:rPr>
          <w:color w:val="000000"/>
          <w:szCs w:val="24"/>
          <w:lang w:eastAsia="ru-RU"/>
        </w:rPr>
        <w:t xml:space="preserve">18 </w:t>
      </w:r>
      <w:r w:rsidR="004D0168">
        <w:rPr>
          <w:color w:val="000000"/>
          <w:szCs w:val="24"/>
          <w:lang w:eastAsia="ru-RU"/>
        </w:rPr>
        <w:t>535</w:t>
      </w:r>
      <w:r w:rsidRPr="006E7CE4">
        <w:rPr>
          <w:color w:val="000000"/>
          <w:szCs w:val="24"/>
          <w:lang w:eastAsia="ru-RU"/>
        </w:rPr>
        <w:t xml:space="preserve"> млн. рублей, за счёт снижения поступлений налога на прибыль от крупных и средних организаций на </w:t>
      </w:r>
      <w:r w:rsidR="00FC1775" w:rsidRPr="006E7CE4">
        <w:rPr>
          <w:color w:val="000000"/>
          <w:szCs w:val="24"/>
          <w:lang w:eastAsia="ru-RU"/>
        </w:rPr>
        <w:t>47,5</w:t>
      </w:r>
      <w:r w:rsidRPr="006E7CE4">
        <w:rPr>
          <w:color w:val="000000"/>
          <w:szCs w:val="24"/>
          <w:lang w:eastAsia="ru-RU"/>
        </w:rPr>
        <w:t xml:space="preserve">% до </w:t>
      </w:r>
      <w:r w:rsidR="00FC1775" w:rsidRPr="006E7CE4">
        <w:rPr>
          <w:color w:val="000000"/>
          <w:szCs w:val="24"/>
          <w:lang w:eastAsia="ru-RU"/>
        </w:rPr>
        <w:t>5 769</w:t>
      </w:r>
      <w:r w:rsidRPr="006E7CE4">
        <w:rPr>
          <w:color w:val="000000"/>
          <w:szCs w:val="24"/>
          <w:lang w:eastAsia="ru-RU"/>
        </w:rPr>
        <w:t xml:space="preserve"> млн. рублей и </w:t>
      </w:r>
      <w:r w:rsidR="008A6F3A" w:rsidRPr="006E7CE4">
        <w:rPr>
          <w:color w:val="000000"/>
          <w:szCs w:val="24"/>
          <w:lang w:eastAsia="ru-RU"/>
        </w:rPr>
        <w:t xml:space="preserve">НДФЛ на </w:t>
      </w:r>
      <w:r w:rsidR="004D0168">
        <w:rPr>
          <w:color w:val="000000"/>
          <w:szCs w:val="24"/>
          <w:lang w:eastAsia="ru-RU"/>
        </w:rPr>
        <w:t>1,9</w:t>
      </w:r>
      <w:r w:rsidR="008A6F3A" w:rsidRPr="006E7CE4">
        <w:rPr>
          <w:color w:val="000000"/>
          <w:szCs w:val="24"/>
          <w:lang w:eastAsia="ru-RU"/>
        </w:rPr>
        <w:t>%</w:t>
      </w:r>
      <w:r w:rsidRPr="006E7CE4">
        <w:rPr>
          <w:color w:val="000000"/>
          <w:szCs w:val="24"/>
          <w:lang w:eastAsia="ru-RU"/>
        </w:rPr>
        <w:t xml:space="preserve"> до </w:t>
      </w:r>
      <w:r w:rsidR="008A6F3A" w:rsidRPr="006E7CE4">
        <w:rPr>
          <w:color w:val="000000"/>
          <w:szCs w:val="24"/>
          <w:lang w:eastAsia="ru-RU"/>
        </w:rPr>
        <w:t>12 </w:t>
      </w:r>
      <w:r w:rsidR="004D0168">
        <w:rPr>
          <w:color w:val="000000"/>
          <w:szCs w:val="24"/>
          <w:lang w:eastAsia="ru-RU"/>
        </w:rPr>
        <w:t>766</w:t>
      </w:r>
      <w:r w:rsidR="008A6F3A" w:rsidRPr="006E7CE4">
        <w:rPr>
          <w:color w:val="000000"/>
          <w:szCs w:val="24"/>
          <w:lang w:eastAsia="ru-RU"/>
        </w:rPr>
        <w:t> </w:t>
      </w:r>
      <w:r w:rsidR="008A1EBE">
        <w:rPr>
          <w:color w:val="000000"/>
          <w:szCs w:val="24"/>
          <w:lang w:eastAsia="ru-RU"/>
        </w:rPr>
        <w:t>млн. рублей;</w:t>
      </w:r>
    </w:p>
    <w:p w14:paraId="52A28F2B" w14:textId="77777777" w:rsidR="003B681E" w:rsidRPr="006E7CE4" w:rsidRDefault="003B681E" w:rsidP="006E7CE4">
      <w:pPr>
        <w:widowControl w:val="0"/>
        <w:tabs>
          <w:tab w:val="num" w:pos="0"/>
        </w:tabs>
        <w:spacing w:line="276" w:lineRule="auto"/>
        <w:ind w:firstLine="690"/>
        <w:rPr>
          <w:color w:val="000000"/>
          <w:szCs w:val="24"/>
          <w:lang w:eastAsia="ru-RU"/>
        </w:rPr>
      </w:pPr>
      <w:r w:rsidRPr="006E7CE4">
        <w:rPr>
          <w:color w:val="000000"/>
          <w:szCs w:val="24"/>
          <w:lang w:eastAsia="ru-RU"/>
        </w:rPr>
        <w:t>- налоги на товары (работы, услуги) (НДС и акцизы): снижение на 9,8% до 11</w:t>
      </w:r>
      <w:r w:rsidR="008A6F3A" w:rsidRPr="006E7CE4">
        <w:rPr>
          <w:color w:val="000000"/>
          <w:szCs w:val="24"/>
          <w:lang w:eastAsia="ru-RU"/>
        </w:rPr>
        <w:t> </w:t>
      </w:r>
      <w:r w:rsidRPr="006E7CE4">
        <w:rPr>
          <w:color w:val="000000"/>
          <w:szCs w:val="24"/>
          <w:lang w:eastAsia="ru-RU"/>
        </w:rPr>
        <w:t>335</w:t>
      </w:r>
      <w:r w:rsidR="008A6F3A" w:rsidRPr="006E7CE4">
        <w:rPr>
          <w:color w:val="000000"/>
          <w:szCs w:val="24"/>
          <w:lang w:eastAsia="ru-RU"/>
        </w:rPr>
        <w:t> </w:t>
      </w:r>
      <w:r w:rsidRPr="006E7CE4">
        <w:rPr>
          <w:color w:val="000000"/>
          <w:szCs w:val="24"/>
          <w:lang w:eastAsia="ru-RU"/>
        </w:rPr>
        <w:t>млн. рублей;</w:t>
      </w:r>
    </w:p>
    <w:p w14:paraId="415B4069" w14:textId="77777777" w:rsidR="003B681E" w:rsidRPr="006E7CE4" w:rsidRDefault="003B681E" w:rsidP="006E7CE4">
      <w:pPr>
        <w:widowControl w:val="0"/>
        <w:tabs>
          <w:tab w:val="num" w:pos="0"/>
        </w:tabs>
        <w:spacing w:line="276" w:lineRule="auto"/>
        <w:ind w:firstLine="690"/>
        <w:rPr>
          <w:color w:val="000000"/>
          <w:szCs w:val="24"/>
          <w:lang w:eastAsia="ru-RU"/>
        </w:rPr>
      </w:pPr>
      <w:r w:rsidRPr="006E7CE4">
        <w:rPr>
          <w:color w:val="000000"/>
          <w:szCs w:val="24"/>
          <w:lang w:eastAsia="ru-RU"/>
        </w:rPr>
        <w:t xml:space="preserve">- налоги на совокупный доход (поступления по специальным налоговым режимам для субъектов малого предпринимательства: УСН, ЕНВД, патентная система </w:t>
      </w:r>
      <w:r w:rsidRPr="006E7CE4">
        <w:rPr>
          <w:color w:val="000000"/>
          <w:szCs w:val="24"/>
          <w:lang w:eastAsia="ru-RU"/>
        </w:rPr>
        <w:lastRenderedPageBreak/>
        <w:t>налогообложения, а также единый сельскохозяйственный налог): снижение на 1</w:t>
      </w:r>
      <w:r w:rsidR="004D0168">
        <w:rPr>
          <w:color w:val="000000"/>
          <w:szCs w:val="24"/>
          <w:lang w:eastAsia="ru-RU"/>
        </w:rPr>
        <w:t>1,3</w:t>
      </w:r>
      <w:r w:rsidRPr="006E7CE4">
        <w:rPr>
          <w:color w:val="000000"/>
          <w:szCs w:val="24"/>
          <w:lang w:eastAsia="ru-RU"/>
        </w:rPr>
        <w:t>% до 1 6</w:t>
      </w:r>
      <w:r w:rsidR="004D0168">
        <w:rPr>
          <w:color w:val="000000"/>
          <w:szCs w:val="24"/>
          <w:lang w:eastAsia="ru-RU"/>
        </w:rPr>
        <w:t>55</w:t>
      </w:r>
      <w:r w:rsidRPr="006E7CE4">
        <w:rPr>
          <w:color w:val="000000"/>
          <w:szCs w:val="24"/>
          <w:lang w:eastAsia="ru-RU"/>
        </w:rPr>
        <w:t xml:space="preserve"> млн. </w:t>
      </w:r>
      <w:r w:rsidR="008A1EBE">
        <w:rPr>
          <w:color w:val="000000"/>
          <w:szCs w:val="24"/>
          <w:lang w:eastAsia="ru-RU"/>
        </w:rPr>
        <w:t>рублей, в основном за счет УСН;</w:t>
      </w:r>
    </w:p>
    <w:p w14:paraId="64C2C32D" w14:textId="77777777" w:rsidR="003B681E" w:rsidRPr="006E7CE4" w:rsidRDefault="003B681E" w:rsidP="006E7CE4">
      <w:pPr>
        <w:widowControl w:val="0"/>
        <w:tabs>
          <w:tab w:val="num" w:pos="0"/>
        </w:tabs>
        <w:spacing w:line="276" w:lineRule="auto"/>
        <w:ind w:firstLine="690"/>
        <w:rPr>
          <w:color w:val="000000"/>
          <w:szCs w:val="24"/>
          <w:lang w:eastAsia="ru-RU"/>
        </w:rPr>
      </w:pPr>
      <w:r w:rsidRPr="006E7CE4">
        <w:rPr>
          <w:color w:val="000000"/>
          <w:szCs w:val="24"/>
          <w:lang w:eastAsia="ru-RU"/>
        </w:rPr>
        <w:t xml:space="preserve">- налоги на имущество (налог на имущества организаций; транспортный налог, земельный налог; </w:t>
      </w:r>
      <w:r w:rsidR="008A6F3A" w:rsidRPr="006E7CE4">
        <w:rPr>
          <w:color w:val="000000"/>
          <w:szCs w:val="24"/>
          <w:lang w:eastAsia="ru-RU"/>
        </w:rPr>
        <w:t>налог на имущество физических лиц (</w:t>
      </w:r>
      <w:r w:rsidRPr="006E7CE4">
        <w:rPr>
          <w:color w:val="000000"/>
          <w:szCs w:val="24"/>
          <w:lang w:eastAsia="ru-RU"/>
        </w:rPr>
        <w:t xml:space="preserve">НИФЛ) – рост на </w:t>
      </w:r>
      <w:r w:rsidR="008A6F3A" w:rsidRPr="006E7CE4">
        <w:rPr>
          <w:color w:val="000000"/>
          <w:szCs w:val="24"/>
          <w:lang w:eastAsia="ru-RU"/>
        </w:rPr>
        <w:t>2,0</w:t>
      </w:r>
      <w:r w:rsidRPr="006E7CE4">
        <w:rPr>
          <w:color w:val="000000"/>
          <w:szCs w:val="24"/>
          <w:lang w:eastAsia="ru-RU"/>
        </w:rPr>
        <w:t>% до 4</w:t>
      </w:r>
      <w:r w:rsidR="008A1EBE">
        <w:rPr>
          <w:color w:val="000000"/>
          <w:szCs w:val="24"/>
          <w:lang w:eastAsia="ru-RU"/>
        </w:rPr>
        <w:t> </w:t>
      </w:r>
      <w:r w:rsidR="008A6F3A" w:rsidRPr="006E7CE4">
        <w:rPr>
          <w:color w:val="000000"/>
          <w:szCs w:val="24"/>
          <w:lang w:eastAsia="ru-RU"/>
        </w:rPr>
        <w:t>496</w:t>
      </w:r>
      <w:r w:rsidR="008A1EBE">
        <w:rPr>
          <w:color w:val="000000"/>
          <w:szCs w:val="24"/>
          <w:lang w:eastAsia="ru-RU"/>
        </w:rPr>
        <w:t> </w:t>
      </w:r>
      <w:r w:rsidRPr="006E7CE4">
        <w:rPr>
          <w:color w:val="000000"/>
          <w:szCs w:val="24"/>
          <w:lang w:eastAsia="ru-RU"/>
        </w:rPr>
        <w:t>млн. рублей, в основном, за счёт роста поступлений налога на имущество организаций на 6,8% и транспортного налога на 3,5% в областной бюджет;</w:t>
      </w:r>
      <w:r w:rsidR="008A6F3A" w:rsidRPr="006E7CE4">
        <w:rPr>
          <w:color w:val="000000"/>
          <w:szCs w:val="24"/>
          <w:lang w:eastAsia="ru-RU"/>
        </w:rPr>
        <w:t xml:space="preserve"> ожидаемое снижение поступлений земельного налога и НИФЛ – на 6,3% и 5,7% соответственно;</w:t>
      </w:r>
    </w:p>
    <w:p w14:paraId="1EC676AF" w14:textId="77777777" w:rsidR="003B681E" w:rsidRPr="006E7CE4" w:rsidRDefault="003B681E" w:rsidP="006E7CE4">
      <w:pPr>
        <w:widowControl w:val="0"/>
        <w:tabs>
          <w:tab w:val="num" w:pos="0"/>
        </w:tabs>
        <w:spacing w:line="276" w:lineRule="auto"/>
        <w:ind w:firstLine="690"/>
        <w:rPr>
          <w:color w:val="000000"/>
          <w:szCs w:val="24"/>
          <w:lang w:eastAsia="ru-RU"/>
        </w:rPr>
      </w:pPr>
      <w:r w:rsidRPr="006E7CE4">
        <w:rPr>
          <w:color w:val="000000"/>
          <w:szCs w:val="24"/>
          <w:lang w:eastAsia="ru-RU"/>
        </w:rPr>
        <w:t xml:space="preserve">- налоги, сборы за пользование природными ресурсами и прочие налоговые доходы вырастут на </w:t>
      </w:r>
      <w:r w:rsidR="008A6F3A" w:rsidRPr="006E7CE4">
        <w:rPr>
          <w:color w:val="000000"/>
          <w:szCs w:val="24"/>
          <w:lang w:eastAsia="ru-RU"/>
        </w:rPr>
        <w:t>40,9</w:t>
      </w:r>
      <w:r w:rsidRPr="006E7CE4">
        <w:rPr>
          <w:color w:val="000000"/>
          <w:szCs w:val="24"/>
          <w:lang w:eastAsia="ru-RU"/>
        </w:rPr>
        <w:t xml:space="preserve">% до </w:t>
      </w:r>
      <w:r w:rsidR="008A6F3A" w:rsidRPr="006E7CE4">
        <w:rPr>
          <w:color w:val="000000"/>
          <w:szCs w:val="24"/>
          <w:lang w:eastAsia="ru-RU"/>
        </w:rPr>
        <w:t>19</w:t>
      </w:r>
      <w:r w:rsidR="00022A8E">
        <w:rPr>
          <w:color w:val="000000"/>
          <w:szCs w:val="24"/>
          <w:lang w:eastAsia="ru-RU"/>
        </w:rPr>
        <w:t>8</w:t>
      </w:r>
      <w:r w:rsidR="008A6F3A" w:rsidRPr="006E7CE4">
        <w:rPr>
          <w:color w:val="000000"/>
          <w:szCs w:val="24"/>
          <w:lang w:eastAsia="ru-RU"/>
        </w:rPr>
        <w:t xml:space="preserve"> </w:t>
      </w:r>
      <w:r w:rsidRPr="006E7CE4">
        <w:rPr>
          <w:color w:val="000000"/>
          <w:szCs w:val="24"/>
          <w:lang w:eastAsia="ru-RU"/>
        </w:rPr>
        <w:t>млн. рублей, в основном, за счёт госпошлины.</w:t>
      </w:r>
    </w:p>
    <w:p w14:paraId="3EC3C92D" w14:textId="77777777" w:rsidR="003B681E" w:rsidRDefault="008A6F3A" w:rsidP="006E7CE4">
      <w:pPr>
        <w:widowControl w:val="0"/>
        <w:tabs>
          <w:tab w:val="num" w:pos="0"/>
        </w:tabs>
        <w:spacing w:line="276" w:lineRule="auto"/>
        <w:ind w:firstLine="690"/>
        <w:rPr>
          <w:color w:val="000000"/>
          <w:szCs w:val="24"/>
          <w:lang w:eastAsia="ru-RU"/>
        </w:rPr>
      </w:pPr>
      <w:r w:rsidRPr="006E7CE4">
        <w:rPr>
          <w:color w:val="000000"/>
          <w:szCs w:val="24"/>
          <w:lang w:eastAsia="ru-RU"/>
        </w:rPr>
        <w:t>По оценке, в</w:t>
      </w:r>
      <w:r w:rsidR="003B681E" w:rsidRPr="006E7CE4">
        <w:rPr>
          <w:color w:val="000000"/>
          <w:szCs w:val="24"/>
          <w:lang w:eastAsia="ru-RU"/>
        </w:rPr>
        <w:t xml:space="preserve"> 2020 году в бюджет городского округа Тольятти </w:t>
      </w:r>
      <w:r w:rsidRPr="006E7CE4">
        <w:rPr>
          <w:color w:val="000000"/>
          <w:szCs w:val="24"/>
          <w:lang w:eastAsia="ru-RU"/>
        </w:rPr>
        <w:t>будут зачислены налоговые доходы на общую сумму 5 </w:t>
      </w:r>
      <w:r w:rsidR="004D0168">
        <w:rPr>
          <w:color w:val="000000"/>
          <w:szCs w:val="24"/>
          <w:lang w:eastAsia="ru-RU"/>
        </w:rPr>
        <w:t>704</w:t>
      </w:r>
      <w:r w:rsidR="003B681E" w:rsidRPr="006E7CE4">
        <w:rPr>
          <w:color w:val="000000"/>
          <w:szCs w:val="24"/>
          <w:lang w:eastAsia="ru-RU"/>
        </w:rPr>
        <w:t> млн. рублей (-</w:t>
      </w:r>
      <w:r w:rsidR="004D0168">
        <w:rPr>
          <w:color w:val="000000"/>
          <w:szCs w:val="24"/>
          <w:lang w:eastAsia="ru-RU"/>
        </w:rPr>
        <w:t>2,7</w:t>
      </w:r>
      <w:r w:rsidR="003B681E" w:rsidRPr="006E7CE4">
        <w:rPr>
          <w:color w:val="000000"/>
          <w:szCs w:val="24"/>
          <w:lang w:eastAsia="ru-RU"/>
        </w:rPr>
        <w:t>% от уровня 2019 года), что составит 15,</w:t>
      </w:r>
      <w:r w:rsidRPr="006E7CE4">
        <w:rPr>
          <w:color w:val="000000"/>
          <w:szCs w:val="24"/>
          <w:lang w:eastAsia="ru-RU"/>
        </w:rPr>
        <w:t>7</w:t>
      </w:r>
      <w:r w:rsidR="003B681E" w:rsidRPr="006E7CE4">
        <w:rPr>
          <w:color w:val="000000"/>
          <w:szCs w:val="24"/>
          <w:lang w:eastAsia="ru-RU"/>
        </w:rPr>
        <w:t xml:space="preserve">% от общей суммы налоговых доходов в бюджетную систему </w:t>
      </w:r>
      <w:r w:rsidR="0044461E">
        <w:rPr>
          <w:color w:val="000000"/>
          <w:szCs w:val="24"/>
          <w:lang w:eastAsia="ru-RU"/>
        </w:rPr>
        <w:t>Российской Федерации</w:t>
      </w:r>
      <w:r w:rsidR="003B681E" w:rsidRPr="006E7CE4">
        <w:rPr>
          <w:color w:val="000000"/>
          <w:szCs w:val="24"/>
          <w:lang w:eastAsia="ru-RU"/>
        </w:rPr>
        <w:t xml:space="preserve"> с территории город</w:t>
      </w:r>
      <w:r w:rsidR="008A1EBE">
        <w:rPr>
          <w:color w:val="000000"/>
          <w:szCs w:val="24"/>
          <w:lang w:eastAsia="ru-RU"/>
        </w:rPr>
        <w:t>ского округа Тольятти.</w:t>
      </w:r>
    </w:p>
    <w:p w14:paraId="7809A6A0" w14:textId="77777777" w:rsidR="003B681E" w:rsidRDefault="003B681E" w:rsidP="006E7CE4">
      <w:pPr>
        <w:widowControl w:val="0"/>
        <w:tabs>
          <w:tab w:val="num" w:pos="0"/>
        </w:tabs>
        <w:spacing w:line="276" w:lineRule="auto"/>
        <w:ind w:firstLine="690"/>
        <w:rPr>
          <w:color w:val="000000"/>
          <w:szCs w:val="24"/>
          <w:lang w:eastAsia="ru-RU"/>
        </w:rPr>
      </w:pPr>
      <w:r w:rsidRPr="006E7CE4">
        <w:rPr>
          <w:color w:val="000000"/>
          <w:szCs w:val="24"/>
          <w:lang w:eastAsia="ru-RU"/>
        </w:rPr>
        <w:t>Неналоговые доходы местного бюджета в 2020 году по оценке составят 6</w:t>
      </w:r>
      <w:r w:rsidR="008A6F3A" w:rsidRPr="006E7CE4">
        <w:rPr>
          <w:color w:val="000000"/>
          <w:szCs w:val="24"/>
          <w:lang w:eastAsia="ru-RU"/>
        </w:rPr>
        <w:t>93</w:t>
      </w:r>
      <w:r w:rsidRPr="006E7CE4">
        <w:rPr>
          <w:color w:val="000000"/>
          <w:szCs w:val="24"/>
          <w:lang w:eastAsia="ru-RU"/>
        </w:rPr>
        <w:t xml:space="preserve"> млн. рублей при снижении на </w:t>
      </w:r>
      <w:r w:rsidR="008A6F3A" w:rsidRPr="006E7CE4">
        <w:rPr>
          <w:color w:val="000000"/>
          <w:szCs w:val="24"/>
          <w:lang w:eastAsia="ru-RU"/>
        </w:rPr>
        <w:t>25,8</w:t>
      </w:r>
      <w:r w:rsidRPr="006E7CE4">
        <w:rPr>
          <w:color w:val="000000"/>
          <w:szCs w:val="24"/>
          <w:lang w:eastAsia="ru-RU"/>
        </w:rPr>
        <w:t>% относительно уровня 2019 года, в том числе за счёт оказания мер поддержки арендаторам муниципального имущества, осуществляющим деятельность в наиболее пострадавших отраслях экономики, в виде снижения размера арендной платы и предоставлении отсрочек по оплате за период с 01.04.2020 по 30.09.2020 на срок до 01.01.2023.</w:t>
      </w:r>
    </w:p>
    <w:p w14:paraId="254A3BD1" w14:textId="77777777" w:rsidR="00F137AB" w:rsidRPr="006E7CE4" w:rsidRDefault="00F137AB" w:rsidP="00F137AB">
      <w:pPr>
        <w:widowControl w:val="0"/>
        <w:tabs>
          <w:tab w:val="num" w:pos="0"/>
        </w:tabs>
        <w:spacing w:line="276" w:lineRule="auto"/>
        <w:ind w:firstLine="690"/>
        <w:rPr>
          <w:color w:val="000000"/>
          <w:szCs w:val="24"/>
          <w:lang w:eastAsia="ru-RU"/>
        </w:rPr>
      </w:pPr>
      <w:r>
        <w:rPr>
          <w:color w:val="000000"/>
          <w:szCs w:val="24"/>
          <w:lang w:eastAsia="ru-RU"/>
        </w:rPr>
        <w:t xml:space="preserve">По оценке, в 2020 году в связи с негативным влиянием на экономику </w:t>
      </w:r>
      <w:r w:rsidR="006975DC">
        <w:rPr>
          <w:szCs w:val="24"/>
        </w:rPr>
        <w:t>городского округа Тольятти</w:t>
      </w:r>
      <w:r w:rsidR="006975DC">
        <w:rPr>
          <w:color w:val="000000"/>
          <w:szCs w:val="24"/>
          <w:lang w:eastAsia="ru-RU"/>
        </w:rPr>
        <w:t xml:space="preserve"> </w:t>
      </w:r>
      <w:r>
        <w:rPr>
          <w:color w:val="000000"/>
          <w:szCs w:val="24"/>
          <w:lang w:eastAsia="ru-RU"/>
        </w:rPr>
        <w:t xml:space="preserve">ограничительных мер, введенных в связи с распространением коронавирусной </w:t>
      </w:r>
      <w:r w:rsidR="002754E7">
        <w:rPr>
          <w:color w:val="000000"/>
          <w:szCs w:val="24"/>
          <w:lang w:eastAsia="ru-RU"/>
        </w:rPr>
        <w:t>инфекции,</w:t>
      </w:r>
      <w:r>
        <w:rPr>
          <w:color w:val="000000"/>
          <w:szCs w:val="24"/>
          <w:lang w:eastAsia="ru-RU"/>
        </w:rPr>
        <w:t xml:space="preserve"> а также предоставлением мер поддержки (отсрочек, рассрочек) по уплате налогов и иных платежей субъектам малого предпринимательства и населению, общий объём недополученных доходов в бюджет городского округа Тольятти может составить 663 млн. рублей.</w:t>
      </w:r>
    </w:p>
    <w:p w14:paraId="2BE585C9" w14:textId="77777777" w:rsidR="003B681E" w:rsidRPr="006E7CE4" w:rsidRDefault="003B681E" w:rsidP="006E7CE4">
      <w:pPr>
        <w:widowControl w:val="0"/>
        <w:tabs>
          <w:tab w:val="num" w:pos="0"/>
        </w:tabs>
        <w:spacing w:line="276" w:lineRule="auto"/>
        <w:ind w:firstLine="690"/>
        <w:rPr>
          <w:color w:val="000000"/>
          <w:szCs w:val="24"/>
          <w:lang w:eastAsia="ru-RU"/>
        </w:rPr>
      </w:pPr>
      <w:r w:rsidRPr="006E7CE4">
        <w:rPr>
          <w:color w:val="000000"/>
          <w:szCs w:val="24"/>
          <w:lang w:eastAsia="ru-RU"/>
        </w:rPr>
        <w:t>Страховые взносы в государственные внебюджетные фонды, по оценке, составят 2</w:t>
      </w:r>
      <w:r w:rsidR="00901C78" w:rsidRPr="006E7CE4">
        <w:rPr>
          <w:color w:val="000000"/>
          <w:szCs w:val="24"/>
          <w:lang w:eastAsia="ru-RU"/>
        </w:rPr>
        <w:t>4 </w:t>
      </w:r>
      <w:r w:rsidR="004D0168">
        <w:rPr>
          <w:color w:val="000000"/>
          <w:szCs w:val="24"/>
          <w:lang w:eastAsia="ru-RU"/>
        </w:rPr>
        <w:t>701</w:t>
      </w:r>
      <w:r w:rsidR="00901C78" w:rsidRPr="006E7CE4">
        <w:rPr>
          <w:color w:val="000000"/>
          <w:szCs w:val="24"/>
          <w:lang w:eastAsia="ru-RU"/>
        </w:rPr>
        <w:t xml:space="preserve"> млн. рублей (-</w:t>
      </w:r>
      <w:r w:rsidR="004D0168">
        <w:rPr>
          <w:color w:val="000000"/>
          <w:szCs w:val="24"/>
          <w:lang w:eastAsia="ru-RU"/>
        </w:rPr>
        <w:t>1,9</w:t>
      </w:r>
      <w:r w:rsidR="00901C78" w:rsidRPr="006E7CE4">
        <w:rPr>
          <w:color w:val="000000"/>
          <w:szCs w:val="24"/>
          <w:lang w:eastAsia="ru-RU"/>
        </w:rPr>
        <w:t>% от</w:t>
      </w:r>
      <w:r w:rsidRPr="006E7CE4">
        <w:rPr>
          <w:color w:val="000000"/>
          <w:szCs w:val="24"/>
          <w:lang w:eastAsia="ru-RU"/>
        </w:rPr>
        <w:t xml:space="preserve"> уровн</w:t>
      </w:r>
      <w:r w:rsidR="00901C78" w:rsidRPr="006E7CE4">
        <w:rPr>
          <w:color w:val="000000"/>
          <w:szCs w:val="24"/>
          <w:lang w:eastAsia="ru-RU"/>
        </w:rPr>
        <w:t>я</w:t>
      </w:r>
      <w:r w:rsidRPr="006E7CE4">
        <w:rPr>
          <w:color w:val="000000"/>
          <w:szCs w:val="24"/>
          <w:lang w:eastAsia="ru-RU"/>
        </w:rPr>
        <w:t xml:space="preserve"> 2019 года в соответствии с темпом роста фонда оплаты труда работников организаций городского округа Тольятти). При этом, расходы государственных внебюджетных фондов на выплату пенсий и пособий жителям городского округа Тольятти составят оценочно 52 759 млн. рублей (+6,6%), что на 2</w:t>
      </w:r>
      <w:r w:rsidR="00901C78" w:rsidRPr="006E7CE4">
        <w:rPr>
          <w:color w:val="000000"/>
          <w:szCs w:val="24"/>
          <w:lang w:eastAsia="ru-RU"/>
        </w:rPr>
        <w:t>8 </w:t>
      </w:r>
      <w:r w:rsidR="004D0168">
        <w:rPr>
          <w:color w:val="000000"/>
          <w:szCs w:val="24"/>
          <w:lang w:eastAsia="ru-RU"/>
        </w:rPr>
        <w:t>058</w:t>
      </w:r>
      <w:r w:rsidRPr="006E7CE4">
        <w:rPr>
          <w:color w:val="000000"/>
          <w:szCs w:val="24"/>
          <w:lang w:eastAsia="ru-RU"/>
        </w:rPr>
        <w:t> млн. рублей больше доходной части за счёт финансирования дефицита Пенсионного Фонда России из федерального бюджета.</w:t>
      </w:r>
    </w:p>
    <w:p w14:paraId="1F4A4717" w14:textId="77777777" w:rsidR="003B681E" w:rsidRPr="006E7CE4" w:rsidRDefault="003B681E" w:rsidP="006E7CE4">
      <w:pPr>
        <w:widowControl w:val="0"/>
        <w:tabs>
          <w:tab w:val="num" w:pos="0"/>
        </w:tabs>
        <w:spacing w:line="276" w:lineRule="auto"/>
        <w:ind w:firstLine="690"/>
        <w:rPr>
          <w:color w:val="000000"/>
          <w:szCs w:val="24"/>
          <w:lang w:eastAsia="ru-RU"/>
        </w:rPr>
      </w:pPr>
      <w:r w:rsidRPr="006E7CE4">
        <w:rPr>
          <w:color w:val="000000"/>
          <w:szCs w:val="24"/>
          <w:lang w:eastAsia="ru-RU"/>
        </w:rPr>
        <w:t xml:space="preserve">Расходы за счет средств, остающихся в распоряжении крупных и средних организаций (сумма прибыли прибыльных организаций до налогообложения (за вычетом налога на прибыль) и амортизационных отчислений на полное восстановление основных средств) составят в 2020 году </w:t>
      </w:r>
      <w:r w:rsidR="00FC1775" w:rsidRPr="006E7CE4">
        <w:rPr>
          <w:color w:val="000000"/>
          <w:szCs w:val="24"/>
          <w:lang w:eastAsia="ru-RU"/>
        </w:rPr>
        <w:t>37 997</w:t>
      </w:r>
      <w:r w:rsidRPr="006E7CE4">
        <w:rPr>
          <w:color w:val="000000"/>
          <w:szCs w:val="24"/>
          <w:lang w:eastAsia="ru-RU"/>
        </w:rPr>
        <w:t xml:space="preserve"> млн. рублей, что на </w:t>
      </w:r>
      <w:r w:rsidR="00FC1775" w:rsidRPr="006E7CE4">
        <w:rPr>
          <w:color w:val="000000"/>
          <w:szCs w:val="24"/>
          <w:lang w:eastAsia="ru-RU"/>
        </w:rPr>
        <w:t>14,8</w:t>
      </w:r>
      <w:r w:rsidRPr="006E7CE4">
        <w:rPr>
          <w:color w:val="000000"/>
          <w:szCs w:val="24"/>
          <w:lang w:eastAsia="ru-RU"/>
        </w:rPr>
        <w:t>% меньше, чем в 2019 году, за счет снижения прибыли прибыльных организаций.</w:t>
      </w:r>
    </w:p>
    <w:p w14:paraId="7F95F360" w14:textId="77777777" w:rsidR="003B681E" w:rsidRDefault="003B681E" w:rsidP="0044461E">
      <w:pPr>
        <w:pStyle w:val="af0"/>
        <w:spacing w:before="120" w:line="276" w:lineRule="auto"/>
        <w:ind w:firstLine="0"/>
        <w:jc w:val="center"/>
        <w:rPr>
          <w:szCs w:val="24"/>
        </w:rPr>
      </w:pPr>
      <w:r w:rsidRPr="00175E32">
        <w:rPr>
          <w:szCs w:val="24"/>
        </w:rPr>
        <w:t>Ожидаемое выполнение показателей по разделу «Финансы» на 2020 год</w:t>
      </w:r>
    </w:p>
    <w:p w14:paraId="36A6A8A8" w14:textId="77777777" w:rsidR="0044461E" w:rsidRDefault="0044461E" w:rsidP="0044461E">
      <w:pPr>
        <w:pStyle w:val="af0"/>
        <w:spacing w:before="120" w:line="276" w:lineRule="auto"/>
        <w:ind w:firstLine="0"/>
        <w:jc w:val="center"/>
        <w:rPr>
          <w:szCs w:val="24"/>
        </w:rPr>
      </w:pPr>
    </w:p>
    <w:tbl>
      <w:tblPr>
        <w:tblW w:w="9371" w:type="dxa"/>
        <w:tblInd w:w="93" w:type="dxa"/>
        <w:tblLook w:val="00A0" w:firstRow="1" w:lastRow="0" w:firstColumn="1" w:lastColumn="0" w:noHBand="0" w:noVBand="0"/>
      </w:tblPr>
      <w:tblGrid>
        <w:gridCol w:w="2594"/>
        <w:gridCol w:w="1556"/>
        <w:gridCol w:w="1150"/>
        <w:gridCol w:w="1130"/>
        <w:gridCol w:w="1237"/>
        <w:gridCol w:w="1704"/>
      </w:tblGrid>
      <w:tr w:rsidR="003B681E" w:rsidRPr="00175E32" w14:paraId="18B1F6BD" w14:textId="77777777" w:rsidTr="0044461E">
        <w:trPr>
          <w:trHeight w:val="418"/>
          <w:tblHeader/>
        </w:trPr>
        <w:tc>
          <w:tcPr>
            <w:tcW w:w="2594" w:type="dxa"/>
            <w:vMerge w:val="restart"/>
            <w:tcBorders>
              <w:top w:val="single" w:sz="4" w:space="0" w:color="auto"/>
              <w:left w:val="single" w:sz="4" w:space="0" w:color="auto"/>
              <w:bottom w:val="nil"/>
              <w:right w:val="single" w:sz="4" w:space="0" w:color="auto"/>
            </w:tcBorders>
            <w:vAlign w:val="center"/>
          </w:tcPr>
          <w:p w14:paraId="32A0F565" w14:textId="77777777" w:rsidR="003B681E" w:rsidRPr="00175E32" w:rsidRDefault="003B681E" w:rsidP="008A1EBE">
            <w:pPr>
              <w:suppressAutoHyphens w:val="0"/>
              <w:ind w:firstLine="0"/>
              <w:jc w:val="center"/>
              <w:rPr>
                <w:bCs/>
                <w:szCs w:val="24"/>
                <w:lang w:eastAsia="ru-RU"/>
              </w:rPr>
            </w:pPr>
            <w:r w:rsidRPr="00175E32">
              <w:rPr>
                <w:bCs/>
                <w:szCs w:val="24"/>
                <w:lang w:eastAsia="ru-RU"/>
              </w:rPr>
              <w:t>Показатели</w:t>
            </w:r>
          </w:p>
        </w:tc>
        <w:tc>
          <w:tcPr>
            <w:tcW w:w="1556" w:type="dxa"/>
            <w:vMerge w:val="restart"/>
            <w:tcBorders>
              <w:top w:val="single" w:sz="4" w:space="0" w:color="auto"/>
              <w:left w:val="single" w:sz="4" w:space="0" w:color="auto"/>
              <w:bottom w:val="nil"/>
              <w:right w:val="single" w:sz="4" w:space="0" w:color="auto"/>
            </w:tcBorders>
            <w:vAlign w:val="center"/>
          </w:tcPr>
          <w:p w14:paraId="63F2FEA7" w14:textId="77777777" w:rsidR="003B681E" w:rsidRPr="00175E32" w:rsidRDefault="003B681E" w:rsidP="008A1EBE">
            <w:pPr>
              <w:suppressAutoHyphens w:val="0"/>
              <w:ind w:firstLine="0"/>
              <w:jc w:val="center"/>
              <w:rPr>
                <w:bCs/>
                <w:szCs w:val="24"/>
                <w:lang w:eastAsia="ru-RU"/>
              </w:rPr>
            </w:pPr>
            <w:r w:rsidRPr="00175E32">
              <w:rPr>
                <w:bCs/>
                <w:szCs w:val="24"/>
                <w:lang w:eastAsia="ru-RU"/>
              </w:rPr>
              <w:t>Единица измерения</w:t>
            </w:r>
          </w:p>
        </w:tc>
        <w:tc>
          <w:tcPr>
            <w:tcW w:w="2280" w:type="dxa"/>
            <w:gridSpan w:val="2"/>
            <w:tcBorders>
              <w:top w:val="single" w:sz="4" w:space="0" w:color="auto"/>
              <w:left w:val="nil"/>
              <w:bottom w:val="nil"/>
              <w:right w:val="single" w:sz="4" w:space="0" w:color="000000"/>
            </w:tcBorders>
            <w:vAlign w:val="center"/>
          </w:tcPr>
          <w:p w14:paraId="7C203A23" w14:textId="77777777" w:rsidR="008A1EBE" w:rsidRDefault="003B681E" w:rsidP="008A1EBE">
            <w:pPr>
              <w:ind w:firstLine="0"/>
              <w:jc w:val="center"/>
              <w:rPr>
                <w:szCs w:val="24"/>
              </w:rPr>
            </w:pPr>
            <w:r w:rsidRPr="00175E32">
              <w:rPr>
                <w:szCs w:val="24"/>
              </w:rPr>
              <w:t xml:space="preserve">Прогноз на </w:t>
            </w:r>
          </w:p>
          <w:p w14:paraId="7B633903" w14:textId="77777777" w:rsidR="003B681E" w:rsidRPr="00175E32" w:rsidRDefault="003B681E" w:rsidP="008A1EBE">
            <w:pPr>
              <w:ind w:firstLine="0"/>
              <w:jc w:val="center"/>
              <w:rPr>
                <w:szCs w:val="24"/>
              </w:rPr>
            </w:pPr>
            <w:r w:rsidRPr="00175E32">
              <w:rPr>
                <w:szCs w:val="24"/>
              </w:rPr>
              <w:t>2020 год</w:t>
            </w:r>
          </w:p>
        </w:tc>
        <w:tc>
          <w:tcPr>
            <w:tcW w:w="1237" w:type="dxa"/>
            <w:vMerge w:val="restart"/>
            <w:tcBorders>
              <w:top w:val="single" w:sz="4" w:space="0" w:color="auto"/>
              <w:right w:val="single" w:sz="4" w:space="0" w:color="auto"/>
            </w:tcBorders>
            <w:shd w:val="clear" w:color="auto" w:fill="auto"/>
            <w:vAlign w:val="center"/>
          </w:tcPr>
          <w:p w14:paraId="288F224D" w14:textId="77777777" w:rsidR="003B681E" w:rsidRPr="00175E32" w:rsidRDefault="003B681E" w:rsidP="008A1EBE">
            <w:pPr>
              <w:suppressAutoHyphens w:val="0"/>
              <w:spacing w:after="160"/>
              <w:ind w:firstLine="0"/>
              <w:jc w:val="center"/>
              <w:rPr>
                <w:szCs w:val="24"/>
              </w:rPr>
            </w:pPr>
            <w:r w:rsidRPr="00175E32">
              <w:rPr>
                <w:szCs w:val="24"/>
              </w:rPr>
              <w:t>2020 год (оценка)</w:t>
            </w:r>
          </w:p>
        </w:tc>
        <w:tc>
          <w:tcPr>
            <w:tcW w:w="1704" w:type="dxa"/>
            <w:vMerge w:val="restart"/>
            <w:tcBorders>
              <w:top w:val="single" w:sz="4" w:space="0" w:color="auto"/>
              <w:right w:val="single" w:sz="4" w:space="0" w:color="auto"/>
            </w:tcBorders>
            <w:vAlign w:val="center"/>
          </w:tcPr>
          <w:p w14:paraId="1623A158" w14:textId="77777777" w:rsidR="003B681E" w:rsidRPr="00175E32" w:rsidRDefault="003B681E" w:rsidP="008A1EBE">
            <w:pPr>
              <w:suppressAutoHyphens w:val="0"/>
              <w:ind w:firstLine="0"/>
              <w:jc w:val="center"/>
              <w:rPr>
                <w:szCs w:val="24"/>
              </w:rPr>
            </w:pPr>
            <w:r w:rsidRPr="00175E32">
              <w:rPr>
                <w:szCs w:val="24"/>
              </w:rPr>
              <w:t>Изменения</w:t>
            </w:r>
          </w:p>
          <w:p w14:paraId="6FF15760" w14:textId="77777777" w:rsidR="003B681E" w:rsidRPr="00175E32" w:rsidRDefault="003B681E" w:rsidP="008A1EBE">
            <w:pPr>
              <w:suppressAutoHyphens w:val="0"/>
              <w:ind w:firstLine="0"/>
              <w:jc w:val="center"/>
              <w:rPr>
                <w:szCs w:val="24"/>
              </w:rPr>
            </w:pPr>
            <w:r w:rsidRPr="00175E32">
              <w:rPr>
                <w:szCs w:val="24"/>
              </w:rPr>
              <w:t>(сумма/%)</w:t>
            </w:r>
          </w:p>
        </w:tc>
      </w:tr>
      <w:tr w:rsidR="003B681E" w:rsidRPr="00175E32" w14:paraId="4B06BEBD" w14:textId="77777777" w:rsidTr="008A1EBE">
        <w:trPr>
          <w:trHeight w:val="407"/>
          <w:tblHeader/>
        </w:trPr>
        <w:tc>
          <w:tcPr>
            <w:tcW w:w="2594" w:type="dxa"/>
            <w:vMerge/>
            <w:tcBorders>
              <w:left w:val="single" w:sz="4" w:space="0" w:color="auto"/>
              <w:bottom w:val="single" w:sz="4" w:space="0" w:color="auto"/>
              <w:right w:val="single" w:sz="4" w:space="0" w:color="auto"/>
            </w:tcBorders>
            <w:vAlign w:val="center"/>
          </w:tcPr>
          <w:p w14:paraId="7E5363AF" w14:textId="77777777" w:rsidR="003B681E" w:rsidRPr="00175E32" w:rsidRDefault="003B681E" w:rsidP="00074376">
            <w:pPr>
              <w:suppressAutoHyphens w:val="0"/>
              <w:ind w:firstLine="0"/>
              <w:rPr>
                <w:b/>
                <w:bCs/>
                <w:szCs w:val="24"/>
                <w:lang w:eastAsia="ru-RU"/>
              </w:rPr>
            </w:pPr>
          </w:p>
        </w:tc>
        <w:tc>
          <w:tcPr>
            <w:tcW w:w="1556" w:type="dxa"/>
            <w:vMerge/>
            <w:tcBorders>
              <w:left w:val="single" w:sz="4" w:space="0" w:color="auto"/>
              <w:bottom w:val="single" w:sz="4" w:space="0" w:color="auto"/>
              <w:right w:val="single" w:sz="4" w:space="0" w:color="auto"/>
            </w:tcBorders>
            <w:vAlign w:val="center"/>
          </w:tcPr>
          <w:p w14:paraId="60242529" w14:textId="77777777" w:rsidR="003B681E" w:rsidRPr="00175E32" w:rsidRDefault="003B681E" w:rsidP="00074376">
            <w:pPr>
              <w:suppressAutoHyphens w:val="0"/>
              <w:ind w:firstLine="0"/>
              <w:rPr>
                <w:b/>
                <w:bCs/>
                <w:szCs w:val="24"/>
                <w:lang w:eastAsia="ru-RU"/>
              </w:rPr>
            </w:pPr>
          </w:p>
        </w:tc>
        <w:tc>
          <w:tcPr>
            <w:tcW w:w="1150" w:type="dxa"/>
            <w:tcBorders>
              <w:top w:val="single" w:sz="4" w:space="0" w:color="auto"/>
              <w:left w:val="nil"/>
              <w:bottom w:val="single" w:sz="4" w:space="0" w:color="auto"/>
              <w:right w:val="single" w:sz="4" w:space="0" w:color="auto"/>
            </w:tcBorders>
            <w:vAlign w:val="center"/>
          </w:tcPr>
          <w:p w14:paraId="65B28802" w14:textId="77777777" w:rsidR="003B681E" w:rsidRPr="00175E32" w:rsidRDefault="003B681E" w:rsidP="008A1EBE">
            <w:pPr>
              <w:suppressAutoHyphens w:val="0"/>
              <w:ind w:firstLine="0"/>
              <w:jc w:val="center"/>
              <w:rPr>
                <w:bCs/>
                <w:szCs w:val="24"/>
                <w:lang w:eastAsia="ru-RU"/>
              </w:rPr>
            </w:pPr>
            <w:r w:rsidRPr="00175E32">
              <w:rPr>
                <w:bCs/>
                <w:szCs w:val="24"/>
                <w:lang w:eastAsia="ru-RU"/>
              </w:rPr>
              <w:t>1 вариант</w:t>
            </w:r>
          </w:p>
        </w:tc>
        <w:tc>
          <w:tcPr>
            <w:tcW w:w="1130" w:type="dxa"/>
            <w:tcBorders>
              <w:top w:val="single" w:sz="4" w:space="0" w:color="auto"/>
              <w:left w:val="nil"/>
              <w:bottom w:val="single" w:sz="4" w:space="0" w:color="auto"/>
              <w:right w:val="single" w:sz="4" w:space="0" w:color="auto"/>
            </w:tcBorders>
            <w:vAlign w:val="center"/>
          </w:tcPr>
          <w:p w14:paraId="0D18A712" w14:textId="77777777" w:rsidR="003B681E" w:rsidRPr="00175E32" w:rsidRDefault="003B681E" w:rsidP="008A1EBE">
            <w:pPr>
              <w:suppressAutoHyphens w:val="0"/>
              <w:ind w:firstLine="0"/>
              <w:jc w:val="center"/>
              <w:rPr>
                <w:bCs/>
                <w:szCs w:val="24"/>
                <w:lang w:eastAsia="ru-RU"/>
              </w:rPr>
            </w:pPr>
            <w:r w:rsidRPr="00175E32">
              <w:rPr>
                <w:bCs/>
                <w:szCs w:val="24"/>
                <w:lang w:eastAsia="ru-RU"/>
              </w:rPr>
              <w:t>2 вариант</w:t>
            </w:r>
          </w:p>
        </w:tc>
        <w:tc>
          <w:tcPr>
            <w:tcW w:w="1237" w:type="dxa"/>
            <w:vMerge/>
            <w:tcBorders>
              <w:left w:val="single" w:sz="4" w:space="0" w:color="auto"/>
              <w:bottom w:val="single" w:sz="4" w:space="0" w:color="auto"/>
              <w:right w:val="single" w:sz="4" w:space="0" w:color="auto"/>
            </w:tcBorders>
          </w:tcPr>
          <w:p w14:paraId="05CE1810" w14:textId="77777777" w:rsidR="003B681E" w:rsidRPr="00175E32" w:rsidRDefault="003B681E" w:rsidP="00074376">
            <w:pPr>
              <w:suppressAutoHyphens w:val="0"/>
              <w:ind w:firstLine="0"/>
              <w:rPr>
                <w:b/>
                <w:bCs/>
                <w:szCs w:val="24"/>
                <w:lang w:eastAsia="ru-RU"/>
              </w:rPr>
            </w:pPr>
          </w:p>
        </w:tc>
        <w:tc>
          <w:tcPr>
            <w:tcW w:w="1704" w:type="dxa"/>
            <w:vMerge/>
            <w:tcBorders>
              <w:left w:val="single" w:sz="4" w:space="0" w:color="auto"/>
              <w:bottom w:val="single" w:sz="4" w:space="0" w:color="auto"/>
              <w:right w:val="single" w:sz="4" w:space="0" w:color="auto"/>
            </w:tcBorders>
          </w:tcPr>
          <w:p w14:paraId="4E7DCBF8" w14:textId="77777777" w:rsidR="003B681E" w:rsidRPr="00175E32" w:rsidRDefault="003B681E" w:rsidP="00074376">
            <w:pPr>
              <w:suppressAutoHyphens w:val="0"/>
              <w:ind w:firstLine="0"/>
              <w:rPr>
                <w:b/>
                <w:bCs/>
                <w:szCs w:val="24"/>
                <w:lang w:eastAsia="ru-RU"/>
              </w:rPr>
            </w:pPr>
          </w:p>
        </w:tc>
      </w:tr>
      <w:tr w:rsidR="003B681E" w:rsidRPr="00175E32" w14:paraId="3389C00E" w14:textId="77777777" w:rsidTr="008A1EBE">
        <w:trPr>
          <w:trHeight w:val="255"/>
        </w:trPr>
        <w:tc>
          <w:tcPr>
            <w:tcW w:w="2594" w:type="dxa"/>
            <w:tcBorders>
              <w:top w:val="nil"/>
              <w:left w:val="single" w:sz="4" w:space="0" w:color="auto"/>
              <w:bottom w:val="single" w:sz="4" w:space="0" w:color="auto"/>
              <w:right w:val="single" w:sz="4" w:space="0" w:color="auto"/>
            </w:tcBorders>
            <w:shd w:val="clear" w:color="000000" w:fill="FFFFFF"/>
            <w:vAlign w:val="center"/>
          </w:tcPr>
          <w:p w14:paraId="5CD023BD" w14:textId="77777777" w:rsidR="003B681E" w:rsidRPr="00175E32" w:rsidRDefault="003B681E" w:rsidP="00074376">
            <w:pPr>
              <w:suppressAutoHyphens w:val="0"/>
              <w:ind w:firstLine="0"/>
              <w:rPr>
                <w:szCs w:val="24"/>
                <w:lang w:eastAsia="ru-RU"/>
              </w:rPr>
            </w:pPr>
            <w:r w:rsidRPr="00175E32">
              <w:rPr>
                <w:szCs w:val="24"/>
                <w:lang w:eastAsia="ru-RU"/>
              </w:rPr>
              <w:t>Прибыль прибыльных организаций</w:t>
            </w:r>
          </w:p>
        </w:tc>
        <w:tc>
          <w:tcPr>
            <w:tcW w:w="1556" w:type="dxa"/>
            <w:tcBorders>
              <w:top w:val="nil"/>
              <w:left w:val="nil"/>
              <w:bottom w:val="single" w:sz="4" w:space="0" w:color="auto"/>
              <w:right w:val="single" w:sz="4" w:space="0" w:color="auto"/>
            </w:tcBorders>
            <w:vAlign w:val="center"/>
          </w:tcPr>
          <w:p w14:paraId="37F7E3A6" w14:textId="77777777" w:rsidR="003B681E" w:rsidRPr="00175E32" w:rsidRDefault="003B681E" w:rsidP="00074376">
            <w:pPr>
              <w:suppressAutoHyphens w:val="0"/>
              <w:ind w:firstLine="0"/>
              <w:jc w:val="center"/>
              <w:rPr>
                <w:szCs w:val="24"/>
                <w:lang w:eastAsia="ru-RU"/>
              </w:rPr>
            </w:pPr>
            <w:r w:rsidRPr="00175E32">
              <w:rPr>
                <w:szCs w:val="24"/>
                <w:lang w:eastAsia="ru-RU"/>
              </w:rPr>
              <w:t>млн. рублей</w:t>
            </w:r>
          </w:p>
        </w:tc>
        <w:tc>
          <w:tcPr>
            <w:tcW w:w="1150" w:type="dxa"/>
            <w:tcBorders>
              <w:top w:val="nil"/>
              <w:left w:val="nil"/>
              <w:bottom w:val="single" w:sz="4" w:space="0" w:color="auto"/>
              <w:right w:val="single" w:sz="4" w:space="0" w:color="auto"/>
            </w:tcBorders>
            <w:vAlign w:val="center"/>
          </w:tcPr>
          <w:p w14:paraId="3BE536EA" w14:textId="77777777" w:rsidR="003B681E" w:rsidRPr="00175E32" w:rsidRDefault="003B681E" w:rsidP="008A1EBE">
            <w:pPr>
              <w:suppressAutoHyphens w:val="0"/>
              <w:ind w:firstLine="0"/>
              <w:jc w:val="center"/>
              <w:rPr>
                <w:szCs w:val="24"/>
                <w:lang w:eastAsia="ru-RU"/>
              </w:rPr>
            </w:pPr>
            <w:r w:rsidRPr="00175E32">
              <w:rPr>
                <w:szCs w:val="24"/>
                <w:lang w:eastAsia="ru-RU"/>
              </w:rPr>
              <w:t>33008</w:t>
            </w:r>
          </w:p>
        </w:tc>
        <w:tc>
          <w:tcPr>
            <w:tcW w:w="1130" w:type="dxa"/>
            <w:tcBorders>
              <w:top w:val="single" w:sz="4" w:space="0" w:color="auto"/>
              <w:left w:val="nil"/>
              <w:bottom w:val="single" w:sz="4" w:space="0" w:color="auto"/>
              <w:right w:val="single" w:sz="4" w:space="0" w:color="auto"/>
            </w:tcBorders>
            <w:vAlign w:val="center"/>
          </w:tcPr>
          <w:p w14:paraId="63788027" w14:textId="77777777" w:rsidR="003B681E" w:rsidRPr="00175E32" w:rsidRDefault="003B681E" w:rsidP="008A1EBE">
            <w:pPr>
              <w:suppressAutoHyphens w:val="0"/>
              <w:ind w:firstLine="0"/>
              <w:jc w:val="center"/>
              <w:rPr>
                <w:szCs w:val="24"/>
                <w:lang w:eastAsia="ru-RU"/>
              </w:rPr>
            </w:pPr>
            <w:r w:rsidRPr="00175E32">
              <w:rPr>
                <w:szCs w:val="24"/>
                <w:lang w:eastAsia="ru-RU"/>
              </w:rPr>
              <w:t>34451</w:t>
            </w:r>
          </w:p>
        </w:tc>
        <w:tc>
          <w:tcPr>
            <w:tcW w:w="1237" w:type="dxa"/>
            <w:tcBorders>
              <w:top w:val="single" w:sz="4" w:space="0" w:color="auto"/>
              <w:left w:val="nil"/>
              <w:bottom w:val="single" w:sz="4" w:space="0" w:color="auto"/>
              <w:right w:val="single" w:sz="4" w:space="0" w:color="auto"/>
            </w:tcBorders>
            <w:vAlign w:val="center"/>
          </w:tcPr>
          <w:p w14:paraId="20D94D82" w14:textId="77777777" w:rsidR="003B681E" w:rsidRPr="00175E32" w:rsidRDefault="004D26F7" w:rsidP="008A1EBE">
            <w:pPr>
              <w:suppressAutoHyphens w:val="0"/>
              <w:ind w:firstLine="0"/>
              <w:jc w:val="center"/>
              <w:rPr>
                <w:szCs w:val="24"/>
                <w:lang w:eastAsia="ru-RU"/>
              </w:rPr>
            </w:pPr>
            <w:r w:rsidRPr="00175E32">
              <w:rPr>
                <w:szCs w:val="24"/>
                <w:lang w:eastAsia="ru-RU"/>
              </w:rPr>
              <w:t>16 857</w:t>
            </w:r>
          </w:p>
        </w:tc>
        <w:tc>
          <w:tcPr>
            <w:tcW w:w="1704" w:type="dxa"/>
            <w:tcBorders>
              <w:top w:val="single" w:sz="4" w:space="0" w:color="auto"/>
              <w:left w:val="nil"/>
              <w:bottom w:val="single" w:sz="4" w:space="0" w:color="auto"/>
              <w:right w:val="single" w:sz="4" w:space="0" w:color="auto"/>
            </w:tcBorders>
            <w:vAlign w:val="center"/>
          </w:tcPr>
          <w:p w14:paraId="4B7F38EF" w14:textId="77777777" w:rsidR="003B681E" w:rsidRPr="00175E32" w:rsidRDefault="003B681E" w:rsidP="008A1EBE">
            <w:pPr>
              <w:suppressAutoHyphens w:val="0"/>
              <w:ind w:firstLine="0"/>
              <w:jc w:val="center"/>
              <w:rPr>
                <w:szCs w:val="24"/>
                <w:lang w:eastAsia="ru-RU"/>
              </w:rPr>
            </w:pPr>
            <w:r w:rsidRPr="00175E32">
              <w:rPr>
                <w:szCs w:val="24"/>
                <w:lang w:eastAsia="ru-RU"/>
              </w:rPr>
              <w:t>-1</w:t>
            </w:r>
            <w:r w:rsidR="004D26F7" w:rsidRPr="00175E32">
              <w:rPr>
                <w:szCs w:val="24"/>
                <w:lang w:eastAsia="ru-RU"/>
              </w:rPr>
              <w:t>7</w:t>
            </w:r>
            <w:r w:rsidR="0028609A" w:rsidRPr="00175E32">
              <w:rPr>
                <w:szCs w:val="24"/>
                <w:lang w:eastAsia="ru-RU"/>
              </w:rPr>
              <w:t> </w:t>
            </w:r>
            <w:r w:rsidR="004D26F7" w:rsidRPr="00175E32">
              <w:rPr>
                <w:szCs w:val="24"/>
                <w:lang w:eastAsia="ru-RU"/>
              </w:rPr>
              <w:t>594</w:t>
            </w:r>
            <w:r w:rsidRPr="00175E32">
              <w:rPr>
                <w:szCs w:val="24"/>
                <w:lang w:eastAsia="ru-RU"/>
              </w:rPr>
              <w:t>/</w:t>
            </w:r>
          </w:p>
          <w:p w14:paraId="6AB81851" w14:textId="77777777" w:rsidR="003B681E" w:rsidRPr="00175E32" w:rsidRDefault="004D26F7" w:rsidP="008A1EBE">
            <w:pPr>
              <w:suppressAutoHyphens w:val="0"/>
              <w:ind w:firstLine="0"/>
              <w:jc w:val="center"/>
              <w:rPr>
                <w:szCs w:val="24"/>
                <w:lang w:eastAsia="ru-RU"/>
              </w:rPr>
            </w:pPr>
            <w:r w:rsidRPr="00175E32">
              <w:rPr>
                <w:szCs w:val="24"/>
                <w:lang w:eastAsia="ru-RU"/>
              </w:rPr>
              <w:t>-51,1</w:t>
            </w:r>
            <w:r w:rsidR="003B681E" w:rsidRPr="00175E32">
              <w:rPr>
                <w:szCs w:val="24"/>
                <w:lang w:eastAsia="ru-RU"/>
              </w:rPr>
              <w:t>%</w:t>
            </w:r>
          </w:p>
        </w:tc>
      </w:tr>
      <w:tr w:rsidR="003B681E" w:rsidRPr="00175E32" w14:paraId="7F343349" w14:textId="77777777" w:rsidTr="008A1EBE">
        <w:trPr>
          <w:trHeight w:val="255"/>
        </w:trPr>
        <w:tc>
          <w:tcPr>
            <w:tcW w:w="2594" w:type="dxa"/>
            <w:tcBorders>
              <w:top w:val="nil"/>
              <w:left w:val="single" w:sz="4" w:space="0" w:color="auto"/>
              <w:bottom w:val="single" w:sz="4" w:space="0" w:color="auto"/>
              <w:right w:val="single" w:sz="4" w:space="0" w:color="auto"/>
            </w:tcBorders>
            <w:shd w:val="clear" w:color="000000" w:fill="FFFFFF"/>
            <w:vAlign w:val="center"/>
          </w:tcPr>
          <w:p w14:paraId="4699B0C1" w14:textId="77777777" w:rsidR="003B681E" w:rsidRPr="00175E32" w:rsidRDefault="003B681E" w:rsidP="00074376">
            <w:pPr>
              <w:suppressAutoHyphens w:val="0"/>
              <w:ind w:firstLine="0"/>
              <w:rPr>
                <w:szCs w:val="24"/>
                <w:lang w:eastAsia="ru-RU"/>
              </w:rPr>
            </w:pPr>
            <w:r w:rsidRPr="00175E32">
              <w:rPr>
                <w:szCs w:val="24"/>
                <w:lang w:eastAsia="ru-RU"/>
              </w:rPr>
              <w:lastRenderedPageBreak/>
              <w:t>Амортизационные отчисления</w:t>
            </w:r>
          </w:p>
        </w:tc>
        <w:tc>
          <w:tcPr>
            <w:tcW w:w="1556" w:type="dxa"/>
            <w:tcBorders>
              <w:top w:val="nil"/>
              <w:left w:val="nil"/>
              <w:bottom w:val="single" w:sz="4" w:space="0" w:color="auto"/>
              <w:right w:val="single" w:sz="4" w:space="0" w:color="auto"/>
            </w:tcBorders>
            <w:vAlign w:val="center"/>
          </w:tcPr>
          <w:p w14:paraId="111EA386" w14:textId="77777777" w:rsidR="003B681E" w:rsidRPr="00175E32" w:rsidRDefault="003B681E" w:rsidP="00074376">
            <w:pPr>
              <w:suppressAutoHyphens w:val="0"/>
              <w:ind w:firstLine="0"/>
              <w:jc w:val="center"/>
              <w:rPr>
                <w:szCs w:val="24"/>
                <w:lang w:eastAsia="ru-RU"/>
              </w:rPr>
            </w:pPr>
            <w:r w:rsidRPr="00175E32">
              <w:rPr>
                <w:szCs w:val="24"/>
                <w:lang w:eastAsia="ru-RU"/>
              </w:rPr>
              <w:t>млн. рублей</w:t>
            </w:r>
          </w:p>
        </w:tc>
        <w:tc>
          <w:tcPr>
            <w:tcW w:w="1150" w:type="dxa"/>
            <w:tcBorders>
              <w:top w:val="nil"/>
              <w:left w:val="nil"/>
              <w:bottom w:val="single" w:sz="4" w:space="0" w:color="auto"/>
              <w:right w:val="single" w:sz="4" w:space="0" w:color="auto"/>
            </w:tcBorders>
            <w:vAlign w:val="center"/>
          </w:tcPr>
          <w:p w14:paraId="5F740320" w14:textId="77777777" w:rsidR="003B681E" w:rsidRPr="00175E32" w:rsidRDefault="003B681E" w:rsidP="008A1EBE">
            <w:pPr>
              <w:suppressAutoHyphens w:val="0"/>
              <w:ind w:firstLine="0"/>
              <w:jc w:val="center"/>
              <w:rPr>
                <w:szCs w:val="24"/>
                <w:lang w:eastAsia="ru-RU"/>
              </w:rPr>
            </w:pPr>
            <w:r w:rsidRPr="00175E32">
              <w:rPr>
                <w:szCs w:val="24"/>
                <w:lang w:eastAsia="ru-RU"/>
              </w:rPr>
              <w:t>27241</w:t>
            </w:r>
          </w:p>
        </w:tc>
        <w:tc>
          <w:tcPr>
            <w:tcW w:w="1130" w:type="dxa"/>
            <w:tcBorders>
              <w:top w:val="nil"/>
              <w:left w:val="nil"/>
              <w:bottom w:val="single" w:sz="4" w:space="0" w:color="auto"/>
              <w:right w:val="single" w:sz="4" w:space="0" w:color="auto"/>
            </w:tcBorders>
            <w:vAlign w:val="center"/>
          </w:tcPr>
          <w:p w14:paraId="00A8CC5A" w14:textId="77777777" w:rsidR="003B681E" w:rsidRPr="00175E32" w:rsidRDefault="003B681E" w:rsidP="008A1EBE">
            <w:pPr>
              <w:suppressAutoHyphens w:val="0"/>
              <w:ind w:firstLine="0"/>
              <w:jc w:val="center"/>
              <w:rPr>
                <w:szCs w:val="24"/>
                <w:lang w:eastAsia="ru-RU"/>
              </w:rPr>
            </w:pPr>
            <w:r w:rsidRPr="00175E32">
              <w:rPr>
                <w:szCs w:val="24"/>
                <w:lang w:eastAsia="ru-RU"/>
              </w:rPr>
              <w:t>27540</w:t>
            </w:r>
          </w:p>
        </w:tc>
        <w:tc>
          <w:tcPr>
            <w:tcW w:w="1237" w:type="dxa"/>
            <w:tcBorders>
              <w:top w:val="nil"/>
              <w:left w:val="nil"/>
              <w:bottom w:val="single" w:sz="4" w:space="0" w:color="auto"/>
              <w:right w:val="single" w:sz="4" w:space="0" w:color="auto"/>
            </w:tcBorders>
            <w:vAlign w:val="center"/>
          </w:tcPr>
          <w:p w14:paraId="66B4577C" w14:textId="77777777" w:rsidR="003B681E" w:rsidRPr="00175E32" w:rsidRDefault="003B681E" w:rsidP="008A1EBE">
            <w:pPr>
              <w:suppressAutoHyphens w:val="0"/>
              <w:ind w:firstLine="0"/>
              <w:jc w:val="center"/>
              <w:rPr>
                <w:szCs w:val="24"/>
                <w:lang w:eastAsia="ru-RU"/>
              </w:rPr>
            </w:pPr>
            <w:r w:rsidRPr="00175E32">
              <w:rPr>
                <w:szCs w:val="24"/>
                <w:lang w:eastAsia="ru-RU"/>
              </w:rPr>
              <w:t>26 909</w:t>
            </w:r>
          </w:p>
        </w:tc>
        <w:tc>
          <w:tcPr>
            <w:tcW w:w="1704" w:type="dxa"/>
            <w:tcBorders>
              <w:top w:val="nil"/>
              <w:left w:val="nil"/>
              <w:bottom w:val="single" w:sz="4" w:space="0" w:color="auto"/>
              <w:right w:val="single" w:sz="4" w:space="0" w:color="auto"/>
            </w:tcBorders>
            <w:vAlign w:val="center"/>
          </w:tcPr>
          <w:p w14:paraId="2F8D1221" w14:textId="77777777" w:rsidR="003B681E" w:rsidRPr="00175E32" w:rsidRDefault="003B681E" w:rsidP="008A1EBE">
            <w:pPr>
              <w:suppressAutoHyphens w:val="0"/>
              <w:ind w:firstLine="0"/>
              <w:jc w:val="center"/>
              <w:rPr>
                <w:szCs w:val="24"/>
                <w:lang w:eastAsia="ru-RU"/>
              </w:rPr>
            </w:pPr>
            <w:r w:rsidRPr="00175E32">
              <w:rPr>
                <w:szCs w:val="24"/>
                <w:lang w:eastAsia="ru-RU"/>
              </w:rPr>
              <w:t>-631</w:t>
            </w:r>
          </w:p>
          <w:p w14:paraId="51FD5860" w14:textId="77777777" w:rsidR="003B681E" w:rsidRPr="00175E32" w:rsidRDefault="003B681E" w:rsidP="008A1EBE">
            <w:pPr>
              <w:suppressAutoHyphens w:val="0"/>
              <w:ind w:firstLine="0"/>
              <w:jc w:val="center"/>
              <w:rPr>
                <w:szCs w:val="24"/>
                <w:lang w:eastAsia="ru-RU"/>
              </w:rPr>
            </w:pPr>
            <w:r w:rsidRPr="00175E32">
              <w:rPr>
                <w:szCs w:val="24"/>
                <w:lang w:eastAsia="ru-RU"/>
              </w:rPr>
              <w:t>/-2,3%</w:t>
            </w:r>
          </w:p>
        </w:tc>
      </w:tr>
      <w:tr w:rsidR="003B681E" w:rsidRPr="00175E32" w14:paraId="306AB440" w14:textId="77777777" w:rsidTr="008A1EBE">
        <w:trPr>
          <w:trHeight w:val="255"/>
        </w:trPr>
        <w:tc>
          <w:tcPr>
            <w:tcW w:w="2594" w:type="dxa"/>
            <w:tcBorders>
              <w:top w:val="nil"/>
              <w:left w:val="single" w:sz="4" w:space="0" w:color="auto"/>
              <w:bottom w:val="single" w:sz="4" w:space="0" w:color="auto"/>
              <w:right w:val="single" w:sz="4" w:space="0" w:color="auto"/>
            </w:tcBorders>
            <w:shd w:val="clear" w:color="000000" w:fill="FFFFFF"/>
            <w:vAlign w:val="center"/>
          </w:tcPr>
          <w:p w14:paraId="10A0849D" w14:textId="77777777" w:rsidR="003B681E" w:rsidRPr="00175E32" w:rsidRDefault="003B681E" w:rsidP="00074376">
            <w:pPr>
              <w:suppressAutoHyphens w:val="0"/>
              <w:ind w:firstLine="0"/>
              <w:rPr>
                <w:szCs w:val="24"/>
                <w:lang w:eastAsia="ru-RU"/>
              </w:rPr>
            </w:pPr>
            <w:r w:rsidRPr="00175E32">
              <w:rPr>
                <w:szCs w:val="24"/>
                <w:lang w:eastAsia="ru-RU"/>
              </w:rPr>
              <w:t xml:space="preserve">Налоговые доходы, в том числе: </w:t>
            </w:r>
          </w:p>
        </w:tc>
        <w:tc>
          <w:tcPr>
            <w:tcW w:w="1556" w:type="dxa"/>
            <w:tcBorders>
              <w:top w:val="nil"/>
              <w:left w:val="nil"/>
              <w:bottom w:val="single" w:sz="4" w:space="0" w:color="auto"/>
              <w:right w:val="single" w:sz="4" w:space="0" w:color="auto"/>
            </w:tcBorders>
            <w:vAlign w:val="center"/>
          </w:tcPr>
          <w:p w14:paraId="790C2FB5" w14:textId="77777777" w:rsidR="003B681E" w:rsidRPr="00175E32" w:rsidRDefault="003B681E" w:rsidP="00074376">
            <w:pPr>
              <w:suppressAutoHyphens w:val="0"/>
              <w:ind w:firstLine="0"/>
              <w:jc w:val="center"/>
              <w:rPr>
                <w:szCs w:val="24"/>
                <w:lang w:eastAsia="ru-RU"/>
              </w:rPr>
            </w:pPr>
            <w:r w:rsidRPr="00175E32">
              <w:rPr>
                <w:szCs w:val="24"/>
                <w:lang w:eastAsia="ru-RU"/>
              </w:rPr>
              <w:t>млн. рублей</w:t>
            </w:r>
          </w:p>
        </w:tc>
        <w:tc>
          <w:tcPr>
            <w:tcW w:w="1150" w:type="dxa"/>
            <w:tcBorders>
              <w:top w:val="nil"/>
              <w:left w:val="nil"/>
              <w:bottom w:val="single" w:sz="4" w:space="0" w:color="auto"/>
              <w:right w:val="single" w:sz="4" w:space="0" w:color="auto"/>
            </w:tcBorders>
            <w:vAlign w:val="center"/>
          </w:tcPr>
          <w:p w14:paraId="638F2731" w14:textId="77777777" w:rsidR="003B681E" w:rsidRPr="00175E32" w:rsidRDefault="003B681E" w:rsidP="008A1EBE">
            <w:pPr>
              <w:suppressAutoHyphens w:val="0"/>
              <w:ind w:firstLine="0"/>
              <w:jc w:val="center"/>
              <w:rPr>
                <w:szCs w:val="24"/>
                <w:lang w:eastAsia="ru-RU"/>
              </w:rPr>
            </w:pPr>
            <w:r w:rsidRPr="00175E32">
              <w:rPr>
                <w:szCs w:val="24"/>
                <w:lang w:eastAsia="ru-RU"/>
              </w:rPr>
              <w:t>43067</w:t>
            </w:r>
          </w:p>
        </w:tc>
        <w:tc>
          <w:tcPr>
            <w:tcW w:w="1130" w:type="dxa"/>
            <w:tcBorders>
              <w:top w:val="nil"/>
              <w:left w:val="nil"/>
              <w:bottom w:val="single" w:sz="4" w:space="0" w:color="auto"/>
              <w:right w:val="single" w:sz="4" w:space="0" w:color="auto"/>
            </w:tcBorders>
            <w:vAlign w:val="center"/>
          </w:tcPr>
          <w:p w14:paraId="05DF6722" w14:textId="77777777" w:rsidR="003B681E" w:rsidRPr="00175E32" w:rsidRDefault="003B681E" w:rsidP="008A1EBE">
            <w:pPr>
              <w:suppressAutoHyphens w:val="0"/>
              <w:ind w:firstLine="0"/>
              <w:jc w:val="center"/>
              <w:rPr>
                <w:szCs w:val="24"/>
                <w:lang w:eastAsia="ru-RU"/>
              </w:rPr>
            </w:pPr>
            <w:r w:rsidRPr="00175E32">
              <w:rPr>
                <w:szCs w:val="24"/>
                <w:lang w:eastAsia="ru-RU"/>
              </w:rPr>
              <w:t>43706</w:t>
            </w:r>
          </w:p>
        </w:tc>
        <w:tc>
          <w:tcPr>
            <w:tcW w:w="1237" w:type="dxa"/>
            <w:tcBorders>
              <w:top w:val="nil"/>
              <w:left w:val="nil"/>
              <w:bottom w:val="single" w:sz="4" w:space="0" w:color="auto"/>
              <w:right w:val="single" w:sz="4" w:space="0" w:color="auto"/>
            </w:tcBorders>
            <w:vAlign w:val="center"/>
          </w:tcPr>
          <w:p w14:paraId="66843F24" w14:textId="77777777" w:rsidR="003B681E" w:rsidRPr="00175E32" w:rsidRDefault="004D26F7" w:rsidP="004D0168">
            <w:pPr>
              <w:suppressAutoHyphens w:val="0"/>
              <w:ind w:firstLine="0"/>
              <w:jc w:val="center"/>
              <w:rPr>
                <w:szCs w:val="24"/>
                <w:lang w:eastAsia="ru-RU"/>
              </w:rPr>
            </w:pPr>
            <w:r w:rsidRPr="00175E32">
              <w:rPr>
                <w:szCs w:val="24"/>
                <w:lang w:eastAsia="ru-RU"/>
              </w:rPr>
              <w:t xml:space="preserve">36 </w:t>
            </w:r>
            <w:r w:rsidR="004D0168">
              <w:rPr>
                <w:szCs w:val="24"/>
                <w:lang w:eastAsia="ru-RU"/>
              </w:rPr>
              <w:t>219</w:t>
            </w:r>
          </w:p>
        </w:tc>
        <w:tc>
          <w:tcPr>
            <w:tcW w:w="1704" w:type="dxa"/>
            <w:tcBorders>
              <w:top w:val="nil"/>
              <w:left w:val="nil"/>
              <w:bottom w:val="single" w:sz="4" w:space="0" w:color="auto"/>
              <w:right w:val="single" w:sz="4" w:space="0" w:color="auto"/>
            </w:tcBorders>
            <w:vAlign w:val="center"/>
          </w:tcPr>
          <w:p w14:paraId="7A774654" w14:textId="77777777" w:rsidR="003B681E" w:rsidRPr="00175E32" w:rsidRDefault="003B681E" w:rsidP="008A1EBE">
            <w:pPr>
              <w:suppressAutoHyphens w:val="0"/>
              <w:ind w:firstLine="0"/>
              <w:jc w:val="center"/>
              <w:rPr>
                <w:szCs w:val="24"/>
                <w:lang w:eastAsia="ru-RU"/>
              </w:rPr>
            </w:pPr>
            <w:r w:rsidRPr="00175E32">
              <w:rPr>
                <w:szCs w:val="24"/>
                <w:lang w:eastAsia="ru-RU"/>
              </w:rPr>
              <w:t>-</w:t>
            </w:r>
            <w:r w:rsidR="004D26F7" w:rsidRPr="00175E32">
              <w:rPr>
                <w:szCs w:val="24"/>
                <w:lang w:eastAsia="ru-RU"/>
              </w:rPr>
              <w:t>7</w:t>
            </w:r>
            <w:r w:rsidR="0028609A" w:rsidRPr="00175E32">
              <w:rPr>
                <w:szCs w:val="24"/>
                <w:lang w:eastAsia="ru-RU"/>
              </w:rPr>
              <w:t> </w:t>
            </w:r>
            <w:r w:rsidR="004D0168">
              <w:rPr>
                <w:szCs w:val="24"/>
                <w:lang w:eastAsia="ru-RU"/>
              </w:rPr>
              <w:t>487</w:t>
            </w:r>
            <w:r w:rsidRPr="00175E32">
              <w:rPr>
                <w:szCs w:val="24"/>
                <w:lang w:eastAsia="ru-RU"/>
              </w:rPr>
              <w:t>/</w:t>
            </w:r>
          </w:p>
          <w:p w14:paraId="4CD20731" w14:textId="77777777" w:rsidR="003B681E" w:rsidRPr="00175E32" w:rsidRDefault="003B681E" w:rsidP="004D0168">
            <w:pPr>
              <w:suppressAutoHyphens w:val="0"/>
              <w:ind w:firstLine="0"/>
              <w:jc w:val="center"/>
              <w:rPr>
                <w:szCs w:val="24"/>
                <w:lang w:eastAsia="ru-RU"/>
              </w:rPr>
            </w:pPr>
            <w:r w:rsidRPr="00175E32">
              <w:rPr>
                <w:szCs w:val="24"/>
                <w:lang w:eastAsia="ru-RU"/>
              </w:rPr>
              <w:t>-1</w:t>
            </w:r>
            <w:r w:rsidR="000B6108">
              <w:rPr>
                <w:szCs w:val="24"/>
                <w:lang w:eastAsia="ru-RU"/>
              </w:rPr>
              <w:t>7,</w:t>
            </w:r>
            <w:r w:rsidR="004D0168">
              <w:rPr>
                <w:szCs w:val="24"/>
                <w:lang w:eastAsia="ru-RU"/>
              </w:rPr>
              <w:t>1</w:t>
            </w:r>
            <w:r w:rsidRPr="00175E32">
              <w:rPr>
                <w:szCs w:val="24"/>
                <w:lang w:eastAsia="ru-RU"/>
              </w:rPr>
              <w:t>%</w:t>
            </w:r>
          </w:p>
        </w:tc>
      </w:tr>
      <w:tr w:rsidR="003B681E" w:rsidRPr="00175E32" w14:paraId="15421224" w14:textId="77777777" w:rsidTr="008A1EBE">
        <w:trPr>
          <w:trHeight w:val="255"/>
        </w:trPr>
        <w:tc>
          <w:tcPr>
            <w:tcW w:w="2594" w:type="dxa"/>
            <w:tcBorders>
              <w:top w:val="nil"/>
              <w:left w:val="single" w:sz="4" w:space="0" w:color="auto"/>
              <w:bottom w:val="single" w:sz="4" w:space="0" w:color="auto"/>
              <w:right w:val="single" w:sz="4" w:space="0" w:color="auto"/>
            </w:tcBorders>
            <w:shd w:val="clear" w:color="000000" w:fill="FFFFFF"/>
            <w:vAlign w:val="center"/>
          </w:tcPr>
          <w:p w14:paraId="0891BFBD" w14:textId="77777777" w:rsidR="003B681E" w:rsidRPr="00175E32" w:rsidRDefault="003B681E" w:rsidP="007103B4">
            <w:pPr>
              <w:suppressAutoHyphens w:val="0"/>
              <w:ind w:firstLine="0"/>
              <w:jc w:val="left"/>
              <w:rPr>
                <w:szCs w:val="24"/>
                <w:lang w:eastAsia="ru-RU"/>
              </w:rPr>
            </w:pPr>
            <w:r w:rsidRPr="00175E32">
              <w:rPr>
                <w:szCs w:val="24"/>
                <w:lang w:eastAsia="ru-RU"/>
              </w:rPr>
              <w:t xml:space="preserve"> - налоги на прибыль (доходы)</w:t>
            </w:r>
          </w:p>
        </w:tc>
        <w:tc>
          <w:tcPr>
            <w:tcW w:w="1556" w:type="dxa"/>
            <w:tcBorders>
              <w:top w:val="nil"/>
              <w:left w:val="nil"/>
              <w:bottom w:val="single" w:sz="4" w:space="0" w:color="auto"/>
              <w:right w:val="single" w:sz="4" w:space="0" w:color="auto"/>
            </w:tcBorders>
            <w:vAlign w:val="center"/>
          </w:tcPr>
          <w:p w14:paraId="5A7569E2" w14:textId="77777777" w:rsidR="003B681E" w:rsidRPr="00175E32" w:rsidRDefault="003B681E" w:rsidP="00074376">
            <w:pPr>
              <w:suppressAutoHyphens w:val="0"/>
              <w:ind w:firstLine="0"/>
              <w:jc w:val="center"/>
              <w:rPr>
                <w:szCs w:val="24"/>
                <w:lang w:eastAsia="ru-RU"/>
              </w:rPr>
            </w:pPr>
            <w:r w:rsidRPr="00175E32">
              <w:rPr>
                <w:szCs w:val="24"/>
                <w:lang w:eastAsia="ru-RU"/>
              </w:rPr>
              <w:t>млн. рублей</w:t>
            </w:r>
          </w:p>
        </w:tc>
        <w:tc>
          <w:tcPr>
            <w:tcW w:w="1150" w:type="dxa"/>
            <w:tcBorders>
              <w:top w:val="nil"/>
              <w:left w:val="nil"/>
              <w:bottom w:val="single" w:sz="4" w:space="0" w:color="auto"/>
              <w:right w:val="single" w:sz="4" w:space="0" w:color="auto"/>
            </w:tcBorders>
            <w:vAlign w:val="center"/>
          </w:tcPr>
          <w:p w14:paraId="656BF417" w14:textId="77777777" w:rsidR="003B681E" w:rsidRPr="00175E32" w:rsidRDefault="003B681E" w:rsidP="008A1EBE">
            <w:pPr>
              <w:suppressAutoHyphens w:val="0"/>
              <w:ind w:firstLine="0"/>
              <w:jc w:val="center"/>
              <w:rPr>
                <w:szCs w:val="24"/>
                <w:lang w:eastAsia="ru-RU"/>
              </w:rPr>
            </w:pPr>
            <w:r w:rsidRPr="00175E32">
              <w:rPr>
                <w:szCs w:val="24"/>
                <w:lang w:eastAsia="ru-RU"/>
              </w:rPr>
              <w:t>24495</w:t>
            </w:r>
          </w:p>
        </w:tc>
        <w:tc>
          <w:tcPr>
            <w:tcW w:w="1130" w:type="dxa"/>
            <w:tcBorders>
              <w:top w:val="nil"/>
              <w:left w:val="nil"/>
              <w:bottom w:val="single" w:sz="4" w:space="0" w:color="auto"/>
              <w:right w:val="single" w:sz="4" w:space="0" w:color="auto"/>
            </w:tcBorders>
            <w:vAlign w:val="center"/>
          </w:tcPr>
          <w:p w14:paraId="79801342" w14:textId="77777777" w:rsidR="003B681E" w:rsidRPr="00175E32" w:rsidRDefault="003B681E" w:rsidP="008A1EBE">
            <w:pPr>
              <w:suppressAutoHyphens w:val="0"/>
              <w:ind w:firstLine="0"/>
              <w:jc w:val="center"/>
              <w:rPr>
                <w:szCs w:val="24"/>
                <w:lang w:eastAsia="ru-RU"/>
              </w:rPr>
            </w:pPr>
            <w:r w:rsidRPr="00175E32">
              <w:rPr>
                <w:szCs w:val="24"/>
                <w:lang w:eastAsia="ru-RU"/>
              </w:rPr>
              <w:t>25053</w:t>
            </w:r>
          </w:p>
        </w:tc>
        <w:tc>
          <w:tcPr>
            <w:tcW w:w="1237" w:type="dxa"/>
            <w:tcBorders>
              <w:top w:val="nil"/>
              <w:left w:val="nil"/>
              <w:bottom w:val="single" w:sz="4" w:space="0" w:color="auto"/>
              <w:right w:val="single" w:sz="4" w:space="0" w:color="auto"/>
            </w:tcBorders>
            <w:vAlign w:val="center"/>
          </w:tcPr>
          <w:p w14:paraId="416FC350" w14:textId="77777777" w:rsidR="003B681E" w:rsidRPr="00175E32" w:rsidRDefault="004D26F7" w:rsidP="004D0168">
            <w:pPr>
              <w:suppressAutoHyphens w:val="0"/>
              <w:ind w:firstLine="0"/>
              <w:jc w:val="center"/>
              <w:rPr>
                <w:szCs w:val="24"/>
                <w:lang w:eastAsia="ru-RU"/>
              </w:rPr>
            </w:pPr>
            <w:r w:rsidRPr="00175E32">
              <w:rPr>
                <w:szCs w:val="24"/>
                <w:lang w:eastAsia="ru-RU"/>
              </w:rPr>
              <w:t xml:space="preserve">18 </w:t>
            </w:r>
            <w:r w:rsidR="004D0168">
              <w:rPr>
                <w:szCs w:val="24"/>
                <w:lang w:eastAsia="ru-RU"/>
              </w:rPr>
              <w:t>535</w:t>
            </w:r>
          </w:p>
        </w:tc>
        <w:tc>
          <w:tcPr>
            <w:tcW w:w="1704" w:type="dxa"/>
            <w:tcBorders>
              <w:top w:val="nil"/>
              <w:left w:val="nil"/>
              <w:bottom w:val="single" w:sz="4" w:space="0" w:color="auto"/>
              <w:right w:val="single" w:sz="4" w:space="0" w:color="auto"/>
            </w:tcBorders>
            <w:vAlign w:val="center"/>
          </w:tcPr>
          <w:p w14:paraId="77A4A31C" w14:textId="77777777" w:rsidR="003B681E" w:rsidRPr="00175E32" w:rsidRDefault="003B681E" w:rsidP="008A1EBE">
            <w:pPr>
              <w:suppressAutoHyphens w:val="0"/>
              <w:ind w:firstLine="0"/>
              <w:jc w:val="center"/>
              <w:rPr>
                <w:szCs w:val="24"/>
                <w:lang w:eastAsia="ru-RU"/>
              </w:rPr>
            </w:pPr>
            <w:r w:rsidRPr="00175E32">
              <w:rPr>
                <w:szCs w:val="24"/>
                <w:lang w:eastAsia="ru-RU"/>
              </w:rPr>
              <w:t>-</w:t>
            </w:r>
            <w:r w:rsidR="004D26F7" w:rsidRPr="00175E32">
              <w:rPr>
                <w:szCs w:val="24"/>
                <w:lang w:eastAsia="ru-RU"/>
              </w:rPr>
              <w:t>6</w:t>
            </w:r>
            <w:r w:rsidR="0028609A" w:rsidRPr="00175E32">
              <w:rPr>
                <w:szCs w:val="24"/>
                <w:lang w:eastAsia="ru-RU"/>
              </w:rPr>
              <w:t> </w:t>
            </w:r>
            <w:r w:rsidR="004D0168">
              <w:rPr>
                <w:szCs w:val="24"/>
                <w:lang w:eastAsia="ru-RU"/>
              </w:rPr>
              <w:t>518</w:t>
            </w:r>
            <w:r w:rsidRPr="00175E32">
              <w:rPr>
                <w:szCs w:val="24"/>
                <w:lang w:eastAsia="ru-RU"/>
              </w:rPr>
              <w:t>/</w:t>
            </w:r>
          </w:p>
          <w:p w14:paraId="02125B38" w14:textId="77777777" w:rsidR="003B681E" w:rsidRPr="00175E32" w:rsidRDefault="003B681E" w:rsidP="004D0168">
            <w:pPr>
              <w:suppressAutoHyphens w:val="0"/>
              <w:ind w:firstLine="0"/>
              <w:jc w:val="center"/>
              <w:rPr>
                <w:szCs w:val="24"/>
                <w:lang w:eastAsia="ru-RU"/>
              </w:rPr>
            </w:pPr>
            <w:r w:rsidRPr="00175E32">
              <w:rPr>
                <w:szCs w:val="24"/>
                <w:lang w:eastAsia="ru-RU"/>
              </w:rPr>
              <w:t>-</w:t>
            </w:r>
            <w:r w:rsidR="004D26F7" w:rsidRPr="00175E32">
              <w:rPr>
                <w:szCs w:val="24"/>
                <w:lang w:eastAsia="ru-RU"/>
              </w:rPr>
              <w:t>2</w:t>
            </w:r>
            <w:r w:rsidR="000B6108">
              <w:rPr>
                <w:szCs w:val="24"/>
                <w:lang w:eastAsia="ru-RU"/>
              </w:rPr>
              <w:t>6,</w:t>
            </w:r>
            <w:r w:rsidR="004D0168">
              <w:rPr>
                <w:szCs w:val="24"/>
                <w:lang w:eastAsia="ru-RU"/>
              </w:rPr>
              <w:t>0</w:t>
            </w:r>
            <w:r w:rsidR="000B6108">
              <w:rPr>
                <w:szCs w:val="24"/>
                <w:lang w:eastAsia="ru-RU"/>
              </w:rPr>
              <w:t>%</w:t>
            </w:r>
          </w:p>
        </w:tc>
      </w:tr>
      <w:tr w:rsidR="003B681E" w:rsidRPr="00175E32" w14:paraId="3BD1E58B" w14:textId="77777777" w:rsidTr="008A1EBE">
        <w:trPr>
          <w:trHeight w:val="255"/>
        </w:trPr>
        <w:tc>
          <w:tcPr>
            <w:tcW w:w="2594" w:type="dxa"/>
            <w:tcBorders>
              <w:top w:val="nil"/>
              <w:left w:val="single" w:sz="4" w:space="0" w:color="auto"/>
              <w:bottom w:val="single" w:sz="4" w:space="0" w:color="auto"/>
              <w:right w:val="single" w:sz="4" w:space="0" w:color="auto"/>
            </w:tcBorders>
            <w:shd w:val="clear" w:color="000000" w:fill="FFFFFF"/>
            <w:vAlign w:val="center"/>
          </w:tcPr>
          <w:p w14:paraId="22BEBBA9" w14:textId="77777777" w:rsidR="003B681E" w:rsidRDefault="003B681E" w:rsidP="007103B4">
            <w:pPr>
              <w:suppressAutoHyphens w:val="0"/>
              <w:ind w:firstLine="0"/>
              <w:jc w:val="left"/>
              <w:rPr>
                <w:szCs w:val="24"/>
                <w:lang w:eastAsia="ru-RU"/>
              </w:rPr>
            </w:pPr>
            <w:r w:rsidRPr="00175E32">
              <w:rPr>
                <w:szCs w:val="24"/>
                <w:lang w:eastAsia="ru-RU"/>
              </w:rPr>
              <w:t xml:space="preserve"> - налоги на товары (работы, услуги)</w:t>
            </w:r>
          </w:p>
          <w:p w14:paraId="0A31FEF1" w14:textId="77777777" w:rsidR="0044461E" w:rsidRPr="00175E32" w:rsidRDefault="0044461E" w:rsidP="007103B4">
            <w:pPr>
              <w:suppressAutoHyphens w:val="0"/>
              <w:ind w:firstLine="0"/>
              <w:jc w:val="left"/>
              <w:rPr>
                <w:szCs w:val="24"/>
                <w:lang w:eastAsia="ru-RU"/>
              </w:rPr>
            </w:pPr>
          </w:p>
        </w:tc>
        <w:tc>
          <w:tcPr>
            <w:tcW w:w="1556" w:type="dxa"/>
            <w:tcBorders>
              <w:top w:val="nil"/>
              <w:left w:val="nil"/>
              <w:bottom w:val="single" w:sz="4" w:space="0" w:color="auto"/>
              <w:right w:val="single" w:sz="4" w:space="0" w:color="auto"/>
            </w:tcBorders>
            <w:vAlign w:val="center"/>
          </w:tcPr>
          <w:p w14:paraId="3B0E0E09" w14:textId="77777777" w:rsidR="003B681E" w:rsidRPr="00175E32" w:rsidRDefault="003B681E" w:rsidP="00074376">
            <w:pPr>
              <w:suppressAutoHyphens w:val="0"/>
              <w:ind w:firstLine="0"/>
              <w:jc w:val="center"/>
              <w:rPr>
                <w:szCs w:val="24"/>
                <w:lang w:eastAsia="ru-RU"/>
              </w:rPr>
            </w:pPr>
            <w:r w:rsidRPr="00175E32">
              <w:rPr>
                <w:szCs w:val="24"/>
                <w:lang w:eastAsia="ru-RU"/>
              </w:rPr>
              <w:t>млн. рублей</w:t>
            </w:r>
          </w:p>
        </w:tc>
        <w:tc>
          <w:tcPr>
            <w:tcW w:w="1150" w:type="dxa"/>
            <w:tcBorders>
              <w:top w:val="nil"/>
              <w:left w:val="nil"/>
              <w:bottom w:val="single" w:sz="4" w:space="0" w:color="auto"/>
              <w:right w:val="single" w:sz="4" w:space="0" w:color="auto"/>
            </w:tcBorders>
            <w:vAlign w:val="center"/>
          </w:tcPr>
          <w:p w14:paraId="253D48BC" w14:textId="77777777" w:rsidR="003B681E" w:rsidRPr="00175E32" w:rsidRDefault="003B681E" w:rsidP="008A1EBE">
            <w:pPr>
              <w:suppressAutoHyphens w:val="0"/>
              <w:ind w:firstLine="0"/>
              <w:jc w:val="center"/>
              <w:rPr>
                <w:szCs w:val="24"/>
                <w:lang w:eastAsia="ru-RU"/>
              </w:rPr>
            </w:pPr>
            <w:r w:rsidRPr="00175E32">
              <w:rPr>
                <w:szCs w:val="24"/>
                <w:lang w:eastAsia="ru-RU"/>
              </w:rPr>
              <w:t>11 092</w:t>
            </w:r>
          </w:p>
        </w:tc>
        <w:tc>
          <w:tcPr>
            <w:tcW w:w="1130" w:type="dxa"/>
            <w:tcBorders>
              <w:top w:val="nil"/>
              <w:left w:val="nil"/>
              <w:bottom w:val="single" w:sz="4" w:space="0" w:color="auto"/>
              <w:right w:val="single" w:sz="4" w:space="0" w:color="auto"/>
            </w:tcBorders>
            <w:vAlign w:val="center"/>
          </w:tcPr>
          <w:p w14:paraId="3B1C297E" w14:textId="77777777" w:rsidR="003B681E" w:rsidRPr="00175E32" w:rsidRDefault="003B681E" w:rsidP="008A1EBE">
            <w:pPr>
              <w:suppressAutoHyphens w:val="0"/>
              <w:ind w:firstLine="0"/>
              <w:jc w:val="center"/>
              <w:rPr>
                <w:szCs w:val="24"/>
                <w:lang w:eastAsia="ru-RU"/>
              </w:rPr>
            </w:pPr>
            <w:r w:rsidRPr="00175E32">
              <w:rPr>
                <w:szCs w:val="24"/>
                <w:lang w:eastAsia="ru-RU"/>
              </w:rPr>
              <w:t>11 108</w:t>
            </w:r>
          </w:p>
        </w:tc>
        <w:tc>
          <w:tcPr>
            <w:tcW w:w="1237" w:type="dxa"/>
            <w:tcBorders>
              <w:top w:val="nil"/>
              <w:left w:val="nil"/>
              <w:bottom w:val="single" w:sz="4" w:space="0" w:color="auto"/>
              <w:right w:val="single" w:sz="4" w:space="0" w:color="auto"/>
            </w:tcBorders>
            <w:vAlign w:val="center"/>
          </w:tcPr>
          <w:p w14:paraId="42708E68" w14:textId="77777777" w:rsidR="003B681E" w:rsidRPr="00175E32" w:rsidRDefault="003B681E" w:rsidP="008A1EBE">
            <w:pPr>
              <w:suppressAutoHyphens w:val="0"/>
              <w:ind w:firstLine="0"/>
              <w:jc w:val="center"/>
              <w:rPr>
                <w:szCs w:val="24"/>
                <w:lang w:eastAsia="ru-RU"/>
              </w:rPr>
            </w:pPr>
            <w:r w:rsidRPr="00175E32">
              <w:rPr>
                <w:szCs w:val="24"/>
                <w:lang w:eastAsia="ru-RU"/>
              </w:rPr>
              <w:t>11</w:t>
            </w:r>
            <w:r w:rsidR="00022A8E">
              <w:rPr>
                <w:szCs w:val="24"/>
                <w:lang w:eastAsia="ru-RU"/>
              </w:rPr>
              <w:t xml:space="preserve"> </w:t>
            </w:r>
            <w:r w:rsidRPr="00175E32">
              <w:rPr>
                <w:szCs w:val="24"/>
                <w:lang w:eastAsia="ru-RU"/>
              </w:rPr>
              <w:t>335</w:t>
            </w:r>
          </w:p>
        </w:tc>
        <w:tc>
          <w:tcPr>
            <w:tcW w:w="1704" w:type="dxa"/>
            <w:tcBorders>
              <w:top w:val="nil"/>
              <w:left w:val="nil"/>
              <w:bottom w:val="single" w:sz="4" w:space="0" w:color="auto"/>
              <w:right w:val="single" w:sz="4" w:space="0" w:color="auto"/>
            </w:tcBorders>
            <w:vAlign w:val="center"/>
          </w:tcPr>
          <w:p w14:paraId="7313F821" w14:textId="77777777" w:rsidR="003B681E" w:rsidRPr="00175E32" w:rsidRDefault="003B681E" w:rsidP="008A1EBE">
            <w:pPr>
              <w:suppressAutoHyphens w:val="0"/>
              <w:ind w:firstLine="0"/>
              <w:jc w:val="center"/>
              <w:rPr>
                <w:szCs w:val="24"/>
                <w:lang w:eastAsia="ru-RU"/>
              </w:rPr>
            </w:pPr>
            <w:r w:rsidRPr="00175E32">
              <w:rPr>
                <w:szCs w:val="24"/>
                <w:lang w:eastAsia="ru-RU"/>
              </w:rPr>
              <w:t>227/</w:t>
            </w:r>
          </w:p>
          <w:p w14:paraId="60230DB6" w14:textId="77777777" w:rsidR="003B681E" w:rsidRPr="00175E32" w:rsidRDefault="003B681E" w:rsidP="008A1EBE">
            <w:pPr>
              <w:suppressAutoHyphens w:val="0"/>
              <w:ind w:firstLine="0"/>
              <w:jc w:val="center"/>
              <w:rPr>
                <w:szCs w:val="24"/>
                <w:lang w:eastAsia="ru-RU"/>
              </w:rPr>
            </w:pPr>
            <w:r w:rsidRPr="00175E32">
              <w:rPr>
                <w:szCs w:val="24"/>
                <w:lang w:eastAsia="ru-RU"/>
              </w:rPr>
              <w:t>2,0%</w:t>
            </w:r>
          </w:p>
        </w:tc>
      </w:tr>
      <w:tr w:rsidR="003B681E" w:rsidRPr="00175E32" w14:paraId="79A2BF30" w14:textId="77777777" w:rsidTr="008A1EBE">
        <w:trPr>
          <w:trHeight w:val="255"/>
        </w:trPr>
        <w:tc>
          <w:tcPr>
            <w:tcW w:w="2594" w:type="dxa"/>
            <w:tcBorders>
              <w:top w:val="nil"/>
              <w:left w:val="single" w:sz="4" w:space="0" w:color="auto"/>
              <w:bottom w:val="single" w:sz="4" w:space="0" w:color="auto"/>
              <w:right w:val="single" w:sz="4" w:space="0" w:color="auto"/>
            </w:tcBorders>
            <w:shd w:val="clear" w:color="000000" w:fill="FFFFFF"/>
            <w:vAlign w:val="center"/>
          </w:tcPr>
          <w:p w14:paraId="7E5FEAF2" w14:textId="77777777" w:rsidR="003B681E" w:rsidRPr="00175E32" w:rsidRDefault="003B681E" w:rsidP="007103B4">
            <w:pPr>
              <w:suppressAutoHyphens w:val="0"/>
              <w:ind w:firstLine="0"/>
              <w:jc w:val="left"/>
              <w:rPr>
                <w:szCs w:val="24"/>
                <w:lang w:eastAsia="ru-RU"/>
              </w:rPr>
            </w:pPr>
            <w:r w:rsidRPr="00175E32">
              <w:rPr>
                <w:szCs w:val="24"/>
                <w:lang w:eastAsia="ru-RU"/>
              </w:rPr>
              <w:t xml:space="preserve"> - налоги на совокупный доход</w:t>
            </w:r>
          </w:p>
        </w:tc>
        <w:tc>
          <w:tcPr>
            <w:tcW w:w="1556" w:type="dxa"/>
            <w:tcBorders>
              <w:top w:val="nil"/>
              <w:left w:val="nil"/>
              <w:bottom w:val="single" w:sz="4" w:space="0" w:color="auto"/>
              <w:right w:val="single" w:sz="4" w:space="0" w:color="auto"/>
            </w:tcBorders>
            <w:vAlign w:val="center"/>
          </w:tcPr>
          <w:p w14:paraId="40C543DE" w14:textId="77777777" w:rsidR="003B681E" w:rsidRPr="00175E32" w:rsidRDefault="003B681E" w:rsidP="00074376">
            <w:pPr>
              <w:suppressAutoHyphens w:val="0"/>
              <w:ind w:firstLine="0"/>
              <w:jc w:val="center"/>
              <w:rPr>
                <w:szCs w:val="24"/>
                <w:lang w:eastAsia="ru-RU"/>
              </w:rPr>
            </w:pPr>
            <w:r w:rsidRPr="00175E32">
              <w:rPr>
                <w:szCs w:val="24"/>
                <w:lang w:eastAsia="ru-RU"/>
              </w:rPr>
              <w:t>млн. рублей</w:t>
            </w:r>
          </w:p>
        </w:tc>
        <w:tc>
          <w:tcPr>
            <w:tcW w:w="1150" w:type="dxa"/>
            <w:tcBorders>
              <w:top w:val="nil"/>
              <w:left w:val="nil"/>
              <w:bottom w:val="single" w:sz="4" w:space="0" w:color="auto"/>
              <w:right w:val="single" w:sz="4" w:space="0" w:color="auto"/>
            </w:tcBorders>
            <w:vAlign w:val="center"/>
          </w:tcPr>
          <w:p w14:paraId="6AC98286" w14:textId="77777777" w:rsidR="003B681E" w:rsidRPr="00175E32" w:rsidRDefault="003B681E" w:rsidP="008A1EBE">
            <w:pPr>
              <w:suppressAutoHyphens w:val="0"/>
              <w:ind w:firstLine="0"/>
              <w:jc w:val="center"/>
              <w:rPr>
                <w:szCs w:val="24"/>
                <w:lang w:eastAsia="ru-RU"/>
              </w:rPr>
            </w:pPr>
            <w:r w:rsidRPr="00175E32">
              <w:rPr>
                <w:szCs w:val="24"/>
                <w:lang w:eastAsia="ru-RU"/>
              </w:rPr>
              <w:t>2 018</w:t>
            </w:r>
          </w:p>
        </w:tc>
        <w:tc>
          <w:tcPr>
            <w:tcW w:w="1130" w:type="dxa"/>
            <w:tcBorders>
              <w:top w:val="nil"/>
              <w:left w:val="nil"/>
              <w:bottom w:val="single" w:sz="4" w:space="0" w:color="auto"/>
              <w:right w:val="single" w:sz="4" w:space="0" w:color="auto"/>
            </w:tcBorders>
            <w:vAlign w:val="center"/>
          </w:tcPr>
          <w:p w14:paraId="4FA13794" w14:textId="77777777" w:rsidR="003B681E" w:rsidRPr="00175E32" w:rsidRDefault="003B681E" w:rsidP="008A1EBE">
            <w:pPr>
              <w:suppressAutoHyphens w:val="0"/>
              <w:ind w:firstLine="0"/>
              <w:jc w:val="center"/>
              <w:rPr>
                <w:szCs w:val="24"/>
                <w:lang w:eastAsia="ru-RU"/>
              </w:rPr>
            </w:pPr>
            <w:r w:rsidRPr="00175E32">
              <w:rPr>
                <w:szCs w:val="24"/>
                <w:lang w:eastAsia="ru-RU"/>
              </w:rPr>
              <w:t>2 057</w:t>
            </w:r>
          </w:p>
        </w:tc>
        <w:tc>
          <w:tcPr>
            <w:tcW w:w="1237" w:type="dxa"/>
            <w:tcBorders>
              <w:top w:val="nil"/>
              <w:left w:val="nil"/>
              <w:bottom w:val="single" w:sz="4" w:space="0" w:color="auto"/>
              <w:right w:val="single" w:sz="4" w:space="0" w:color="auto"/>
            </w:tcBorders>
            <w:vAlign w:val="center"/>
          </w:tcPr>
          <w:p w14:paraId="76DE0DFE" w14:textId="77777777" w:rsidR="003B681E" w:rsidRPr="00175E32" w:rsidRDefault="003B681E" w:rsidP="004D0168">
            <w:pPr>
              <w:suppressAutoHyphens w:val="0"/>
              <w:ind w:firstLine="0"/>
              <w:jc w:val="center"/>
              <w:rPr>
                <w:szCs w:val="24"/>
                <w:lang w:eastAsia="ru-RU"/>
              </w:rPr>
            </w:pPr>
            <w:r w:rsidRPr="00175E32">
              <w:rPr>
                <w:szCs w:val="24"/>
                <w:lang w:eastAsia="ru-RU"/>
              </w:rPr>
              <w:t>1 6</w:t>
            </w:r>
            <w:r w:rsidR="004D0168">
              <w:rPr>
                <w:szCs w:val="24"/>
                <w:lang w:eastAsia="ru-RU"/>
              </w:rPr>
              <w:t>55</w:t>
            </w:r>
          </w:p>
        </w:tc>
        <w:tc>
          <w:tcPr>
            <w:tcW w:w="1704" w:type="dxa"/>
            <w:tcBorders>
              <w:top w:val="nil"/>
              <w:left w:val="nil"/>
              <w:bottom w:val="single" w:sz="4" w:space="0" w:color="auto"/>
              <w:right w:val="single" w:sz="4" w:space="0" w:color="auto"/>
            </w:tcBorders>
            <w:vAlign w:val="center"/>
          </w:tcPr>
          <w:p w14:paraId="3FCBB253" w14:textId="77777777" w:rsidR="003B681E" w:rsidRPr="00175E32" w:rsidRDefault="003B681E" w:rsidP="008A1EBE">
            <w:pPr>
              <w:suppressAutoHyphens w:val="0"/>
              <w:ind w:firstLine="0"/>
              <w:jc w:val="center"/>
              <w:rPr>
                <w:szCs w:val="24"/>
                <w:lang w:eastAsia="ru-RU"/>
              </w:rPr>
            </w:pPr>
            <w:r w:rsidRPr="00175E32">
              <w:rPr>
                <w:szCs w:val="24"/>
                <w:lang w:eastAsia="ru-RU"/>
              </w:rPr>
              <w:t>-4</w:t>
            </w:r>
            <w:r w:rsidR="004D0168">
              <w:rPr>
                <w:szCs w:val="24"/>
                <w:lang w:eastAsia="ru-RU"/>
              </w:rPr>
              <w:t>02</w:t>
            </w:r>
            <w:r w:rsidRPr="00175E32">
              <w:rPr>
                <w:szCs w:val="24"/>
                <w:lang w:eastAsia="ru-RU"/>
              </w:rPr>
              <w:t>/</w:t>
            </w:r>
          </w:p>
          <w:p w14:paraId="0484E71C" w14:textId="77777777" w:rsidR="003B681E" w:rsidRPr="00175E32" w:rsidRDefault="003B681E" w:rsidP="00022A8E">
            <w:pPr>
              <w:suppressAutoHyphens w:val="0"/>
              <w:ind w:firstLine="0"/>
              <w:jc w:val="center"/>
              <w:rPr>
                <w:szCs w:val="24"/>
                <w:lang w:eastAsia="ru-RU"/>
              </w:rPr>
            </w:pPr>
            <w:r w:rsidRPr="00175E32">
              <w:rPr>
                <w:szCs w:val="24"/>
                <w:lang w:eastAsia="ru-RU"/>
              </w:rPr>
              <w:t>-</w:t>
            </w:r>
            <w:r w:rsidR="00022A8E">
              <w:rPr>
                <w:szCs w:val="24"/>
                <w:lang w:eastAsia="ru-RU"/>
              </w:rPr>
              <w:t>19,5</w:t>
            </w:r>
            <w:r w:rsidRPr="00175E32">
              <w:rPr>
                <w:szCs w:val="24"/>
                <w:lang w:eastAsia="ru-RU"/>
              </w:rPr>
              <w:t>%</w:t>
            </w:r>
          </w:p>
        </w:tc>
      </w:tr>
      <w:tr w:rsidR="003B681E" w:rsidRPr="00175E32" w14:paraId="081FE8FE" w14:textId="77777777" w:rsidTr="008A1EBE">
        <w:trPr>
          <w:trHeight w:val="255"/>
        </w:trPr>
        <w:tc>
          <w:tcPr>
            <w:tcW w:w="2594" w:type="dxa"/>
            <w:tcBorders>
              <w:top w:val="nil"/>
              <w:left w:val="single" w:sz="4" w:space="0" w:color="auto"/>
              <w:bottom w:val="single" w:sz="4" w:space="0" w:color="auto"/>
              <w:right w:val="single" w:sz="4" w:space="0" w:color="auto"/>
            </w:tcBorders>
            <w:shd w:val="clear" w:color="000000" w:fill="FFFFFF"/>
            <w:vAlign w:val="center"/>
          </w:tcPr>
          <w:p w14:paraId="738D801B" w14:textId="77777777" w:rsidR="003B681E" w:rsidRPr="00175E32" w:rsidRDefault="003B681E" w:rsidP="007103B4">
            <w:pPr>
              <w:suppressAutoHyphens w:val="0"/>
              <w:ind w:firstLine="0"/>
              <w:jc w:val="left"/>
              <w:rPr>
                <w:szCs w:val="24"/>
                <w:lang w:eastAsia="ru-RU"/>
              </w:rPr>
            </w:pPr>
            <w:r w:rsidRPr="00175E32">
              <w:rPr>
                <w:szCs w:val="24"/>
                <w:lang w:eastAsia="ru-RU"/>
              </w:rPr>
              <w:t xml:space="preserve"> - налоги на имущество </w:t>
            </w:r>
          </w:p>
        </w:tc>
        <w:tc>
          <w:tcPr>
            <w:tcW w:w="1556" w:type="dxa"/>
            <w:tcBorders>
              <w:top w:val="nil"/>
              <w:left w:val="nil"/>
              <w:bottom w:val="single" w:sz="4" w:space="0" w:color="auto"/>
              <w:right w:val="single" w:sz="4" w:space="0" w:color="auto"/>
            </w:tcBorders>
            <w:vAlign w:val="center"/>
          </w:tcPr>
          <w:p w14:paraId="16788CC3" w14:textId="77777777" w:rsidR="003B681E" w:rsidRPr="00175E32" w:rsidRDefault="003B681E" w:rsidP="00074376">
            <w:pPr>
              <w:suppressAutoHyphens w:val="0"/>
              <w:ind w:firstLine="0"/>
              <w:jc w:val="center"/>
              <w:rPr>
                <w:szCs w:val="24"/>
                <w:lang w:eastAsia="ru-RU"/>
              </w:rPr>
            </w:pPr>
            <w:r w:rsidRPr="00175E32">
              <w:rPr>
                <w:szCs w:val="24"/>
                <w:lang w:eastAsia="ru-RU"/>
              </w:rPr>
              <w:t>млн. рублей</w:t>
            </w:r>
          </w:p>
        </w:tc>
        <w:tc>
          <w:tcPr>
            <w:tcW w:w="1150" w:type="dxa"/>
            <w:tcBorders>
              <w:top w:val="nil"/>
              <w:left w:val="nil"/>
              <w:bottom w:val="single" w:sz="4" w:space="0" w:color="auto"/>
              <w:right w:val="single" w:sz="4" w:space="0" w:color="auto"/>
            </w:tcBorders>
            <w:vAlign w:val="center"/>
          </w:tcPr>
          <w:p w14:paraId="29BCDF8C" w14:textId="77777777" w:rsidR="003B681E" w:rsidRPr="00175E32" w:rsidRDefault="003B681E" w:rsidP="008A1EBE">
            <w:pPr>
              <w:suppressAutoHyphens w:val="0"/>
              <w:ind w:firstLine="0"/>
              <w:jc w:val="center"/>
              <w:rPr>
                <w:szCs w:val="24"/>
                <w:lang w:eastAsia="ru-RU"/>
              </w:rPr>
            </w:pPr>
            <w:r w:rsidRPr="00175E32">
              <w:rPr>
                <w:szCs w:val="24"/>
                <w:lang w:eastAsia="ru-RU"/>
              </w:rPr>
              <w:t>5 172</w:t>
            </w:r>
          </w:p>
        </w:tc>
        <w:tc>
          <w:tcPr>
            <w:tcW w:w="1130" w:type="dxa"/>
            <w:tcBorders>
              <w:top w:val="nil"/>
              <w:left w:val="nil"/>
              <w:bottom w:val="single" w:sz="4" w:space="0" w:color="auto"/>
              <w:right w:val="single" w:sz="4" w:space="0" w:color="auto"/>
            </w:tcBorders>
            <w:vAlign w:val="center"/>
          </w:tcPr>
          <w:p w14:paraId="4DD8B502" w14:textId="77777777" w:rsidR="003B681E" w:rsidRPr="00175E32" w:rsidRDefault="003B681E" w:rsidP="008A1EBE">
            <w:pPr>
              <w:suppressAutoHyphens w:val="0"/>
              <w:ind w:firstLine="0"/>
              <w:jc w:val="center"/>
              <w:rPr>
                <w:szCs w:val="24"/>
                <w:lang w:eastAsia="ru-RU"/>
              </w:rPr>
            </w:pPr>
            <w:r w:rsidRPr="00175E32">
              <w:rPr>
                <w:szCs w:val="24"/>
                <w:lang w:eastAsia="ru-RU"/>
              </w:rPr>
              <w:t>5 197</w:t>
            </w:r>
          </w:p>
        </w:tc>
        <w:tc>
          <w:tcPr>
            <w:tcW w:w="1237" w:type="dxa"/>
            <w:tcBorders>
              <w:top w:val="nil"/>
              <w:left w:val="nil"/>
              <w:bottom w:val="single" w:sz="4" w:space="0" w:color="auto"/>
              <w:right w:val="single" w:sz="4" w:space="0" w:color="auto"/>
            </w:tcBorders>
            <w:vAlign w:val="center"/>
          </w:tcPr>
          <w:p w14:paraId="0DA4DB95" w14:textId="77777777" w:rsidR="003B681E" w:rsidRPr="00175E32" w:rsidRDefault="003B681E" w:rsidP="00022A8E">
            <w:pPr>
              <w:suppressAutoHyphens w:val="0"/>
              <w:ind w:firstLine="0"/>
              <w:jc w:val="center"/>
              <w:rPr>
                <w:szCs w:val="24"/>
                <w:lang w:eastAsia="ru-RU"/>
              </w:rPr>
            </w:pPr>
            <w:r w:rsidRPr="00175E32">
              <w:rPr>
                <w:szCs w:val="24"/>
                <w:lang w:eastAsia="ru-RU"/>
              </w:rPr>
              <w:t>4 4</w:t>
            </w:r>
            <w:r w:rsidR="00022A8E">
              <w:rPr>
                <w:szCs w:val="24"/>
                <w:lang w:eastAsia="ru-RU"/>
              </w:rPr>
              <w:t>96</w:t>
            </w:r>
          </w:p>
        </w:tc>
        <w:tc>
          <w:tcPr>
            <w:tcW w:w="1704" w:type="dxa"/>
            <w:tcBorders>
              <w:top w:val="nil"/>
              <w:left w:val="nil"/>
              <w:bottom w:val="single" w:sz="4" w:space="0" w:color="auto"/>
              <w:right w:val="single" w:sz="4" w:space="0" w:color="auto"/>
            </w:tcBorders>
            <w:vAlign w:val="center"/>
          </w:tcPr>
          <w:p w14:paraId="08888C0B" w14:textId="77777777" w:rsidR="003B681E" w:rsidRPr="00175E32" w:rsidRDefault="003B681E" w:rsidP="008A1EBE">
            <w:pPr>
              <w:suppressAutoHyphens w:val="0"/>
              <w:ind w:firstLine="0"/>
              <w:jc w:val="center"/>
              <w:rPr>
                <w:szCs w:val="24"/>
                <w:lang w:eastAsia="ru-RU"/>
              </w:rPr>
            </w:pPr>
            <w:r w:rsidRPr="00175E32">
              <w:rPr>
                <w:szCs w:val="24"/>
                <w:lang w:eastAsia="ru-RU"/>
              </w:rPr>
              <w:t>-7</w:t>
            </w:r>
            <w:r w:rsidR="00022A8E">
              <w:rPr>
                <w:szCs w:val="24"/>
                <w:lang w:eastAsia="ru-RU"/>
              </w:rPr>
              <w:t>01</w:t>
            </w:r>
            <w:r w:rsidRPr="00175E32">
              <w:rPr>
                <w:szCs w:val="24"/>
                <w:lang w:eastAsia="ru-RU"/>
              </w:rPr>
              <w:t>/</w:t>
            </w:r>
          </w:p>
          <w:p w14:paraId="79713C36" w14:textId="77777777" w:rsidR="003B681E" w:rsidRPr="00175E32" w:rsidRDefault="003B681E" w:rsidP="00022A8E">
            <w:pPr>
              <w:suppressAutoHyphens w:val="0"/>
              <w:ind w:firstLine="0"/>
              <w:jc w:val="center"/>
              <w:rPr>
                <w:szCs w:val="24"/>
                <w:lang w:eastAsia="ru-RU"/>
              </w:rPr>
            </w:pPr>
            <w:r w:rsidRPr="00175E32">
              <w:rPr>
                <w:szCs w:val="24"/>
                <w:lang w:eastAsia="ru-RU"/>
              </w:rPr>
              <w:t>-1</w:t>
            </w:r>
            <w:r w:rsidR="00022A8E">
              <w:rPr>
                <w:szCs w:val="24"/>
                <w:lang w:eastAsia="ru-RU"/>
              </w:rPr>
              <w:t>3,5</w:t>
            </w:r>
            <w:r w:rsidRPr="00175E32">
              <w:rPr>
                <w:szCs w:val="24"/>
                <w:lang w:eastAsia="ru-RU"/>
              </w:rPr>
              <w:t>%</w:t>
            </w:r>
          </w:p>
        </w:tc>
      </w:tr>
      <w:tr w:rsidR="003B681E" w:rsidRPr="00175E32" w14:paraId="13A7754F" w14:textId="77777777" w:rsidTr="008A1EBE">
        <w:trPr>
          <w:trHeight w:val="585"/>
        </w:trPr>
        <w:tc>
          <w:tcPr>
            <w:tcW w:w="2594" w:type="dxa"/>
            <w:tcBorders>
              <w:top w:val="nil"/>
              <w:left w:val="single" w:sz="4" w:space="0" w:color="auto"/>
              <w:bottom w:val="single" w:sz="4" w:space="0" w:color="auto"/>
              <w:right w:val="single" w:sz="4" w:space="0" w:color="auto"/>
            </w:tcBorders>
            <w:shd w:val="clear" w:color="000000" w:fill="FFFFFF"/>
            <w:vAlign w:val="center"/>
          </w:tcPr>
          <w:p w14:paraId="4B3A1809" w14:textId="77777777" w:rsidR="003B681E" w:rsidRPr="00175E32" w:rsidRDefault="003B681E" w:rsidP="00074376">
            <w:pPr>
              <w:suppressAutoHyphens w:val="0"/>
              <w:ind w:firstLine="0"/>
              <w:rPr>
                <w:szCs w:val="24"/>
                <w:lang w:eastAsia="ru-RU"/>
              </w:rPr>
            </w:pPr>
            <w:r w:rsidRPr="00175E32">
              <w:rPr>
                <w:szCs w:val="24"/>
                <w:lang w:eastAsia="ru-RU"/>
              </w:rPr>
              <w:t xml:space="preserve"> - налоги, сборы за пользование природными ресурсами и прочие налоговые доходы</w:t>
            </w:r>
          </w:p>
        </w:tc>
        <w:tc>
          <w:tcPr>
            <w:tcW w:w="1556" w:type="dxa"/>
            <w:tcBorders>
              <w:top w:val="nil"/>
              <w:left w:val="nil"/>
              <w:bottom w:val="single" w:sz="4" w:space="0" w:color="auto"/>
              <w:right w:val="single" w:sz="4" w:space="0" w:color="auto"/>
            </w:tcBorders>
            <w:vAlign w:val="center"/>
          </w:tcPr>
          <w:p w14:paraId="0EB90137" w14:textId="77777777" w:rsidR="003B681E" w:rsidRPr="00175E32" w:rsidRDefault="003B681E" w:rsidP="00074376">
            <w:pPr>
              <w:suppressAutoHyphens w:val="0"/>
              <w:ind w:firstLine="0"/>
              <w:jc w:val="center"/>
              <w:rPr>
                <w:szCs w:val="24"/>
                <w:lang w:eastAsia="ru-RU"/>
              </w:rPr>
            </w:pPr>
            <w:r w:rsidRPr="00175E32">
              <w:rPr>
                <w:szCs w:val="24"/>
                <w:lang w:eastAsia="ru-RU"/>
              </w:rPr>
              <w:t>млн. рублей</w:t>
            </w:r>
          </w:p>
        </w:tc>
        <w:tc>
          <w:tcPr>
            <w:tcW w:w="1150" w:type="dxa"/>
            <w:tcBorders>
              <w:top w:val="nil"/>
              <w:left w:val="nil"/>
              <w:bottom w:val="single" w:sz="4" w:space="0" w:color="auto"/>
              <w:right w:val="single" w:sz="4" w:space="0" w:color="auto"/>
            </w:tcBorders>
            <w:vAlign w:val="center"/>
          </w:tcPr>
          <w:p w14:paraId="6A705CB1" w14:textId="77777777" w:rsidR="003B681E" w:rsidRPr="00175E32" w:rsidRDefault="003B681E" w:rsidP="008A1EBE">
            <w:pPr>
              <w:suppressAutoHyphens w:val="0"/>
              <w:ind w:firstLine="0"/>
              <w:jc w:val="center"/>
              <w:rPr>
                <w:szCs w:val="24"/>
                <w:lang w:eastAsia="ru-RU"/>
              </w:rPr>
            </w:pPr>
            <w:r w:rsidRPr="00175E32">
              <w:rPr>
                <w:szCs w:val="24"/>
                <w:lang w:eastAsia="ru-RU"/>
              </w:rPr>
              <w:t>290</w:t>
            </w:r>
          </w:p>
        </w:tc>
        <w:tc>
          <w:tcPr>
            <w:tcW w:w="1130" w:type="dxa"/>
            <w:tcBorders>
              <w:top w:val="nil"/>
              <w:left w:val="nil"/>
              <w:bottom w:val="single" w:sz="4" w:space="0" w:color="auto"/>
              <w:right w:val="single" w:sz="4" w:space="0" w:color="auto"/>
            </w:tcBorders>
            <w:vAlign w:val="center"/>
          </w:tcPr>
          <w:p w14:paraId="73A0D79A" w14:textId="77777777" w:rsidR="003B681E" w:rsidRPr="00175E32" w:rsidRDefault="003B681E" w:rsidP="008A1EBE">
            <w:pPr>
              <w:suppressAutoHyphens w:val="0"/>
              <w:ind w:firstLine="0"/>
              <w:jc w:val="center"/>
              <w:rPr>
                <w:szCs w:val="24"/>
                <w:lang w:eastAsia="ru-RU"/>
              </w:rPr>
            </w:pPr>
            <w:r w:rsidRPr="00175E32">
              <w:rPr>
                <w:szCs w:val="24"/>
                <w:lang w:eastAsia="ru-RU"/>
              </w:rPr>
              <w:t>292</w:t>
            </w:r>
          </w:p>
        </w:tc>
        <w:tc>
          <w:tcPr>
            <w:tcW w:w="1237" w:type="dxa"/>
            <w:tcBorders>
              <w:top w:val="nil"/>
              <w:left w:val="nil"/>
              <w:bottom w:val="single" w:sz="4" w:space="0" w:color="auto"/>
              <w:right w:val="single" w:sz="4" w:space="0" w:color="auto"/>
            </w:tcBorders>
            <w:vAlign w:val="center"/>
          </w:tcPr>
          <w:p w14:paraId="7C7C1EF6" w14:textId="77777777" w:rsidR="003B681E" w:rsidRPr="00175E32" w:rsidRDefault="00022A8E" w:rsidP="008A1EBE">
            <w:pPr>
              <w:suppressAutoHyphens w:val="0"/>
              <w:ind w:firstLine="0"/>
              <w:jc w:val="center"/>
              <w:rPr>
                <w:szCs w:val="24"/>
                <w:lang w:eastAsia="ru-RU"/>
              </w:rPr>
            </w:pPr>
            <w:r>
              <w:rPr>
                <w:szCs w:val="24"/>
                <w:lang w:eastAsia="ru-RU"/>
              </w:rPr>
              <w:t>198</w:t>
            </w:r>
          </w:p>
        </w:tc>
        <w:tc>
          <w:tcPr>
            <w:tcW w:w="1704" w:type="dxa"/>
            <w:tcBorders>
              <w:top w:val="nil"/>
              <w:left w:val="nil"/>
              <w:bottom w:val="single" w:sz="4" w:space="0" w:color="auto"/>
              <w:right w:val="single" w:sz="4" w:space="0" w:color="auto"/>
            </w:tcBorders>
            <w:vAlign w:val="center"/>
          </w:tcPr>
          <w:p w14:paraId="40BCB27C" w14:textId="77777777" w:rsidR="003B681E" w:rsidRPr="00175E32" w:rsidRDefault="003B681E" w:rsidP="008A1EBE">
            <w:pPr>
              <w:suppressAutoHyphens w:val="0"/>
              <w:ind w:firstLine="0"/>
              <w:jc w:val="center"/>
              <w:rPr>
                <w:szCs w:val="24"/>
                <w:lang w:eastAsia="ru-RU"/>
              </w:rPr>
            </w:pPr>
            <w:r w:rsidRPr="00175E32">
              <w:rPr>
                <w:szCs w:val="24"/>
                <w:lang w:eastAsia="ru-RU"/>
              </w:rPr>
              <w:t>-9</w:t>
            </w:r>
            <w:r w:rsidR="00022A8E">
              <w:rPr>
                <w:szCs w:val="24"/>
                <w:lang w:eastAsia="ru-RU"/>
              </w:rPr>
              <w:t>4</w:t>
            </w:r>
            <w:r w:rsidRPr="00175E32">
              <w:rPr>
                <w:szCs w:val="24"/>
                <w:lang w:eastAsia="ru-RU"/>
              </w:rPr>
              <w:t>/</w:t>
            </w:r>
          </w:p>
          <w:p w14:paraId="22182746" w14:textId="77777777" w:rsidR="003B681E" w:rsidRPr="00175E32" w:rsidRDefault="003B681E" w:rsidP="00022A8E">
            <w:pPr>
              <w:suppressAutoHyphens w:val="0"/>
              <w:ind w:firstLine="0"/>
              <w:jc w:val="center"/>
              <w:rPr>
                <w:szCs w:val="24"/>
                <w:lang w:eastAsia="ru-RU"/>
              </w:rPr>
            </w:pPr>
            <w:r w:rsidRPr="00175E32">
              <w:rPr>
                <w:szCs w:val="24"/>
                <w:lang w:eastAsia="ru-RU"/>
              </w:rPr>
              <w:t>-3</w:t>
            </w:r>
            <w:r w:rsidR="00022A8E">
              <w:rPr>
                <w:szCs w:val="24"/>
                <w:lang w:eastAsia="ru-RU"/>
              </w:rPr>
              <w:t>2,2</w:t>
            </w:r>
            <w:r w:rsidRPr="00175E32">
              <w:rPr>
                <w:szCs w:val="24"/>
                <w:lang w:eastAsia="ru-RU"/>
              </w:rPr>
              <w:t>%</w:t>
            </w:r>
          </w:p>
        </w:tc>
      </w:tr>
      <w:tr w:rsidR="003B681E" w:rsidRPr="00175E32" w14:paraId="46B73042" w14:textId="77777777" w:rsidTr="008A1EBE">
        <w:trPr>
          <w:trHeight w:val="585"/>
        </w:trPr>
        <w:tc>
          <w:tcPr>
            <w:tcW w:w="2594" w:type="dxa"/>
            <w:tcBorders>
              <w:top w:val="nil"/>
              <w:left w:val="single" w:sz="4" w:space="0" w:color="auto"/>
              <w:bottom w:val="single" w:sz="4" w:space="0" w:color="auto"/>
              <w:right w:val="single" w:sz="4" w:space="0" w:color="auto"/>
            </w:tcBorders>
            <w:shd w:val="clear" w:color="000000" w:fill="FFFFFF"/>
            <w:vAlign w:val="center"/>
          </w:tcPr>
          <w:p w14:paraId="1A4C191D" w14:textId="77777777" w:rsidR="003B681E" w:rsidRPr="00175E32" w:rsidRDefault="003B681E" w:rsidP="00074376">
            <w:pPr>
              <w:suppressAutoHyphens w:val="0"/>
              <w:ind w:firstLine="0"/>
              <w:rPr>
                <w:szCs w:val="24"/>
                <w:lang w:eastAsia="ru-RU"/>
              </w:rPr>
            </w:pPr>
            <w:r w:rsidRPr="00175E32">
              <w:rPr>
                <w:szCs w:val="24"/>
                <w:lang w:eastAsia="ru-RU"/>
              </w:rPr>
              <w:t>Из них: налоговые доходы местного бюджета</w:t>
            </w:r>
          </w:p>
        </w:tc>
        <w:tc>
          <w:tcPr>
            <w:tcW w:w="1556" w:type="dxa"/>
            <w:tcBorders>
              <w:top w:val="nil"/>
              <w:left w:val="nil"/>
              <w:bottom w:val="single" w:sz="4" w:space="0" w:color="auto"/>
              <w:right w:val="single" w:sz="4" w:space="0" w:color="auto"/>
            </w:tcBorders>
            <w:vAlign w:val="center"/>
          </w:tcPr>
          <w:p w14:paraId="746C36F6" w14:textId="77777777" w:rsidR="003B681E" w:rsidRPr="00175E32" w:rsidRDefault="003B681E" w:rsidP="00074376">
            <w:pPr>
              <w:suppressAutoHyphens w:val="0"/>
              <w:ind w:firstLine="0"/>
              <w:jc w:val="center"/>
              <w:rPr>
                <w:szCs w:val="24"/>
                <w:lang w:eastAsia="ru-RU"/>
              </w:rPr>
            </w:pPr>
            <w:r w:rsidRPr="00175E32">
              <w:rPr>
                <w:szCs w:val="24"/>
                <w:lang w:eastAsia="ru-RU"/>
              </w:rPr>
              <w:t>млн. рублей</w:t>
            </w:r>
          </w:p>
        </w:tc>
        <w:tc>
          <w:tcPr>
            <w:tcW w:w="1150" w:type="dxa"/>
            <w:tcBorders>
              <w:top w:val="nil"/>
              <w:left w:val="nil"/>
              <w:bottom w:val="single" w:sz="4" w:space="0" w:color="auto"/>
              <w:right w:val="single" w:sz="4" w:space="0" w:color="auto"/>
            </w:tcBorders>
            <w:vAlign w:val="center"/>
          </w:tcPr>
          <w:p w14:paraId="76857BDE" w14:textId="77777777" w:rsidR="003B681E" w:rsidRPr="00175E32" w:rsidRDefault="003B681E" w:rsidP="008A1EBE">
            <w:pPr>
              <w:suppressAutoHyphens w:val="0"/>
              <w:ind w:firstLine="0"/>
              <w:jc w:val="center"/>
              <w:rPr>
                <w:szCs w:val="24"/>
                <w:lang w:eastAsia="ru-RU"/>
              </w:rPr>
            </w:pPr>
            <w:r w:rsidRPr="00175E32">
              <w:rPr>
                <w:szCs w:val="24"/>
                <w:lang w:eastAsia="ru-RU"/>
              </w:rPr>
              <w:t>6 114</w:t>
            </w:r>
          </w:p>
        </w:tc>
        <w:tc>
          <w:tcPr>
            <w:tcW w:w="1130" w:type="dxa"/>
            <w:tcBorders>
              <w:top w:val="nil"/>
              <w:left w:val="nil"/>
              <w:bottom w:val="single" w:sz="4" w:space="0" w:color="auto"/>
              <w:right w:val="single" w:sz="4" w:space="0" w:color="auto"/>
            </w:tcBorders>
            <w:vAlign w:val="center"/>
          </w:tcPr>
          <w:p w14:paraId="79EDE144" w14:textId="77777777" w:rsidR="003B681E" w:rsidRPr="00175E32" w:rsidRDefault="003B681E" w:rsidP="008A1EBE">
            <w:pPr>
              <w:suppressAutoHyphens w:val="0"/>
              <w:ind w:firstLine="0"/>
              <w:jc w:val="center"/>
              <w:rPr>
                <w:szCs w:val="24"/>
                <w:lang w:eastAsia="ru-RU"/>
              </w:rPr>
            </w:pPr>
            <w:r w:rsidRPr="00175E32">
              <w:rPr>
                <w:szCs w:val="24"/>
                <w:lang w:eastAsia="ru-RU"/>
              </w:rPr>
              <w:t>6 219</w:t>
            </w:r>
          </w:p>
        </w:tc>
        <w:tc>
          <w:tcPr>
            <w:tcW w:w="1237" w:type="dxa"/>
            <w:tcBorders>
              <w:top w:val="nil"/>
              <w:left w:val="nil"/>
              <w:bottom w:val="single" w:sz="4" w:space="0" w:color="auto"/>
              <w:right w:val="single" w:sz="4" w:space="0" w:color="auto"/>
            </w:tcBorders>
            <w:vAlign w:val="center"/>
          </w:tcPr>
          <w:p w14:paraId="35E7E404" w14:textId="77777777" w:rsidR="003B681E" w:rsidRPr="00175E32" w:rsidRDefault="003B681E" w:rsidP="00022A8E">
            <w:pPr>
              <w:suppressAutoHyphens w:val="0"/>
              <w:ind w:firstLine="0"/>
              <w:jc w:val="center"/>
              <w:rPr>
                <w:szCs w:val="24"/>
                <w:lang w:eastAsia="ru-RU"/>
              </w:rPr>
            </w:pPr>
            <w:r w:rsidRPr="00175E32">
              <w:rPr>
                <w:szCs w:val="24"/>
                <w:lang w:eastAsia="ru-RU"/>
              </w:rPr>
              <w:t xml:space="preserve">5 </w:t>
            </w:r>
            <w:r w:rsidR="00022A8E">
              <w:rPr>
                <w:szCs w:val="24"/>
                <w:lang w:eastAsia="ru-RU"/>
              </w:rPr>
              <w:t>704</w:t>
            </w:r>
          </w:p>
        </w:tc>
        <w:tc>
          <w:tcPr>
            <w:tcW w:w="1704" w:type="dxa"/>
            <w:tcBorders>
              <w:top w:val="nil"/>
              <w:left w:val="nil"/>
              <w:bottom w:val="single" w:sz="4" w:space="0" w:color="auto"/>
              <w:right w:val="single" w:sz="4" w:space="0" w:color="auto"/>
            </w:tcBorders>
            <w:vAlign w:val="center"/>
          </w:tcPr>
          <w:p w14:paraId="1C23401A" w14:textId="77777777" w:rsidR="003B681E" w:rsidRPr="00175E32" w:rsidRDefault="003B681E" w:rsidP="008A1EBE">
            <w:pPr>
              <w:suppressAutoHyphens w:val="0"/>
              <w:ind w:firstLine="0"/>
              <w:jc w:val="center"/>
              <w:rPr>
                <w:szCs w:val="24"/>
                <w:lang w:eastAsia="ru-RU"/>
              </w:rPr>
            </w:pPr>
            <w:r w:rsidRPr="00175E32">
              <w:rPr>
                <w:szCs w:val="24"/>
                <w:lang w:eastAsia="ru-RU"/>
              </w:rPr>
              <w:t>-</w:t>
            </w:r>
            <w:r w:rsidR="000B6108">
              <w:rPr>
                <w:szCs w:val="24"/>
                <w:lang w:eastAsia="ru-RU"/>
              </w:rPr>
              <w:t>5</w:t>
            </w:r>
            <w:r w:rsidR="00022A8E">
              <w:rPr>
                <w:szCs w:val="24"/>
                <w:lang w:eastAsia="ru-RU"/>
              </w:rPr>
              <w:t>15</w:t>
            </w:r>
            <w:r w:rsidRPr="00175E32">
              <w:rPr>
                <w:szCs w:val="24"/>
                <w:lang w:eastAsia="ru-RU"/>
              </w:rPr>
              <w:t>/</w:t>
            </w:r>
          </w:p>
          <w:p w14:paraId="0F5EE656" w14:textId="77777777" w:rsidR="003B681E" w:rsidRPr="00175E32" w:rsidRDefault="000B6108" w:rsidP="00022A8E">
            <w:pPr>
              <w:suppressAutoHyphens w:val="0"/>
              <w:ind w:firstLine="0"/>
              <w:jc w:val="center"/>
              <w:rPr>
                <w:szCs w:val="24"/>
                <w:lang w:eastAsia="ru-RU"/>
              </w:rPr>
            </w:pPr>
            <w:r>
              <w:rPr>
                <w:szCs w:val="24"/>
                <w:lang w:eastAsia="ru-RU"/>
              </w:rPr>
              <w:t>-8,</w:t>
            </w:r>
            <w:r w:rsidR="00022A8E">
              <w:rPr>
                <w:szCs w:val="24"/>
                <w:lang w:eastAsia="ru-RU"/>
              </w:rPr>
              <w:t>3</w:t>
            </w:r>
            <w:r w:rsidR="003B681E" w:rsidRPr="00175E32">
              <w:rPr>
                <w:szCs w:val="24"/>
                <w:lang w:eastAsia="ru-RU"/>
              </w:rPr>
              <w:t>%</w:t>
            </w:r>
          </w:p>
        </w:tc>
      </w:tr>
      <w:tr w:rsidR="003B681E" w:rsidRPr="00175E32" w14:paraId="6A749BEA" w14:textId="77777777" w:rsidTr="008A1EBE">
        <w:trPr>
          <w:trHeight w:val="255"/>
        </w:trPr>
        <w:tc>
          <w:tcPr>
            <w:tcW w:w="2594" w:type="dxa"/>
            <w:tcBorders>
              <w:top w:val="nil"/>
              <w:left w:val="single" w:sz="4" w:space="0" w:color="auto"/>
              <w:bottom w:val="single" w:sz="4" w:space="0" w:color="auto"/>
              <w:right w:val="single" w:sz="4" w:space="0" w:color="auto"/>
            </w:tcBorders>
            <w:shd w:val="clear" w:color="000000" w:fill="FFFFFF"/>
            <w:vAlign w:val="center"/>
          </w:tcPr>
          <w:p w14:paraId="7CC32499" w14:textId="77777777" w:rsidR="003B681E" w:rsidRPr="00175E32" w:rsidRDefault="003B681E" w:rsidP="00074376">
            <w:pPr>
              <w:suppressAutoHyphens w:val="0"/>
              <w:ind w:firstLine="0"/>
              <w:rPr>
                <w:szCs w:val="24"/>
                <w:lang w:eastAsia="ru-RU"/>
              </w:rPr>
            </w:pPr>
            <w:r w:rsidRPr="00175E32">
              <w:rPr>
                <w:szCs w:val="24"/>
                <w:lang w:eastAsia="ru-RU"/>
              </w:rPr>
              <w:t>Неналоговые доходы местного бюджета</w:t>
            </w:r>
          </w:p>
        </w:tc>
        <w:tc>
          <w:tcPr>
            <w:tcW w:w="1556" w:type="dxa"/>
            <w:tcBorders>
              <w:top w:val="nil"/>
              <w:left w:val="nil"/>
              <w:bottom w:val="single" w:sz="4" w:space="0" w:color="auto"/>
              <w:right w:val="single" w:sz="4" w:space="0" w:color="auto"/>
            </w:tcBorders>
            <w:vAlign w:val="center"/>
          </w:tcPr>
          <w:p w14:paraId="655FEC81" w14:textId="77777777" w:rsidR="003B681E" w:rsidRPr="00175E32" w:rsidRDefault="003B681E" w:rsidP="00074376">
            <w:pPr>
              <w:suppressAutoHyphens w:val="0"/>
              <w:ind w:firstLine="0"/>
              <w:jc w:val="center"/>
              <w:rPr>
                <w:szCs w:val="24"/>
                <w:lang w:eastAsia="ru-RU"/>
              </w:rPr>
            </w:pPr>
            <w:r w:rsidRPr="00175E32">
              <w:rPr>
                <w:szCs w:val="24"/>
                <w:lang w:eastAsia="ru-RU"/>
              </w:rPr>
              <w:t>млн. рублей</w:t>
            </w:r>
          </w:p>
        </w:tc>
        <w:tc>
          <w:tcPr>
            <w:tcW w:w="1150" w:type="dxa"/>
            <w:tcBorders>
              <w:top w:val="nil"/>
              <w:left w:val="nil"/>
              <w:bottom w:val="single" w:sz="4" w:space="0" w:color="auto"/>
              <w:right w:val="single" w:sz="4" w:space="0" w:color="auto"/>
            </w:tcBorders>
            <w:vAlign w:val="center"/>
          </w:tcPr>
          <w:p w14:paraId="2C00F27F" w14:textId="77777777" w:rsidR="003B681E" w:rsidRPr="00175E32" w:rsidRDefault="003B681E" w:rsidP="008A1EBE">
            <w:pPr>
              <w:suppressAutoHyphens w:val="0"/>
              <w:ind w:firstLine="0"/>
              <w:jc w:val="center"/>
              <w:rPr>
                <w:szCs w:val="24"/>
                <w:lang w:eastAsia="ru-RU"/>
              </w:rPr>
            </w:pPr>
            <w:r w:rsidRPr="00175E32">
              <w:rPr>
                <w:szCs w:val="24"/>
                <w:lang w:eastAsia="ru-RU"/>
              </w:rPr>
              <w:t>737</w:t>
            </w:r>
          </w:p>
        </w:tc>
        <w:tc>
          <w:tcPr>
            <w:tcW w:w="1130" w:type="dxa"/>
            <w:tcBorders>
              <w:top w:val="nil"/>
              <w:left w:val="nil"/>
              <w:bottom w:val="single" w:sz="4" w:space="0" w:color="auto"/>
              <w:right w:val="single" w:sz="4" w:space="0" w:color="auto"/>
            </w:tcBorders>
            <w:vAlign w:val="center"/>
          </w:tcPr>
          <w:p w14:paraId="3B63BF9D" w14:textId="77777777" w:rsidR="003B681E" w:rsidRPr="00175E32" w:rsidRDefault="003B681E" w:rsidP="008A1EBE">
            <w:pPr>
              <w:suppressAutoHyphens w:val="0"/>
              <w:ind w:firstLine="0"/>
              <w:jc w:val="center"/>
              <w:rPr>
                <w:szCs w:val="24"/>
                <w:lang w:eastAsia="ru-RU"/>
              </w:rPr>
            </w:pPr>
            <w:r w:rsidRPr="00175E32">
              <w:rPr>
                <w:szCs w:val="24"/>
                <w:lang w:eastAsia="ru-RU"/>
              </w:rPr>
              <w:t>790</w:t>
            </w:r>
          </w:p>
        </w:tc>
        <w:tc>
          <w:tcPr>
            <w:tcW w:w="1237" w:type="dxa"/>
            <w:tcBorders>
              <w:top w:val="nil"/>
              <w:left w:val="nil"/>
              <w:bottom w:val="single" w:sz="4" w:space="0" w:color="auto"/>
              <w:right w:val="single" w:sz="4" w:space="0" w:color="auto"/>
            </w:tcBorders>
            <w:vAlign w:val="center"/>
          </w:tcPr>
          <w:p w14:paraId="7CBABCD4" w14:textId="77777777" w:rsidR="003B681E" w:rsidRPr="00175E32" w:rsidRDefault="000B6108" w:rsidP="008A1EBE">
            <w:pPr>
              <w:suppressAutoHyphens w:val="0"/>
              <w:ind w:firstLine="0"/>
              <w:jc w:val="center"/>
              <w:rPr>
                <w:szCs w:val="24"/>
                <w:lang w:eastAsia="ru-RU"/>
              </w:rPr>
            </w:pPr>
            <w:r>
              <w:rPr>
                <w:szCs w:val="24"/>
                <w:lang w:eastAsia="ru-RU"/>
              </w:rPr>
              <w:t>693</w:t>
            </w:r>
          </w:p>
        </w:tc>
        <w:tc>
          <w:tcPr>
            <w:tcW w:w="1704" w:type="dxa"/>
            <w:tcBorders>
              <w:top w:val="nil"/>
              <w:left w:val="nil"/>
              <w:bottom w:val="single" w:sz="4" w:space="0" w:color="auto"/>
              <w:right w:val="single" w:sz="4" w:space="0" w:color="auto"/>
            </w:tcBorders>
            <w:vAlign w:val="center"/>
          </w:tcPr>
          <w:p w14:paraId="22EB0635" w14:textId="77777777" w:rsidR="003B681E" w:rsidRPr="00175E32" w:rsidRDefault="003B681E" w:rsidP="008A1EBE">
            <w:pPr>
              <w:suppressAutoHyphens w:val="0"/>
              <w:ind w:firstLine="0"/>
              <w:jc w:val="center"/>
              <w:rPr>
                <w:szCs w:val="24"/>
                <w:lang w:eastAsia="ru-RU"/>
              </w:rPr>
            </w:pPr>
            <w:r w:rsidRPr="00175E32">
              <w:rPr>
                <w:szCs w:val="24"/>
                <w:lang w:eastAsia="ru-RU"/>
              </w:rPr>
              <w:t>-</w:t>
            </w:r>
            <w:r w:rsidR="000B6108">
              <w:rPr>
                <w:szCs w:val="24"/>
                <w:lang w:eastAsia="ru-RU"/>
              </w:rPr>
              <w:t>97</w:t>
            </w:r>
            <w:r w:rsidRPr="00175E32">
              <w:rPr>
                <w:szCs w:val="24"/>
                <w:lang w:eastAsia="ru-RU"/>
              </w:rPr>
              <w:t>/</w:t>
            </w:r>
          </w:p>
          <w:p w14:paraId="2D59D607" w14:textId="77777777" w:rsidR="003B681E" w:rsidRPr="00175E32" w:rsidRDefault="003B681E" w:rsidP="008A1EBE">
            <w:pPr>
              <w:suppressAutoHyphens w:val="0"/>
              <w:ind w:firstLine="0"/>
              <w:jc w:val="center"/>
              <w:rPr>
                <w:szCs w:val="24"/>
                <w:lang w:eastAsia="ru-RU"/>
              </w:rPr>
            </w:pPr>
            <w:r w:rsidRPr="00175E32">
              <w:rPr>
                <w:szCs w:val="24"/>
                <w:lang w:eastAsia="ru-RU"/>
              </w:rPr>
              <w:t>-1</w:t>
            </w:r>
            <w:r w:rsidR="000B6108">
              <w:rPr>
                <w:szCs w:val="24"/>
                <w:lang w:eastAsia="ru-RU"/>
              </w:rPr>
              <w:t>2,3</w:t>
            </w:r>
            <w:r w:rsidRPr="00175E32">
              <w:rPr>
                <w:szCs w:val="24"/>
                <w:lang w:eastAsia="ru-RU"/>
              </w:rPr>
              <w:t>%</w:t>
            </w:r>
          </w:p>
        </w:tc>
      </w:tr>
      <w:tr w:rsidR="003B681E" w:rsidRPr="00175E32" w14:paraId="72571233" w14:textId="77777777" w:rsidTr="008A1EBE">
        <w:trPr>
          <w:trHeight w:val="570"/>
        </w:trPr>
        <w:tc>
          <w:tcPr>
            <w:tcW w:w="2594" w:type="dxa"/>
            <w:tcBorders>
              <w:top w:val="nil"/>
              <w:left w:val="single" w:sz="4" w:space="0" w:color="auto"/>
              <w:bottom w:val="single" w:sz="4" w:space="0" w:color="auto"/>
              <w:right w:val="single" w:sz="4" w:space="0" w:color="auto"/>
            </w:tcBorders>
            <w:shd w:val="clear" w:color="000000" w:fill="FFFFFF"/>
            <w:vAlign w:val="center"/>
          </w:tcPr>
          <w:p w14:paraId="168E43E4" w14:textId="77777777" w:rsidR="003B681E" w:rsidRPr="00175E32" w:rsidRDefault="003B681E" w:rsidP="00074376">
            <w:pPr>
              <w:suppressAutoHyphens w:val="0"/>
              <w:ind w:firstLine="0"/>
              <w:rPr>
                <w:szCs w:val="24"/>
                <w:lang w:eastAsia="ru-RU"/>
              </w:rPr>
            </w:pPr>
            <w:r w:rsidRPr="00175E32">
              <w:rPr>
                <w:szCs w:val="24"/>
                <w:lang w:eastAsia="ru-RU"/>
              </w:rPr>
              <w:t>Страховые взносы во внебюджетные фонды</w:t>
            </w:r>
          </w:p>
        </w:tc>
        <w:tc>
          <w:tcPr>
            <w:tcW w:w="1556" w:type="dxa"/>
            <w:tcBorders>
              <w:top w:val="nil"/>
              <w:left w:val="nil"/>
              <w:bottom w:val="single" w:sz="4" w:space="0" w:color="auto"/>
              <w:right w:val="single" w:sz="4" w:space="0" w:color="auto"/>
            </w:tcBorders>
            <w:vAlign w:val="center"/>
          </w:tcPr>
          <w:p w14:paraId="6ACF3A2C" w14:textId="77777777" w:rsidR="003B681E" w:rsidRPr="00175E32" w:rsidRDefault="003B681E" w:rsidP="00074376">
            <w:pPr>
              <w:suppressAutoHyphens w:val="0"/>
              <w:ind w:firstLine="0"/>
              <w:jc w:val="center"/>
              <w:rPr>
                <w:szCs w:val="24"/>
                <w:lang w:eastAsia="ru-RU"/>
              </w:rPr>
            </w:pPr>
            <w:r w:rsidRPr="00175E32">
              <w:rPr>
                <w:szCs w:val="24"/>
                <w:lang w:eastAsia="ru-RU"/>
              </w:rPr>
              <w:t>млн. рублей</w:t>
            </w:r>
          </w:p>
        </w:tc>
        <w:tc>
          <w:tcPr>
            <w:tcW w:w="1150" w:type="dxa"/>
            <w:tcBorders>
              <w:top w:val="nil"/>
              <w:left w:val="nil"/>
              <w:bottom w:val="single" w:sz="4" w:space="0" w:color="auto"/>
              <w:right w:val="single" w:sz="4" w:space="0" w:color="auto"/>
            </w:tcBorders>
            <w:vAlign w:val="center"/>
          </w:tcPr>
          <w:p w14:paraId="2AF79A9A" w14:textId="77777777" w:rsidR="003B681E" w:rsidRPr="00175E32" w:rsidRDefault="003B681E" w:rsidP="008A1EBE">
            <w:pPr>
              <w:suppressAutoHyphens w:val="0"/>
              <w:ind w:firstLine="0"/>
              <w:jc w:val="center"/>
              <w:rPr>
                <w:szCs w:val="24"/>
                <w:lang w:eastAsia="ru-RU"/>
              </w:rPr>
            </w:pPr>
            <w:r w:rsidRPr="00175E32">
              <w:rPr>
                <w:szCs w:val="24"/>
                <w:lang w:eastAsia="ru-RU"/>
              </w:rPr>
              <w:t>30 424</w:t>
            </w:r>
          </w:p>
        </w:tc>
        <w:tc>
          <w:tcPr>
            <w:tcW w:w="1130" w:type="dxa"/>
            <w:tcBorders>
              <w:top w:val="nil"/>
              <w:left w:val="nil"/>
              <w:bottom w:val="single" w:sz="4" w:space="0" w:color="auto"/>
              <w:right w:val="single" w:sz="4" w:space="0" w:color="auto"/>
            </w:tcBorders>
            <w:vAlign w:val="center"/>
          </w:tcPr>
          <w:p w14:paraId="77F2E015" w14:textId="77777777" w:rsidR="003B681E" w:rsidRPr="00175E32" w:rsidRDefault="003B681E" w:rsidP="008A1EBE">
            <w:pPr>
              <w:suppressAutoHyphens w:val="0"/>
              <w:ind w:firstLine="0"/>
              <w:jc w:val="center"/>
              <w:rPr>
                <w:szCs w:val="24"/>
                <w:lang w:eastAsia="ru-RU"/>
              </w:rPr>
            </w:pPr>
            <w:r w:rsidRPr="00175E32">
              <w:rPr>
                <w:szCs w:val="24"/>
                <w:lang w:eastAsia="ru-RU"/>
              </w:rPr>
              <w:t>30 597</w:t>
            </w:r>
          </w:p>
        </w:tc>
        <w:tc>
          <w:tcPr>
            <w:tcW w:w="1237" w:type="dxa"/>
            <w:tcBorders>
              <w:top w:val="nil"/>
              <w:left w:val="nil"/>
              <w:bottom w:val="single" w:sz="4" w:space="0" w:color="auto"/>
              <w:right w:val="single" w:sz="4" w:space="0" w:color="auto"/>
            </w:tcBorders>
            <w:vAlign w:val="center"/>
          </w:tcPr>
          <w:p w14:paraId="3B8B732D" w14:textId="77777777" w:rsidR="003B681E" w:rsidRPr="00175E32" w:rsidRDefault="00022A8E" w:rsidP="00022A8E">
            <w:pPr>
              <w:suppressAutoHyphens w:val="0"/>
              <w:ind w:firstLine="0"/>
              <w:jc w:val="center"/>
              <w:rPr>
                <w:szCs w:val="24"/>
                <w:lang w:eastAsia="ru-RU"/>
              </w:rPr>
            </w:pPr>
            <w:r>
              <w:rPr>
                <w:szCs w:val="24"/>
                <w:lang w:eastAsia="ru-RU"/>
              </w:rPr>
              <w:t>24 701</w:t>
            </w:r>
          </w:p>
        </w:tc>
        <w:tc>
          <w:tcPr>
            <w:tcW w:w="1704" w:type="dxa"/>
            <w:tcBorders>
              <w:top w:val="nil"/>
              <w:left w:val="nil"/>
              <w:bottom w:val="single" w:sz="4" w:space="0" w:color="auto"/>
              <w:right w:val="single" w:sz="4" w:space="0" w:color="auto"/>
            </w:tcBorders>
            <w:vAlign w:val="center"/>
          </w:tcPr>
          <w:p w14:paraId="6FCE4E66" w14:textId="77777777" w:rsidR="003B681E" w:rsidRPr="00175E32" w:rsidRDefault="003B681E" w:rsidP="008A1EBE">
            <w:pPr>
              <w:suppressAutoHyphens w:val="0"/>
              <w:ind w:firstLine="0"/>
              <w:jc w:val="center"/>
              <w:rPr>
                <w:szCs w:val="24"/>
                <w:lang w:eastAsia="ru-RU"/>
              </w:rPr>
            </w:pPr>
            <w:r w:rsidRPr="00175E32">
              <w:rPr>
                <w:szCs w:val="24"/>
                <w:lang w:eastAsia="ru-RU"/>
              </w:rPr>
              <w:t>-</w:t>
            </w:r>
            <w:r w:rsidR="00022A8E">
              <w:rPr>
                <w:szCs w:val="24"/>
                <w:lang w:eastAsia="ru-RU"/>
              </w:rPr>
              <w:t>5 896</w:t>
            </w:r>
            <w:r w:rsidRPr="00175E32">
              <w:rPr>
                <w:szCs w:val="24"/>
                <w:lang w:eastAsia="ru-RU"/>
              </w:rPr>
              <w:t>/</w:t>
            </w:r>
          </w:p>
          <w:p w14:paraId="58A2A314" w14:textId="77777777" w:rsidR="003B681E" w:rsidRPr="00175E32" w:rsidRDefault="003B681E" w:rsidP="00022A8E">
            <w:pPr>
              <w:suppressAutoHyphens w:val="0"/>
              <w:ind w:firstLine="0"/>
              <w:jc w:val="center"/>
              <w:rPr>
                <w:szCs w:val="24"/>
                <w:lang w:eastAsia="ru-RU"/>
              </w:rPr>
            </w:pPr>
            <w:r w:rsidRPr="00175E32">
              <w:rPr>
                <w:szCs w:val="24"/>
                <w:lang w:eastAsia="ru-RU"/>
              </w:rPr>
              <w:t>-</w:t>
            </w:r>
            <w:r w:rsidR="000B6108">
              <w:rPr>
                <w:szCs w:val="24"/>
                <w:lang w:eastAsia="ru-RU"/>
              </w:rPr>
              <w:t>19,</w:t>
            </w:r>
            <w:r w:rsidR="00022A8E">
              <w:rPr>
                <w:szCs w:val="24"/>
                <w:lang w:eastAsia="ru-RU"/>
              </w:rPr>
              <w:t>3</w:t>
            </w:r>
            <w:r w:rsidRPr="00175E32">
              <w:rPr>
                <w:szCs w:val="24"/>
                <w:lang w:eastAsia="ru-RU"/>
              </w:rPr>
              <w:t>%</w:t>
            </w:r>
          </w:p>
        </w:tc>
      </w:tr>
      <w:tr w:rsidR="003B681E" w:rsidRPr="00175E32" w14:paraId="5BA64EFE" w14:textId="77777777" w:rsidTr="008A1EBE">
        <w:trPr>
          <w:trHeight w:val="555"/>
        </w:trPr>
        <w:tc>
          <w:tcPr>
            <w:tcW w:w="2594" w:type="dxa"/>
            <w:tcBorders>
              <w:top w:val="nil"/>
              <w:left w:val="single" w:sz="4" w:space="0" w:color="auto"/>
              <w:bottom w:val="single" w:sz="4" w:space="0" w:color="auto"/>
              <w:right w:val="single" w:sz="4" w:space="0" w:color="auto"/>
            </w:tcBorders>
            <w:shd w:val="clear" w:color="000000" w:fill="FFFFFF"/>
            <w:vAlign w:val="center"/>
          </w:tcPr>
          <w:p w14:paraId="116229DD" w14:textId="77777777" w:rsidR="003B681E" w:rsidRPr="00175E32" w:rsidRDefault="003B681E" w:rsidP="00074376">
            <w:pPr>
              <w:suppressAutoHyphens w:val="0"/>
              <w:ind w:firstLine="0"/>
              <w:rPr>
                <w:szCs w:val="24"/>
                <w:lang w:eastAsia="ru-RU"/>
              </w:rPr>
            </w:pPr>
            <w:r w:rsidRPr="00175E32">
              <w:rPr>
                <w:szCs w:val="24"/>
                <w:lang w:eastAsia="ru-RU"/>
              </w:rPr>
              <w:t>Расходы за счет средств, остающихся в распоряжении организаций</w:t>
            </w:r>
          </w:p>
        </w:tc>
        <w:tc>
          <w:tcPr>
            <w:tcW w:w="1556" w:type="dxa"/>
            <w:tcBorders>
              <w:top w:val="nil"/>
              <w:left w:val="nil"/>
              <w:bottom w:val="single" w:sz="4" w:space="0" w:color="auto"/>
              <w:right w:val="single" w:sz="4" w:space="0" w:color="auto"/>
            </w:tcBorders>
            <w:vAlign w:val="center"/>
          </w:tcPr>
          <w:p w14:paraId="7DECB628" w14:textId="77777777" w:rsidR="003B681E" w:rsidRPr="00175E32" w:rsidRDefault="003B681E" w:rsidP="00074376">
            <w:pPr>
              <w:suppressAutoHyphens w:val="0"/>
              <w:ind w:firstLine="0"/>
              <w:jc w:val="center"/>
              <w:rPr>
                <w:szCs w:val="24"/>
                <w:lang w:eastAsia="ru-RU"/>
              </w:rPr>
            </w:pPr>
            <w:r w:rsidRPr="00175E32">
              <w:rPr>
                <w:szCs w:val="24"/>
                <w:lang w:eastAsia="ru-RU"/>
              </w:rPr>
              <w:t>млн. рублей</w:t>
            </w:r>
          </w:p>
        </w:tc>
        <w:tc>
          <w:tcPr>
            <w:tcW w:w="1150" w:type="dxa"/>
            <w:tcBorders>
              <w:top w:val="nil"/>
              <w:left w:val="nil"/>
              <w:bottom w:val="single" w:sz="4" w:space="0" w:color="auto"/>
              <w:right w:val="single" w:sz="4" w:space="0" w:color="auto"/>
            </w:tcBorders>
            <w:vAlign w:val="center"/>
          </w:tcPr>
          <w:p w14:paraId="7D15298B" w14:textId="77777777" w:rsidR="003B681E" w:rsidRPr="00175E32" w:rsidRDefault="003B681E" w:rsidP="008A1EBE">
            <w:pPr>
              <w:suppressAutoHyphens w:val="0"/>
              <w:ind w:firstLine="0"/>
              <w:jc w:val="center"/>
              <w:rPr>
                <w:szCs w:val="24"/>
                <w:lang w:eastAsia="ru-RU"/>
              </w:rPr>
            </w:pPr>
            <w:r w:rsidRPr="00175E32">
              <w:rPr>
                <w:szCs w:val="24"/>
                <w:lang w:eastAsia="ru-RU"/>
              </w:rPr>
              <w:t>49 257</w:t>
            </w:r>
          </w:p>
        </w:tc>
        <w:tc>
          <w:tcPr>
            <w:tcW w:w="1130" w:type="dxa"/>
            <w:tcBorders>
              <w:top w:val="nil"/>
              <w:left w:val="nil"/>
              <w:bottom w:val="single" w:sz="4" w:space="0" w:color="auto"/>
              <w:right w:val="single" w:sz="4" w:space="0" w:color="auto"/>
            </w:tcBorders>
            <w:vAlign w:val="center"/>
          </w:tcPr>
          <w:p w14:paraId="2FE7B401" w14:textId="77777777" w:rsidR="003B681E" w:rsidRPr="00175E32" w:rsidRDefault="003B681E" w:rsidP="008A1EBE">
            <w:pPr>
              <w:suppressAutoHyphens w:val="0"/>
              <w:ind w:firstLine="0"/>
              <w:jc w:val="center"/>
              <w:rPr>
                <w:szCs w:val="24"/>
                <w:lang w:eastAsia="ru-RU"/>
              </w:rPr>
            </w:pPr>
            <w:r w:rsidRPr="00175E32">
              <w:rPr>
                <w:szCs w:val="24"/>
                <w:lang w:eastAsia="ru-RU"/>
              </w:rPr>
              <w:t>51 693</w:t>
            </w:r>
          </w:p>
        </w:tc>
        <w:tc>
          <w:tcPr>
            <w:tcW w:w="1237" w:type="dxa"/>
            <w:tcBorders>
              <w:top w:val="nil"/>
              <w:left w:val="nil"/>
              <w:bottom w:val="single" w:sz="4" w:space="0" w:color="auto"/>
              <w:right w:val="single" w:sz="4" w:space="0" w:color="auto"/>
            </w:tcBorders>
            <w:vAlign w:val="center"/>
          </w:tcPr>
          <w:p w14:paraId="66F1639A" w14:textId="77777777" w:rsidR="003B681E" w:rsidRPr="00175E32" w:rsidRDefault="004D26F7" w:rsidP="008A1EBE">
            <w:pPr>
              <w:suppressAutoHyphens w:val="0"/>
              <w:ind w:firstLine="0"/>
              <w:jc w:val="center"/>
              <w:rPr>
                <w:szCs w:val="24"/>
                <w:lang w:eastAsia="ru-RU"/>
              </w:rPr>
            </w:pPr>
            <w:r w:rsidRPr="00175E32">
              <w:rPr>
                <w:szCs w:val="24"/>
                <w:lang w:eastAsia="ru-RU"/>
              </w:rPr>
              <w:t>37 997</w:t>
            </w:r>
          </w:p>
        </w:tc>
        <w:tc>
          <w:tcPr>
            <w:tcW w:w="1704" w:type="dxa"/>
            <w:tcBorders>
              <w:top w:val="nil"/>
              <w:left w:val="nil"/>
              <w:bottom w:val="single" w:sz="4" w:space="0" w:color="auto"/>
              <w:right w:val="single" w:sz="4" w:space="0" w:color="auto"/>
            </w:tcBorders>
            <w:vAlign w:val="center"/>
          </w:tcPr>
          <w:p w14:paraId="5586F199" w14:textId="77777777" w:rsidR="003B681E" w:rsidRPr="00175E32" w:rsidRDefault="003B681E" w:rsidP="008A1EBE">
            <w:pPr>
              <w:suppressAutoHyphens w:val="0"/>
              <w:ind w:firstLine="0"/>
              <w:jc w:val="center"/>
              <w:rPr>
                <w:szCs w:val="24"/>
                <w:lang w:eastAsia="ru-RU"/>
              </w:rPr>
            </w:pPr>
            <w:r w:rsidRPr="00175E32">
              <w:rPr>
                <w:szCs w:val="24"/>
                <w:lang w:eastAsia="ru-RU"/>
              </w:rPr>
              <w:t>-</w:t>
            </w:r>
            <w:r w:rsidR="004D26F7" w:rsidRPr="00175E32">
              <w:rPr>
                <w:szCs w:val="24"/>
                <w:lang w:eastAsia="ru-RU"/>
              </w:rPr>
              <w:t xml:space="preserve">13 </w:t>
            </w:r>
            <w:r w:rsidR="000B6108">
              <w:rPr>
                <w:szCs w:val="24"/>
                <w:lang w:eastAsia="ru-RU"/>
              </w:rPr>
              <w:t>696</w:t>
            </w:r>
            <w:r w:rsidRPr="00175E32">
              <w:rPr>
                <w:szCs w:val="24"/>
                <w:lang w:eastAsia="ru-RU"/>
              </w:rPr>
              <w:t>/</w:t>
            </w:r>
          </w:p>
          <w:p w14:paraId="34EF4E94" w14:textId="77777777" w:rsidR="003B681E" w:rsidRPr="00175E32" w:rsidRDefault="003B681E" w:rsidP="008A1EBE">
            <w:pPr>
              <w:suppressAutoHyphens w:val="0"/>
              <w:ind w:firstLine="0"/>
              <w:jc w:val="center"/>
              <w:rPr>
                <w:szCs w:val="24"/>
                <w:lang w:eastAsia="ru-RU"/>
              </w:rPr>
            </w:pPr>
            <w:r w:rsidRPr="00175E32">
              <w:rPr>
                <w:szCs w:val="24"/>
                <w:lang w:eastAsia="ru-RU"/>
              </w:rPr>
              <w:t>-</w:t>
            </w:r>
            <w:r w:rsidR="004D26F7" w:rsidRPr="00175E32">
              <w:rPr>
                <w:szCs w:val="24"/>
                <w:lang w:eastAsia="ru-RU"/>
              </w:rPr>
              <w:t>26,5</w:t>
            </w:r>
            <w:r w:rsidRPr="00175E32">
              <w:rPr>
                <w:szCs w:val="24"/>
                <w:lang w:eastAsia="ru-RU"/>
              </w:rPr>
              <w:t>%</w:t>
            </w:r>
          </w:p>
        </w:tc>
      </w:tr>
      <w:tr w:rsidR="003B681E" w:rsidRPr="00175E32" w14:paraId="207C80F9" w14:textId="77777777" w:rsidTr="008A1EBE">
        <w:trPr>
          <w:trHeight w:val="555"/>
        </w:trPr>
        <w:tc>
          <w:tcPr>
            <w:tcW w:w="2594" w:type="dxa"/>
            <w:tcBorders>
              <w:top w:val="nil"/>
              <w:left w:val="single" w:sz="4" w:space="0" w:color="auto"/>
              <w:bottom w:val="single" w:sz="4" w:space="0" w:color="auto"/>
              <w:right w:val="single" w:sz="4" w:space="0" w:color="auto"/>
            </w:tcBorders>
            <w:shd w:val="clear" w:color="000000" w:fill="FFFFFF"/>
            <w:vAlign w:val="center"/>
          </w:tcPr>
          <w:p w14:paraId="16314E34" w14:textId="77777777" w:rsidR="003B681E" w:rsidRPr="00175E32" w:rsidRDefault="003B681E" w:rsidP="00074376">
            <w:pPr>
              <w:suppressAutoHyphens w:val="0"/>
              <w:ind w:firstLine="0"/>
              <w:rPr>
                <w:szCs w:val="24"/>
                <w:lang w:eastAsia="ru-RU"/>
              </w:rPr>
            </w:pPr>
            <w:r w:rsidRPr="00175E32">
              <w:rPr>
                <w:szCs w:val="24"/>
                <w:lang w:eastAsia="ru-RU"/>
              </w:rPr>
              <w:t>Расходы за счёт средств местного бюджета (без средств вышестоящих бюджетов)</w:t>
            </w:r>
          </w:p>
        </w:tc>
        <w:tc>
          <w:tcPr>
            <w:tcW w:w="1556" w:type="dxa"/>
            <w:tcBorders>
              <w:top w:val="nil"/>
              <w:left w:val="nil"/>
              <w:bottom w:val="single" w:sz="4" w:space="0" w:color="auto"/>
              <w:right w:val="single" w:sz="4" w:space="0" w:color="auto"/>
            </w:tcBorders>
            <w:vAlign w:val="center"/>
          </w:tcPr>
          <w:p w14:paraId="7C91D1E4" w14:textId="77777777" w:rsidR="003B681E" w:rsidRPr="00175E32" w:rsidRDefault="003B681E" w:rsidP="00074376">
            <w:pPr>
              <w:suppressAutoHyphens w:val="0"/>
              <w:ind w:firstLine="0"/>
              <w:jc w:val="center"/>
              <w:rPr>
                <w:szCs w:val="24"/>
                <w:lang w:eastAsia="ru-RU"/>
              </w:rPr>
            </w:pPr>
            <w:r w:rsidRPr="00175E32">
              <w:rPr>
                <w:szCs w:val="24"/>
                <w:lang w:eastAsia="ru-RU"/>
              </w:rPr>
              <w:t>млн. рублей</w:t>
            </w:r>
          </w:p>
        </w:tc>
        <w:tc>
          <w:tcPr>
            <w:tcW w:w="1150" w:type="dxa"/>
            <w:tcBorders>
              <w:top w:val="nil"/>
              <w:left w:val="nil"/>
              <w:bottom w:val="single" w:sz="4" w:space="0" w:color="auto"/>
              <w:right w:val="single" w:sz="4" w:space="0" w:color="auto"/>
            </w:tcBorders>
            <w:vAlign w:val="center"/>
          </w:tcPr>
          <w:p w14:paraId="012E1018" w14:textId="77777777" w:rsidR="003B681E" w:rsidRPr="00175E32" w:rsidRDefault="003B681E" w:rsidP="008A1EBE">
            <w:pPr>
              <w:suppressAutoHyphens w:val="0"/>
              <w:ind w:firstLine="0"/>
              <w:jc w:val="center"/>
              <w:rPr>
                <w:szCs w:val="24"/>
                <w:lang w:eastAsia="ru-RU"/>
              </w:rPr>
            </w:pPr>
            <w:r w:rsidRPr="00175E32">
              <w:rPr>
                <w:szCs w:val="24"/>
                <w:lang w:eastAsia="ru-RU"/>
              </w:rPr>
              <w:t>7 390</w:t>
            </w:r>
          </w:p>
        </w:tc>
        <w:tc>
          <w:tcPr>
            <w:tcW w:w="1130" w:type="dxa"/>
            <w:tcBorders>
              <w:top w:val="nil"/>
              <w:left w:val="nil"/>
              <w:bottom w:val="single" w:sz="4" w:space="0" w:color="auto"/>
              <w:right w:val="single" w:sz="4" w:space="0" w:color="auto"/>
            </w:tcBorders>
            <w:vAlign w:val="center"/>
          </w:tcPr>
          <w:p w14:paraId="5F2C0A5C" w14:textId="77777777" w:rsidR="003B681E" w:rsidRPr="00175E32" w:rsidRDefault="003B681E" w:rsidP="008A1EBE">
            <w:pPr>
              <w:suppressAutoHyphens w:val="0"/>
              <w:ind w:firstLine="0"/>
              <w:jc w:val="center"/>
              <w:rPr>
                <w:szCs w:val="24"/>
                <w:lang w:eastAsia="ru-RU"/>
              </w:rPr>
            </w:pPr>
            <w:r w:rsidRPr="00175E32">
              <w:rPr>
                <w:szCs w:val="24"/>
                <w:lang w:eastAsia="ru-RU"/>
              </w:rPr>
              <w:t>7 390</w:t>
            </w:r>
          </w:p>
        </w:tc>
        <w:tc>
          <w:tcPr>
            <w:tcW w:w="1237" w:type="dxa"/>
            <w:tcBorders>
              <w:top w:val="nil"/>
              <w:left w:val="nil"/>
              <w:bottom w:val="single" w:sz="4" w:space="0" w:color="auto"/>
              <w:right w:val="single" w:sz="4" w:space="0" w:color="auto"/>
            </w:tcBorders>
            <w:vAlign w:val="center"/>
          </w:tcPr>
          <w:p w14:paraId="37965A9E" w14:textId="77777777" w:rsidR="003B681E" w:rsidRPr="00175E32" w:rsidRDefault="003B681E" w:rsidP="008A1EBE">
            <w:pPr>
              <w:suppressAutoHyphens w:val="0"/>
              <w:ind w:firstLine="0"/>
              <w:jc w:val="center"/>
              <w:rPr>
                <w:szCs w:val="24"/>
                <w:lang w:eastAsia="ru-RU"/>
              </w:rPr>
            </w:pPr>
            <w:r w:rsidRPr="00175E32">
              <w:rPr>
                <w:szCs w:val="24"/>
                <w:lang w:eastAsia="ru-RU"/>
              </w:rPr>
              <w:t>8 019</w:t>
            </w:r>
          </w:p>
        </w:tc>
        <w:tc>
          <w:tcPr>
            <w:tcW w:w="1704" w:type="dxa"/>
            <w:tcBorders>
              <w:top w:val="nil"/>
              <w:left w:val="nil"/>
              <w:bottom w:val="single" w:sz="4" w:space="0" w:color="auto"/>
              <w:right w:val="single" w:sz="4" w:space="0" w:color="auto"/>
            </w:tcBorders>
            <w:vAlign w:val="center"/>
          </w:tcPr>
          <w:p w14:paraId="1E1F339F" w14:textId="77777777" w:rsidR="003B681E" w:rsidRPr="00175E32" w:rsidRDefault="003B681E" w:rsidP="008A1EBE">
            <w:pPr>
              <w:suppressAutoHyphens w:val="0"/>
              <w:ind w:firstLine="0"/>
              <w:jc w:val="center"/>
              <w:rPr>
                <w:szCs w:val="24"/>
                <w:lang w:eastAsia="ru-RU"/>
              </w:rPr>
            </w:pPr>
            <w:r w:rsidRPr="00175E32">
              <w:rPr>
                <w:szCs w:val="24"/>
                <w:lang w:eastAsia="ru-RU"/>
              </w:rPr>
              <w:t>629/</w:t>
            </w:r>
          </w:p>
          <w:p w14:paraId="2E0C1488" w14:textId="77777777" w:rsidR="003B681E" w:rsidRPr="00175E32" w:rsidRDefault="003B681E" w:rsidP="008A1EBE">
            <w:pPr>
              <w:suppressAutoHyphens w:val="0"/>
              <w:ind w:firstLine="0"/>
              <w:jc w:val="center"/>
              <w:rPr>
                <w:szCs w:val="24"/>
                <w:lang w:eastAsia="ru-RU"/>
              </w:rPr>
            </w:pPr>
            <w:r w:rsidRPr="00175E32">
              <w:rPr>
                <w:szCs w:val="24"/>
                <w:lang w:eastAsia="ru-RU"/>
              </w:rPr>
              <w:t>8,5%</w:t>
            </w:r>
          </w:p>
        </w:tc>
      </w:tr>
      <w:tr w:rsidR="003B681E" w:rsidRPr="00175E32" w14:paraId="75F39864" w14:textId="77777777" w:rsidTr="008A1EBE">
        <w:trPr>
          <w:trHeight w:val="570"/>
        </w:trPr>
        <w:tc>
          <w:tcPr>
            <w:tcW w:w="2594" w:type="dxa"/>
            <w:tcBorders>
              <w:top w:val="single" w:sz="4" w:space="0" w:color="auto"/>
              <w:left w:val="single" w:sz="4" w:space="0" w:color="auto"/>
              <w:bottom w:val="single" w:sz="4" w:space="0" w:color="auto"/>
              <w:right w:val="single" w:sz="4" w:space="0" w:color="auto"/>
            </w:tcBorders>
            <w:shd w:val="clear" w:color="000000" w:fill="FFFFFF"/>
            <w:vAlign w:val="center"/>
          </w:tcPr>
          <w:p w14:paraId="636C8295" w14:textId="77777777" w:rsidR="003B681E" w:rsidRPr="00175E32" w:rsidRDefault="003B681E" w:rsidP="00074376">
            <w:pPr>
              <w:suppressAutoHyphens w:val="0"/>
              <w:ind w:firstLine="0"/>
              <w:rPr>
                <w:szCs w:val="24"/>
                <w:lang w:eastAsia="ru-RU"/>
              </w:rPr>
            </w:pPr>
            <w:r w:rsidRPr="00175E32">
              <w:rPr>
                <w:szCs w:val="24"/>
                <w:lang w:eastAsia="ru-RU"/>
              </w:rPr>
              <w:t>Расходы внебюджетных фондов</w:t>
            </w:r>
          </w:p>
        </w:tc>
        <w:tc>
          <w:tcPr>
            <w:tcW w:w="1556" w:type="dxa"/>
            <w:tcBorders>
              <w:top w:val="single" w:sz="4" w:space="0" w:color="auto"/>
              <w:left w:val="single" w:sz="4" w:space="0" w:color="auto"/>
              <w:bottom w:val="single" w:sz="4" w:space="0" w:color="auto"/>
              <w:right w:val="single" w:sz="4" w:space="0" w:color="auto"/>
            </w:tcBorders>
            <w:vAlign w:val="center"/>
          </w:tcPr>
          <w:p w14:paraId="54DA7BD3" w14:textId="77777777" w:rsidR="003B681E" w:rsidRPr="00175E32" w:rsidRDefault="003B681E" w:rsidP="00074376">
            <w:pPr>
              <w:suppressAutoHyphens w:val="0"/>
              <w:ind w:firstLine="0"/>
              <w:jc w:val="center"/>
              <w:rPr>
                <w:szCs w:val="24"/>
                <w:lang w:eastAsia="ru-RU"/>
              </w:rPr>
            </w:pPr>
            <w:r w:rsidRPr="00175E32">
              <w:rPr>
                <w:szCs w:val="24"/>
                <w:lang w:eastAsia="ru-RU"/>
              </w:rPr>
              <w:t>млн. рублей</w:t>
            </w:r>
          </w:p>
        </w:tc>
        <w:tc>
          <w:tcPr>
            <w:tcW w:w="1150" w:type="dxa"/>
            <w:tcBorders>
              <w:top w:val="single" w:sz="4" w:space="0" w:color="auto"/>
              <w:left w:val="single" w:sz="4" w:space="0" w:color="auto"/>
              <w:bottom w:val="single" w:sz="4" w:space="0" w:color="auto"/>
              <w:right w:val="single" w:sz="4" w:space="0" w:color="auto"/>
            </w:tcBorders>
            <w:vAlign w:val="center"/>
          </w:tcPr>
          <w:p w14:paraId="5CCD247E" w14:textId="77777777" w:rsidR="003B681E" w:rsidRPr="00175E32" w:rsidRDefault="003B681E" w:rsidP="008A1EBE">
            <w:pPr>
              <w:suppressAutoHyphens w:val="0"/>
              <w:ind w:firstLine="0"/>
              <w:jc w:val="center"/>
              <w:rPr>
                <w:szCs w:val="24"/>
                <w:lang w:eastAsia="ru-RU"/>
              </w:rPr>
            </w:pPr>
            <w:r w:rsidRPr="00175E32">
              <w:rPr>
                <w:szCs w:val="24"/>
                <w:lang w:eastAsia="ru-RU"/>
              </w:rPr>
              <w:t>52 762</w:t>
            </w:r>
          </w:p>
        </w:tc>
        <w:tc>
          <w:tcPr>
            <w:tcW w:w="1130" w:type="dxa"/>
            <w:tcBorders>
              <w:top w:val="single" w:sz="4" w:space="0" w:color="auto"/>
              <w:left w:val="single" w:sz="4" w:space="0" w:color="auto"/>
              <w:bottom w:val="single" w:sz="4" w:space="0" w:color="auto"/>
              <w:right w:val="single" w:sz="4" w:space="0" w:color="auto"/>
            </w:tcBorders>
            <w:vAlign w:val="center"/>
          </w:tcPr>
          <w:p w14:paraId="44FDE39E" w14:textId="77777777" w:rsidR="003B681E" w:rsidRPr="00175E32" w:rsidRDefault="003B681E" w:rsidP="008A1EBE">
            <w:pPr>
              <w:suppressAutoHyphens w:val="0"/>
              <w:ind w:firstLine="0"/>
              <w:jc w:val="center"/>
              <w:rPr>
                <w:szCs w:val="24"/>
                <w:lang w:eastAsia="ru-RU"/>
              </w:rPr>
            </w:pPr>
            <w:r w:rsidRPr="00175E32">
              <w:rPr>
                <w:szCs w:val="24"/>
                <w:lang w:eastAsia="ru-RU"/>
              </w:rPr>
              <w:t>5 2762</w:t>
            </w:r>
          </w:p>
        </w:tc>
        <w:tc>
          <w:tcPr>
            <w:tcW w:w="1237" w:type="dxa"/>
            <w:tcBorders>
              <w:top w:val="single" w:sz="4" w:space="0" w:color="auto"/>
              <w:left w:val="single" w:sz="4" w:space="0" w:color="auto"/>
              <w:bottom w:val="single" w:sz="4" w:space="0" w:color="auto"/>
              <w:right w:val="single" w:sz="4" w:space="0" w:color="auto"/>
            </w:tcBorders>
            <w:vAlign w:val="center"/>
          </w:tcPr>
          <w:p w14:paraId="5B12092D" w14:textId="77777777" w:rsidR="003B681E" w:rsidRPr="00175E32" w:rsidRDefault="003B681E" w:rsidP="008A1EBE">
            <w:pPr>
              <w:suppressAutoHyphens w:val="0"/>
              <w:ind w:firstLine="0"/>
              <w:jc w:val="center"/>
              <w:rPr>
                <w:szCs w:val="24"/>
                <w:lang w:eastAsia="ru-RU"/>
              </w:rPr>
            </w:pPr>
            <w:r w:rsidRPr="00175E32">
              <w:rPr>
                <w:szCs w:val="24"/>
                <w:lang w:eastAsia="ru-RU"/>
              </w:rPr>
              <w:t>52 759</w:t>
            </w:r>
          </w:p>
        </w:tc>
        <w:tc>
          <w:tcPr>
            <w:tcW w:w="1704" w:type="dxa"/>
            <w:tcBorders>
              <w:top w:val="single" w:sz="4" w:space="0" w:color="auto"/>
              <w:left w:val="single" w:sz="4" w:space="0" w:color="auto"/>
              <w:bottom w:val="single" w:sz="4" w:space="0" w:color="auto"/>
              <w:right w:val="single" w:sz="4" w:space="0" w:color="auto"/>
            </w:tcBorders>
            <w:vAlign w:val="center"/>
          </w:tcPr>
          <w:p w14:paraId="5DF6E8F3" w14:textId="77777777" w:rsidR="003B681E" w:rsidRPr="00175E32" w:rsidRDefault="003B681E" w:rsidP="008A1EBE">
            <w:pPr>
              <w:suppressAutoHyphens w:val="0"/>
              <w:ind w:firstLine="0"/>
              <w:jc w:val="center"/>
              <w:rPr>
                <w:szCs w:val="24"/>
                <w:lang w:eastAsia="ru-RU"/>
              </w:rPr>
            </w:pPr>
            <w:r w:rsidRPr="00175E32">
              <w:rPr>
                <w:szCs w:val="24"/>
                <w:lang w:eastAsia="ru-RU"/>
              </w:rPr>
              <w:t>-3/</w:t>
            </w:r>
          </w:p>
          <w:p w14:paraId="645397CE" w14:textId="77777777" w:rsidR="003B681E" w:rsidRPr="00175E32" w:rsidRDefault="003B681E" w:rsidP="008A1EBE">
            <w:pPr>
              <w:suppressAutoHyphens w:val="0"/>
              <w:ind w:firstLine="0"/>
              <w:jc w:val="center"/>
              <w:rPr>
                <w:szCs w:val="24"/>
                <w:lang w:eastAsia="ru-RU"/>
              </w:rPr>
            </w:pPr>
            <w:r w:rsidRPr="00175E32">
              <w:rPr>
                <w:szCs w:val="24"/>
                <w:lang w:eastAsia="ru-RU"/>
              </w:rPr>
              <w:t>0,0%</w:t>
            </w:r>
          </w:p>
        </w:tc>
      </w:tr>
      <w:tr w:rsidR="003B681E" w:rsidRPr="00175E32" w14:paraId="66A425D4" w14:textId="77777777" w:rsidTr="008A1EBE">
        <w:trPr>
          <w:trHeight w:val="570"/>
        </w:trPr>
        <w:tc>
          <w:tcPr>
            <w:tcW w:w="2594" w:type="dxa"/>
            <w:tcBorders>
              <w:top w:val="single" w:sz="4" w:space="0" w:color="auto"/>
              <w:left w:val="single" w:sz="4" w:space="0" w:color="auto"/>
              <w:bottom w:val="single" w:sz="4" w:space="0" w:color="auto"/>
              <w:right w:val="single" w:sz="4" w:space="0" w:color="auto"/>
            </w:tcBorders>
            <w:shd w:val="clear" w:color="000000" w:fill="FFFFFF"/>
            <w:vAlign w:val="center"/>
          </w:tcPr>
          <w:p w14:paraId="1D2A3D60" w14:textId="77777777" w:rsidR="003B681E" w:rsidRPr="00175E32" w:rsidRDefault="003B681E" w:rsidP="00074376">
            <w:pPr>
              <w:suppressAutoHyphens w:val="0"/>
              <w:ind w:firstLine="0"/>
              <w:rPr>
                <w:szCs w:val="24"/>
                <w:lang w:eastAsia="ru-RU"/>
              </w:rPr>
            </w:pPr>
            <w:r w:rsidRPr="00175E32">
              <w:rPr>
                <w:szCs w:val="24"/>
                <w:lang w:eastAsia="ru-RU"/>
              </w:rPr>
              <w:t>Итого:</w:t>
            </w:r>
          </w:p>
        </w:tc>
        <w:tc>
          <w:tcPr>
            <w:tcW w:w="1556" w:type="dxa"/>
            <w:tcBorders>
              <w:top w:val="single" w:sz="4" w:space="0" w:color="auto"/>
              <w:left w:val="nil"/>
              <w:bottom w:val="single" w:sz="4" w:space="0" w:color="auto"/>
              <w:right w:val="single" w:sz="4" w:space="0" w:color="auto"/>
            </w:tcBorders>
            <w:vAlign w:val="center"/>
          </w:tcPr>
          <w:p w14:paraId="788147E4" w14:textId="77777777" w:rsidR="003B681E" w:rsidRPr="00175E32" w:rsidRDefault="003B681E" w:rsidP="00074376">
            <w:pPr>
              <w:suppressAutoHyphens w:val="0"/>
              <w:ind w:firstLine="0"/>
              <w:jc w:val="center"/>
              <w:rPr>
                <w:szCs w:val="24"/>
                <w:lang w:eastAsia="ru-RU"/>
              </w:rPr>
            </w:pPr>
            <w:r w:rsidRPr="00175E32">
              <w:rPr>
                <w:szCs w:val="24"/>
                <w:lang w:eastAsia="ru-RU"/>
              </w:rPr>
              <w:t>млн. рублей</w:t>
            </w:r>
          </w:p>
        </w:tc>
        <w:tc>
          <w:tcPr>
            <w:tcW w:w="1150" w:type="dxa"/>
            <w:tcBorders>
              <w:top w:val="single" w:sz="4" w:space="0" w:color="auto"/>
              <w:left w:val="nil"/>
              <w:bottom w:val="single" w:sz="4" w:space="0" w:color="auto"/>
              <w:right w:val="single" w:sz="4" w:space="0" w:color="auto"/>
            </w:tcBorders>
            <w:vAlign w:val="center"/>
          </w:tcPr>
          <w:p w14:paraId="12AFE2A1" w14:textId="77777777" w:rsidR="003B681E" w:rsidRPr="00175E32" w:rsidRDefault="003B681E" w:rsidP="008A1EBE">
            <w:pPr>
              <w:suppressAutoHyphens w:val="0"/>
              <w:ind w:firstLine="0"/>
              <w:jc w:val="center"/>
              <w:rPr>
                <w:szCs w:val="24"/>
                <w:lang w:eastAsia="ru-RU"/>
              </w:rPr>
            </w:pPr>
            <w:r w:rsidRPr="00175E32">
              <w:rPr>
                <w:szCs w:val="24"/>
                <w:lang w:eastAsia="ru-RU"/>
              </w:rPr>
              <w:t>293 067</w:t>
            </w:r>
          </w:p>
        </w:tc>
        <w:tc>
          <w:tcPr>
            <w:tcW w:w="1130" w:type="dxa"/>
            <w:tcBorders>
              <w:top w:val="single" w:sz="4" w:space="0" w:color="auto"/>
              <w:left w:val="nil"/>
              <w:bottom w:val="single" w:sz="4" w:space="0" w:color="auto"/>
              <w:right w:val="single" w:sz="4" w:space="0" w:color="auto"/>
            </w:tcBorders>
            <w:vAlign w:val="center"/>
          </w:tcPr>
          <w:p w14:paraId="0095E414" w14:textId="77777777" w:rsidR="003B681E" w:rsidRPr="00175E32" w:rsidRDefault="003B681E" w:rsidP="008A1EBE">
            <w:pPr>
              <w:suppressAutoHyphens w:val="0"/>
              <w:ind w:firstLine="0"/>
              <w:jc w:val="center"/>
              <w:rPr>
                <w:szCs w:val="24"/>
                <w:lang w:eastAsia="ru-RU"/>
              </w:rPr>
            </w:pPr>
            <w:r w:rsidRPr="00175E32">
              <w:rPr>
                <w:szCs w:val="24"/>
                <w:lang w:eastAsia="ru-RU"/>
              </w:rPr>
              <w:t>298 855</w:t>
            </w:r>
          </w:p>
        </w:tc>
        <w:tc>
          <w:tcPr>
            <w:tcW w:w="1237" w:type="dxa"/>
            <w:tcBorders>
              <w:top w:val="single" w:sz="4" w:space="0" w:color="auto"/>
              <w:left w:val="nil"/>
              <w:bottom w:val="single" w:sz="4" w:space="0" w:color="auto"/>
              <w:right w:val="single" w:sz="4" w:space="0" w:color="auto"/>
            </w:tcBorders>
            <w:vAlign w:val="center"/>
          </w:tcPr>
          <w:p w14:paraId="115B7F7A" w14:textId="77777777" w:rsidR="003B681E" w:rsidRPr="00175E32" w:rsidRDefault="004D26F7" w:rsidP="00022A8E">
            <w:pPr>
              <w:suppressAutoHyphens w:val="0"/>
              <w:ind w:firstLine="0"/>
              <w:jc w:val="center"/>
              <w:rPr>
                <w:szCs w:val="24"/>
                <w:lang w:eastAsia="ru-RU"/>
              </w:rPr>
            </w:pPr>
            <w:r w:rsidRPr="00175E32">
              <w:rPr>
                <w:szCs w:val="24"/>
                <w:lang w:eastAsia="ru-RU"/>
              </w:rPr>
              <w:t>2</w:t>
            </w:r>
            <w:r w:rsidR="00022A8E">
              <w:rPr>
                <w:szCs w:val="24"/>
                <w:lang w:eastAsia="ru-RU"/>
              </w:rPr>
              <w:t>46 077</w:t>
            </w:r>
          </w:p>
        </w:tc>
        <w:tc>
          <w:tcPr>
            <w:tcW w:w="1704" w:type="dxa"/>
            <w:tcBorders>
              <w:top w:val="single" w:sz="4" w:space="0" w:color="auto"/>
              <w:left w:val="nil"/>
              <w:bottom w:val="single" w:sz="4" w:space="0" w:color="auto"/>
              <w:right w:val="single" w:sz="4" w:space="0" w:color="auto"/>
            </w:tcBorders>
            <w:vAlign w:val="center"/>
          </w:tcPr>
          <w:p w14:paraId="7E36253D" w14:textId="77777777" w:rsidR="003B681E" w:rsidRPr="00175E32" w:rsidRDefault="003B681E" w:rsidP="008A1EBE">
            <w:pPr>
              <w:suppressAutoHyphens w:val="0"/>
              <w:ind w:firstLine="0"/>
              <w:jc w:val="center"/>
              <w:rPr>
                <w:szCs w:val="24"/>
                <w:lang w:eastAsia="ru-RU"/>
              </w:rPr>
            </w:pPr>
            <w:r w:rsidRPr="00175E32">
              <w:rPr>
                <w:szCs w:val="24"/>
                <w:lang w:eastAsia="ru-RU"/>
              </w:rPr>
              <w:t>-</w:t>
            </w:r>
            <w:r w:rsidR="004D26F7" w:rsidRPr="00175E32">
              <w:rPr>
                <w:szCs w:val="24"/>
                <w:lang w:eastAsia="ru-RU"/>
              </w:rPr>
              <w:t>5</w:t>
            </w:r>
            <w:r w:rsidR="00022A8E">
              <w:rPr>
                <w:szCs w:val="24"/>
                <w:lang w:eastAsia="ru-RU"/>
              </w:rPr>
              <w:t>2778</w:t>
            </w:r>
            <w:r w:rsidRPr="00175E32">
              <w:rPr>
                <w:szCs w:val="24"/>
                <w:lang w:eastAsia="ru-RU"/>
              </w:rPr>
              <w:t>/</w:t>
            </w:r>
          </w:p>
          <w:p w14:paraId="7E3F8A28" w14:textId="77777777" w:rsidR="003B681E" w:rsidRPr="00175E32" w:rsidRDefault="003B681E" w:rsidP="00022A8E">
            <w:pPr>
              <w:suppressAutoHyphens w:val="0"/>
              <w:ind w:firstLine="0"/>
              <w:jc w:val="center"/>
              <w:rPr>
                <w:szCs w:val="24"/>
                <w:lang w:eastAsia="ru-RU"/>
              </w:rPr>
            </w:pPr>
            <w:r w:rsidRPr="00175E32">
              <w:rPr>
                <w:szCs w:val="24"/>
                <w:lang w:eastAsia="ru-RU"/>
              </w:rPr>
              <w:t>-1</w:t>
            </w:r>
            <w:r w:rsidR="004D26F7" w:rsidRPr="00175E32">
              <w:rPr>
                <w:szCs w:val="24"/>
                <w:lang w:eastAsia="ru-RU"/>
              </w:rPr>
              <w:t>7,</w:t>
            </w:r>
            <w:r w:rsidR="00022A8E">
              <w:rPr>
                <w:szCs w:val="24"/>
                <w:lang w:eastAsia="ru-RU"/>
              </w:rPr>
              <w:t>7</w:t>
            </w:r>
            <w:r w:rsidRPr="00175E32">
              <w:rPr>
                <w:szCs w:val="24"/>
                <w:lang w:eastAsia="ru-RU"/>
              </w:rPr>
              <w:t>%</w:t>
            </w:r>
          </w:p>
        </w:tc>
      </w:tr>
    </w:tbl>
    <w:p w14:paraId="424C1540" w14:textId="77777777" w:rsidR="000B6108" w:rsidRDefault="000B6108" w:rsidP="003B681E">
      <w:pPr>
        <w:widowControl w:val="0"/>
        <w:spacing w:line="276" w:lineRule="auto"/>
        <w:rPr>
          <w:szCs w:val="24"/>
          <w:lang w:eastAsia="ar-SA"/>
        </w:rPr>
      </w:pPr>
    </w:p>
    <w:p w14:paraId="7BD80CEA" w14:textId="77777777" w:rsidR="003B681E" w:rsidRPr="00175E32" w:rsidRDefault="003B681E" w:rsidP="003B681E">
      <w:pPr>
        <w:widowControl w:val="0"/>
        <w:spacing w:line="276" w:lineRule="auto"/>
        <w:rPr>
          <w:szCs w:val="24"/>
          <w:lang w:eastAsia="ar-SA"/>
        </w:rPr>
      </w:pPr>
      <w:r w:rsidRPr="00175E32">
        <w:rPr>
          <w:szCs w:val="24"/>
          <w:lang w:eastAsia="ar-SA"/>
        </w:rPr>
        <w:t xml:space="preserve">Необходимость изменения оценочных значений показателей на 2020 год по сравнению с прогнозными значениями показателей на 2020 год обусловлена, в основном, фактическими данными за 1 полугодие 2020 года, сложившимися в размере меньше ожидаемого в связи с ухудшением экономической ситуации, связанной с ограничительными мерами, введенными в связи с распространением коронавирусной инфекции и мерами поддержки бизнеса, осуществляющего наиболее пострадавшие виды </w:t>
      </w:r>
      <w:r w:rsidRPr="00175E32">
        <w:rPr>
          <w:szCs w:val="24"/>
          <w:lang w:eastAsia="ar-SA"/>
        </w:rPr>
        <w:lastRenderedPageBreak/>
        <w:t>деятельности</w:t>
      </w:r>
      <w:r w:rsidR="0076436E" w:rsidRPr="00175E32">
        <w:rPr>
          <w:szCs w:val="24"/>
          <w:lang w:eastAsia="ar-SA"/>
        </w:rPr>
        <w:t xml:space="preserve"> в виде отсрочки по уплате налогов и платежей</w:t>
      </w:r>
      <w:r w:rsidR="008A1EBE">
        <w:rPr>
          <w:szCs w:val="24"/>
          <w:lang w:eastAsia="ar-SA"/>
        </w:rPr>
        <w:t>.</w:t>
      </w:r>
    </w:p>
    <w:p w14:paraId="2A7476F4" w14:textId="77777777" w:rsidR="003B681E" w:rsidRPr="00175E32" w:rsidRDefault="003B681E" w:rsidP="003B681E">
      <w:pPr>
        <w:widowControl w:val="0"/>
        <w:spacing w:line="276" w:lineRule="auto"/>
        <w:rPr>
          <w:szCs w:val="24"/>
          <w:lang w:eastAsia="ar-SA"/>
        </w:rPr>
      </w:pPr>
      <w:r w:rsidRPr="00175E32">
        <w:rPr>
          <w:szCs w:val="24"/>
          <w:lang w:eastAsia="ar-SA"/>
        </w:rPr>
        <w:t xml:space="preserve">Общая сумма изменений (снижения) финансовых показателей (разница между оценкой на 2020 год и прогнозом на 2020 год по базовому варианту) составила </w:t>
      </w:r>
      <w:r w:rsidR="009069E0">
        <w:rPr>
          <w:szCs w:val="24"/>
          <w:lang w:eastAsia="ar-SA"/>
        </w:rPr>
        <w:t xml:space="preserve">                    52 778</w:t>
      </w:r>
      <w:r w:rsidRPr="00175E32">
        <w:rPr>
          <w:szCs w:val="24"/>
          <w:lang w:eastAsia="ar-SA"/>
        </w:rPr>
        <w:t> млн. рублей (или 1</w:t>
      </w:r>
      <w:r w:rsidR="004D26F7" w:rsidRPr="00175E32">
        <w:rPr>
          <w:szCs w:val="24"/>
          <w:lang w:eastAsia="ar-SA"/>
        </w:rPr>
        <w:t>7,</w:t>
      </w:r>
      <w:r w:rsidR="009069E0">
        <w:rPr>
          <w:szCs w:val="24"/>
          <w:lang w:eastAsia="ar-SA"/>
        </w:rPr>
        <w:t>7</w:t>
      </w:r>
      <w:r w:rsidRPr="00175E32">
        <w:rPr>
          <w:szCs w:val="24"/>
          <w:lang w:eastAsia="ar-SA"/>
        </w:rPr>
        <w:t>%).</w:t>
      </w:r>
    </w:p>
    <w:p w14:paraId="5104318D" w14:textId="77777777" w:rsidR="00DF1951" w:rsidRPr="00175E32" w:rsidRDefault="00DF1951" w:rsidP="00DF1951">
      <w:pPr>
        <w:widowControl w:val="0"/>
        <w:spacing w:line="276" w:lineRule="auto"/>
        <w:rPr>
          <w:sz w:val="26"/>
          <w:szCs w:val="26"/>
        </w:rPr>
      </w:pPr>
    </w:p>
    <w:p w14:paraId="28EDCFEE" w14:textId="77777777" w:rsidR="00A50BA4" w:rsidRDefault="00A50BA4" w:rsidP="00974690">
      <w:pPr>
        <w:pStyle w:val="3"/>
        <w:suppressAutoHyphens w:val="0"/>
      </w:pPr>
      <w:r w:rsidRPr="00175E32">
        <w:t>Демография и занятость населения</w:t>
      </w:r>
      <w:bookmarkStart w:id="2" w:name="демогр"/>
      <w:bookmarkEnd w:id="2"/>
    </w:p>
    <w:p w14:paraId="464EB1E8" w14:textId="77777777" w:rsidR="00974690" w:rsidRPr="00974690" w:rsidRDefault="00974690" w:rsidP="00974690">
      <w:pPr>
        <w:keepNext/>
        <w:suppressAutoHyphens w:val="0"/>
      </w:pPr>
    </w:p>
    <w:p w14:paraId="540BDFF4" w14:textId="77777777" w:rsidR="005C523D" w:rsidRPr="00175E32" w:rsidRDefault="005C523D" w:rsidP="00974690">
      <w:pPr>
        <w:keepNext/>
        <w:suppressAutoHyphens w:val="0"/>
        <w:spacing w:line="276" w:lineRule="auto"/>
        <w:rPr>
          <w:szCs w:val="24"/>
        </w:rPr>
      </w:pPr>
      <w:r w:rsidRPr="00175E32">
        <w:rPr>
          <w:color w:val="000000"/>
          <w:szCs w:val="24"/>
          <w:lang w:eastAsia="ru-RU"/>
        </w:rPr>
        <w:t xml:space="preserve">В текущем году в городском округе Тольятти, как и по Самарской области продолжает снижаться численность постоянного населения. По состоянию на 1 июля 2020 года она составила 697,3 тыс. человек, снизившись с начала 2020 года на 2,1 тыс. человек. </w:t>
      </w:r>
      <w:r w:rsidRPr="00175E32">
        <w:rPr>
          <w:szCs w:val="24"/>
        </w:rPr>
        <w:t>Убыль населения отмечена во всех районах городского округа</w:t>
      </w:r>
      <w:r w:rsidR="009069E0">
        <w:rPr>
          <w:szCs w:val="24"/>
        </w:rPr>
        <w:t xml:space="preserve"> Тольятти</w:t>
      </w:r>
      <w:r w:rsidRPr="00175E32">
        <w:rPr>
          <w:szCs w:val="24"/>
        </w:rPr>
        <w:t xml:space="preserve">: в Автозаводском (-532 человека), в Комсомольском (-416 человек), в Центральном </w:t>
      </w:r>
      <w:r w:rsidRPr="00175E32">
        <w:rPr>
          <w:szCs w:val="24"/>
        </w:rPr>
        <w:br/>
        <w:t>(-1170 человек).</w:t>
      </w:r>
    </w:p>
    <w:p w14:paraId="669B8933" w14:textId="77777777" w:rsidR="005C523D" w:rsidRPr="00175E32" w:rsidRDefault="005C523D" w:rsidP="005C523D">
      <w:pPr>
        <w:pStyle w:val="aff0"/>
        <w:spacing w:line="276" w:lineRule="auto"/>
        <w:rPr>
          <w:b/>
          <w:bCs/>
          <w:sz w:val="24"/>
          <w:szCs w:val="24"/>
        </w:rPr>
      </w:pPr>
      <w:r w:rsidRPr="00175E32">
        <w:rPr>
          <w:sz w:val="24"/>
          <w:szCs w:val="24"/>
        </w:rPr>
        <w:t xml:space="preserve">В </w:t>
      </w:r>
      <w:r w:rsidRPr="00175E32">
        <w:rPr>
          <w:bCs/>
          <w:sz w:val="24"/>
          <w:szCs w:val="24"/>
        </w:rPr>
        <w:t xml:space="preserve">1 полугодии </w:t>
      </w:r>
      <w:r w:rsidRPr="00175E32">
        <w:rPr>
          <w:sz w:val="24"/>
          <w:szCs w:val="24"/>
        </w:rPr>
        <w:t>2020 года в городском округе Тольятти родилось 2,7 тыс. человек, что на 289 человек (9,8%) меньше, чем за соответствующий период предыдущего года. Коэффициент рождаемости составил 7,6 промилле, против 8,4 промилле в 1 полугодии 2019 года. Спад рождаемости обусловлен, прежде всего, фактом снижения численности женщин репродуктивного возраста и увеличением возраста матери при рождении первого ребенка, что не может не сказываться на репродуктивном здоровье женщин.</w:t>
      </w:r>
    </w:p>
    <w:p w14:paraId="77EB6980" w14:textId="77777777" w:rsidR="005C523D" w:rsidRPr="00175E32" w:rsidRDefault="005C523D" w:rsidP="005C523D">
      <w:pPr>
        <w:pStyle w:val="aff0"/>
        <w:spacing w:line="276" w:lineRule="auto"/>
        <w:rPr>
          <w:sz w:val="24"/>
          <w:szCs w:val="24"/>
        </w:rPr>
      </w:pPr>
      <w:r w:rsidRPr="00175E32">
        <w:rPr>
          <w:sz w:val="24"/>
          <w:szCs w:val="24"/>
        </w:rPr>
        <w:t>Число умерших относительно аналогичного показателя предыдущего года увеличилось на 392 человека (9,8%) и составило 4,4 тыс. человек. Коэффициент смертности составил 12,6 промилле, против 11,5 промилле в 1 полугодии 2019 года.</w:t>
      </w:r>
    </w:p>
    <w:p w14:paraId="1D3B5CFF" w14:textId="77777777" w:rsidR="00E72F82" w:rsidRPr="00175E32" w:rsidRDefault="00E72F82" w:rsidP="00E72F82">
      <w:pPr>
        <w:spacing w:line="276" w:lineRule="auto"/>
        <w:rPr>
          <w:szCs w:val="24"/>
        </w:rPr>
      </w:pPr>
      <w:r w:rsidRPr="00175E32">
        <w:rPr>
          <w:szCs w:val="24"/>
        </w:rPr>
        <w:t>Общая характеристика воспроизводства населения городского округа Тольятти приведена в таблице:</w:t>
      </w:r>
    </w:p>
    <w:p w14:paraId="096B621B" w14:textId="77777777" w:rsidR="00E72F82" w:rsidRPr="00175E32" w:rsidRDefault="00E72F82" w:rsidP="00E72F82">
      <w:pPr>
        <w:pStyle w:val="aff0"/>
        <w:keepNext/>
        <w:keepLines/>
        <w:jc w:val="center"/>
        <w:rPr>
          <w:b/>
          <w:bCs/>
          <w:sz w:val="24"/>
          <w:szCs w:val="24"/>
        </w:rPr>
      </w:pPr>
      <w:r w:rsidRPr="00175E32">
        <w:rPr>
          <w:sz w:val="24"/>
          <w:szCs w:val="24"/>
        </w:rPr>
        <w:t>Показатели естественного движения населения</w:t>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1134"/>
        <w:gridCol w:w="1276"/>
        <w:gridCol w:w="1559"/>
        <w:gridCol w:w="851"/>
        <w:gridCol w:w="1134"/>
        <w:gridCol w:w="1134"/>
      </w:tblGrid>
      <w:tr w:rsidR="00E72F82" w:rsidRPr="00175E32" w14:paraId="60C506F6" w14:textId="77777777" w:rsidTr="00AC7FC1">
        <w:trPr>
          <w:cantSplit/>
          <w:trHeight w:val="704"/>
        </w:trPr>
        <w:tc>
          <w:tcPr>
            <w:tcW w:w="2268" w:type="dxa"/>
            <w:vMerge w:val="restart"/>
            <w:tcBorders>
              <w:top w:val="single" w:sz="4" w:space="0" w:color="auto"/>
              <w:right w:val="single" w:sz="4" w:space="0" w:color="auto"/>
            </w:tcBorders>
            <w:vAlign w:val="center"/>
          </w:tcPr>
          <w:p w14:paraId="779F5383" w14:textId="77777777" w:rsidR="00E72F82" w:rsidRPr="00175E32" w:rsidRDefault="00E72F82" w:rsidP="00AC7FC1">
            <w:pPr>
              <w:pStyle w:val="aff0"/>
              <w:keepNext/>
              <w:keepLines/>
              <w:spacing w:line="240" w:lineRule="auto"/>
              <w:ind w:firstLine="0"/>
              <w:jc w:val="center"/>
              <w:rPr>
                <w:bCs/>
                <w:sz w:val="24"/>
                <w:szCs w:val="24"/>
              </w:rPr>
            </w:pPr>
            <w:r w:rsidRPr="00175E32">
              <w:rPr>
                <w:bCs/>
                <w:sz w:val="24"/>
                <w:szCs w:val="24"/>
              </w:rPr>
              <w:t>Показатель</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3653C126" w14:textId="77777777" w:rsidR="00E72F82" w:rsidRPr="00175E32" w:rsidRDefault="00E72F82" w:rsidP="00AC7FC1">
            <w:pPr>
              <w:pStyle w:val="aff0"/>
              <w:keepNext/>
              <w:keepLines/>
              <w:spacing w:line="240" w:lineRule="auto"/>
              <w:ind w:firstLine="0"/>
              <w:jc w:val="center"/>
              <w:rPr>
                <w:bCs/>
                <w:sz w:val="24"/>
                <w:szCs w:val="24"/>
              </w:rPr>
            </w:pPr>
            <w:r w:rsidRPr="00175E32">
              <w:rPr>
                <w:bCs/>
                <w:sz w:val="24"/>
                <w:szCs w:val="24"/>
              </w:rPr>
              <w:t>Январь-июнь,</w:t>
            </w:r>
          </w:p>
          <w:p w14:paraId="4625B2AF" w14:textId="77777777" w:rsidR="00E72F82" w:rsidRPr="00175E32" w:rsidRDefault="00E72F82" w:rsidP="00AC7FC1">
            <w:pPr>
              <w:pStyle w:val="aff0"/>
              <w:keepNext/>
              <w:keepLines/>
              <w:spacing w:line="240" w:lineRule="auto"/>
              <w:ind w:firstLine="0"/>
              <w:jc w:val="center"/>
              <w:rPr>
                <w:bCs/>
                <w:sz w:val="24"/>
                <w:szCs w:val="24"/>
              </w:rPr>
            </w:pPr>
            <w:r w:rsidRPr="00175E32">
              <w:rPr>
                <w:bCs/>
                <w:sz w:val="24"/>
                <w:szCs w:val="24"/>
              </w:rPr>
              <w:t>человек</w:t>
            </w:r>
          </w:p>
        </w:tc>
        <w:tc>
          <w:tcPr>
            <w:tcW w:w="1559" w:type="dxa"/>
            <w:vMerge w:val="restart"/>
            <w:tcBorders>
              <w:top w:val="single" w:sz="4" w:space="0" w:color="auto"/>
              <w:left w:val="single" w:sz="4" w:space="0" w:color="auto"/>
              <w:right w:val="single" w:sz="4" w:space="0" w:color="auto"/>
            </w:tcBorders>
            <w:vAlign w:val="center"/>
          </w:tcPr>
          <w:p w14:paraId="2F44C249" w14:textId="77777777" w:rsidR="00E72F82" w:rsidRPr="00175E32" w:rsidRDefault="00E72F82" w:rsidP="00AC7FC1">
            <w:pPr>
              <w:pStyle w:val="aff0"/>
              <w:keepNext/>
              <w:keepLines/>
              <w:spacing w:line="240" w:lineRule="auto"/>
              <w:ind w:firstLine="0"/>
              <w:jc w:val="center"/>
              <w:rPr>
                <w:bCs/>
                <w:sz w:val="24"/>
                <w:szCs w:val="24"/>
              </w:rPr>
            </w:pPr>
            <w:r w:rsidRPr="00175E32">
              <w:rPr>
                <w:bCs/>
                <w:sz w:val="24"/>
                <w:szCs w:val="24"/>
              </w:rPr>
              <w:t>Прирост (+), снижение</w:t>
            </w:r>
          </w:p>
          <w:p w14:paraId="7BDE34C5" w14:textId="77777777" w:rsidR="00E72F82" w:rsidRPr="00175E32" w:rsidRDefault="00E72F82" w:rsidP="00AC7FC1">
            <w:pPr>
              <w:pStyle w:val="aff0"/>
              <w:keepNext/>
              <w:keepLines/>
              <w:spacing w:line="240" w:lineRule="auto"/>
              <w:ind w:firstLine="0"/>
              <w:jc w:val="center"/>
              <w:rPr>
                <w:bCs/>
                <w:sz w:val="24"/>
                <w:szCs w:val="24"/>
              </w:rPr>
            </w:pPr>
            <w:r w:rsidRPr="00175E32">
              <w:rPr>
                <w:bCs/>
                <w:sz w:val="24"/>
                <w:szCs w:val="24"/>
              </w:rPr>
              <w:t>(-),</w:t>
            </w:r>
            <w:r w:rsidR="002754E7">
              <w:rPr>
                <w:bCs/>
                <w:sz w:val="24"/>
                <w:szCs w:val="24"/>
              </w:rPr>
              <w:t xml:space="preserve"> </w:t>
            </w:r>
            <w:r w:rsidRPr="00175E32">
              <w:rPr>
                <w:bCs/>
                <w:sz w:val="24"/>
                <w:szCs w:val="24"/>
              </w:rPr>
              <w:t>человек</w:t>
            </w:r>
          </w:p>
        </w:tc>
        <w:tc>
          <w:tcPr>
            <w:tcW w:w="851" w:type="dxa"/>
            <w:vMerge w:val="restart"/>
            <w:tcBorders>
              <w:top w:val="single" w:sz="4" w:space="0" w:color="auto"/>
              <w:left w:val="single" w:sz="4" w:space="0" w:color="auto"/>
              <w:right w:val="single" w:sz="4" w:space="0" w:color="auto"/>
            </w:tcBorders>
            <w:vAlign w:val="center"/>
          </w:tcPr>
          <w:p w14:paraId="169B69FF" w14:textId="77777777" w:rsidR="00E72F82" w:rsidRPr="00175E32" w:rsidRDefault="00E72F82" w:rsidP="00AC7FC1">
            <w:pPr>
              <w:pStyle w:val="aff0"/>
              <w:keepNext/>
              <w:keepLines/>
              <w:spacing w:line="240" w:lineRule="auto"/>
              <w:ind w:firstLine="0"/>
              <w:jc w:val="center"/>
              <w:rPr>
                <w:bCs/>
                <w:sz w:val="24"/>
                <w:szCs w:val="24"/>
              </w:rPr>
            </w:pPr>
            <w:r w:rsidRPr="00175E32">
              <w:rPr>
                <w:bCs/>
                <w:sz w:val="24"/>
                <w:szCs w:val="24"/>
              </w:rPr>
              <w:t>Темп роста, %</w:t>
            </w:r>
          </w:p>
        </w:tc>
        <w:tc>
          <w:tcPr>
            <w:tcW w:w="2268" w:type="dxa"/>
            <w:gridSpan w:val="2"/>
            <w:tcBorders>
              <w:top w:val="single" w:sz="4" w:space="0" w:color="auto"/>
              <w:left w:val="single" w:sz="4" w:space="0" w:color="auto"/>
              <w:bottom w:val="single" w:sz="4" w:space="0" w:color="auto"/>
            </w:tcBorders>
            <w:vAlign w:val="center"/>
          </w:tcPr>
          <w:p w14:paraId="633E1C00" w14:textId="77777777" w:rsidR="00E72F82" w:rsidRPr="00175E32" w:rsidRDefault="00E72F82" w:rsidP="00AC7FC1">
            <w:pPr>
              <w:pStyle w:val="aff0"/>
              <w:keepNext/>
              <w:keepLines/>
              <w:spacing w:line="240" w:lineRule="auto"/>
              <w:ind w:firstLine="0"/>
              <w:jc w:val="center"/>
              <w:rPr>
                <w:bCs/>
                <w:sz w:val="24"/>
                <w:szCs w:val="24"/>
              </w:rPr>
            </w:pPr>
            <w:r w:rsidRPr="00175E32">
              <w:rPr>
                <w:bCs/>
                <w:sz w:val="24"/>
                <w:szCs w:val="24"/>
              </w:rPr>
              <w:t xml:space="preserve">Январь-июнь на </w:t>
            </w:r>
            <w:r w:rsidRPr="00175E32">
              <w:rPr>
                <w:sz w:val="24"/>
                <w:szCs w:val="24"/>
              </w:rPr>
              <w:t>1000 населения</w:t>
            </w:r>
          </w:p>
        </w:tc>
      </w:tr>
      <w:tr w:rsidR="00E72F82" w:rsidRPr="00175E32" w14:paraId="7B34E6EE" w14:textId="77777777" w:rsidTr="00AC7FC1">
        <w:trPr>
          <w:cantSplit/>
        </w:trPr>
        <w:tc>
          <w:tcPr>
            <w:tcW w:w="2268" w:type="dxa"/>
            <w:vMerge/>
            <w:tcBorders>
              <w:bottom w:val="single" w:sz="4" w:space="0" w:color="auto"/>
              <w:right w:val="single" w:sz="4" w:space="0" w:color="auto"/>
            </w:tcBorders>
            <w:vAlign w:val="center"/>
          </w:tcPr>
          <w:p w14:paraId="01A8F8D7" w14:textId="77777777" w:rsidR="00E72F82" w:rsidRPr="00175E32" w:rsidRDefault="00E72F82" w:rsidP="00AC7FC1">
            <w:pPr>
              <w:pStyle w:val="aff0"/>
              <w:spacing w:line="276" w:lineRule="auto"/>
              <w:jc w:val="center"/>
              <w:rPr>
                <w:i/>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4A5F120B" w14:textId="77777777" w:rsidR="00E72F82" w:rsidRPr="00175E32" w:rsidRDefault="00E72F82" w:rsidP="00AC7FC1">
            <w:pPr>
              <w:pStyle w:val="aff0"/>
              <w:spacing w:line="276" w:lineRule="auto"/>
              <w:ind w:firstLine="0"/>
              <w:jc w:val="center"/>
              <w:rPr>
                <w:sz w:val="24"/>
                <w:szCs w:val="24"/>
              </w:rPr>
            </w:pPr>
            <w:r w:rsidRPr="00175E32">
              <w:rPr>
                <w:sz w:val="24"/>
                <w:szCs w:val="24"/>
              </w:rPr>
              <w:t>2019 г.</w:t>
            </w:r>
          </w:p>
        </w:tc>
        <w:tc>
          <w:tcPr>
            <w:tcW w:w="1276" w:type="dxa"/>
            <w:tcBorders>
              <w:top w:val="single" w:sz="4" w:space="0" w:color="auto"/>
              <w:left w:val="single" w:sz="4" w:space="0" w:color="auto"/>
              <w:bottom w:val="single" w:sz="4" w:space="0" w:color="auto"/>
              <w:right w:val="single" w:sz="4" w:space="0" w:color="auto"/>
            </w:tcBorders>
            <w:vAlign w:val="center"/>
          </w:tcPr>
          <w:p w14:paraId="3C4403D8" w14:textId="77777777" w:rsidR="00E72F82" w:rsidRPr="00175E32" w:rsidRDefault="00E72F82" w:rsidP="00AC7FC1">
            <w:pPr>
              <w:pStyle w:val="aff0"/>
              <w:spacing w:line="276" w:lineRule="auto"/>
              <w:ind w:firstLine="0"/>
              <w:jc w:val="center"/>
              <w:rPr>
                <w:sz w:val="24"/>
                <w:szCs w:val="24"/>
              </w:rPr>
            </w:pPr>
            <w:r w:rsidRPr="00175E32">
              <w:rPr>
                <w:sz w:val="24"/>
                <w:szCs w:val="24"/>
              </w:rPr>
              <w:t>2020 г.</w:t>
            </w:r>
          </w:p>
        </w:tc>
        <w:tc>
          <w:tcPr>
            <w:tcW w:w="1559" w:type="dxa"/>
            <w:vMerge/>
            <w:tcBorders>
              <w:left w:val="single" w:sz="4" w:space="0" w:color="auto"/>
              <w:bottom w:val="single" w:sz="4" w:space="0" w:color="auto"/>
              <w:right w:val="single" w:sz="4" w:space="0" w:color="auto"/>
            </w:tcBorders>
            <w:vAlign w:val="center"/>
          </w:tcPr>
          <w:p w14:paraId="18543E3A" w14:textId="77777777" w:rsidR="00E72F82" w:rsidRPr="00175E32" w:rsidRDefault="00E72F82" w:rsidP="00AC7FC1">
            <w:pPr>
              <w:pStyle w:val="aff0"/>
              <w:spacing w:line="276" w:lineRule="auto"/>
              <w:jc w:val="center"/>
              <w:rPr>
                <w:sz w:val="24"/>
                <w:szCs w:val="24"/>
              </w:rPr>
            </w:pPr>
          </w:p>
        </w:tc>
        <w:tc>
          <w:tcPr>
            <w:tcW w:w="851" w:type="dxa"/>
            <w:vMerge/>
            <w:tcBorders>
              <w:left w:val="single" w:sz="4" w:space="0" w:color="auto"/>
              <w:bottom w:val="single" w:sz="4" w:space="0" w:color="auto"/>
              <w:right w:val="single" w:sz="4" w:space="0" w:color="auto"/>
            </w:tcBorders>
            <w:vAlign w:val="center"/>
          </w:tcPr>
          <w:p w14:paraId="72E3F8DB" w14:textId="77777777" w:rsidR="00E72F82" w:rsidRPr="00175E32" w:rsidRDefault="00E72F82" w:rsidP="00AC7FC1">
            <w:pPr>
              <w:pStyle w:val="aff0"/>
              <w:spacing w:line="276" w:lineRule="auto"/>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2ECED5D5" w14:textId="77777777" w:rsidR="00E72F82" w:rsidRPr="00175E32" w:rsidRDefault="00E72F82" w:rsidP="00AC7FC1">
            <w:pPr>
              <w:pStyle w:val="aff0"/>
              <w:spacing w:line="276" w:lineRule="auto"/>
              <w:ind w:firstLine="0"/>
              <w:jc w:val="center"/>
              <w:rPr>
                <w:sz w:val="24"/>
                <w:szCs w:val="24"/>
              </w:rPr>
            </w:pPr>
            <w:r w:rsidRPr="00175E32">
              <w:rPr>
                <w:sz w:val="24"/>
                <w:szCs w:val="24"/>
              </w:rPr>
              <w:t>2019 г.</w:t>
            </w:r>
          </w:p>
        </w:tc>
        <w:tc>
          <w:tcPr>
            <w:tcW w:w="1134" w:type="dxa"/>
            <w:tcBorders>
              <w:top w:val="single" w:sz="4" w:space="0" w:color="auto"/>
              <w:left w:val="single" w:sz="4" w:space="0" w:color="auto"/>
              <w:bottom w:val="single" w:sz="4" w:space="0" w:color="auto"/>
            </w:tcBorders>
            <w:vAlign w:val="center"/>
          </w:tcPr>
          <w:p w14:paraId="4FEE11FD" w14:textId="77777777" w:rsidR="00E72F82" w:rsidRPr="00175E32" w:rsidRDefault="00E72F82" w:rsidP="00AC7FC1">
            <w:pPr>
              <w:pStyle w:val="aff0"/>
              <w:spacing w:line="276" w:lineRule="auto"/>
              <w:ind w:firstLine="0"/>
              <w:jc w:val="center"/>
              <w:rPr>
                <w:sz w:val="24"/>
                <w:szCs w:val="24"/>
              </w:rPr>
            </w:pPr>
            <w:r w:rsidRPr="00175E32">
              <w:rPr>
                <w:sz w:val="24"/>
                <w:szCs w:val="24"/>
              </w:rPr>
              <w:t>2020 г.</w:t>
            </w:r>
          </w:p>
        </w:tc>
      </w:tr>
      <w:tr w:rsidR="00E72F82" w:rsidRPr="00175E32" w14:paraId="0BC355D1" w14:textId="77777777" w:rsidTr="00AC7FC1">
        <w:tc>
          <w:tcPr>
            <w:tcW w:w="2268" w:type="dxa"/>
            <w:tcBorders>
              <w:top w:val="single" w:sz="4" w:space="0" w:color="auto"/>
              <w:bottom w:val="single" w:sz="4" w:space="0" w:color="auto"/>
              <w:right w:val="single" w:sz="4" w:space="0" w:color="auto"/>
            </w:tcBorders>
            <w:vAlign w:val="center"/>
          </w:tcPr>
          <w:p w14:paraId="378C385D" w14:textId="77777777" w:rsidR="00E72F82" w:rsidRPr="00175E32" w:rsidRDefault="00E72F82" w:rsidP="00AC7FC1">
            <w:pPr>
              <w:pStyle w:val="aff0"/>
              <w:spacing w:line="240" w:lineRule="auto"/>
              <w:ind w:firstLine="0"/>
              <w:jc w:val="left"/>
              <w:rPr>
                <w:bCs/>
                <w:sz w:val="24"/>
                <w:szCs w:val="24"/>
              </w:rPr>
            </w:pPr>
            <w:r w:rsidRPr="00175E32">
              <w:rPr>
                <w:bCs/>
                <w:sz w:val="24"/>
                <w:szCs w:val="24"/>
              </w:rPr>
              <w:t>Родившихся</w:t>
            </w:r>
          </w:p>
        </w:tc>
        <w:tc>
          <w:tcPr>
            <w:tcW w:w="1134" w:type="dxa"/>
            <w:tcBorders>
              <w:top w:val="single" w:sz="4" w:space="0" w:color="auto"/>
              <w:left w:val="single" w:sz="4" w:space="0" w:color="auto"/>
              <w:bottom w:val="single" w:sz="4" w:space="0" w:color="auto"/>
              <w:right w:val="single" w:sz="4" w:space="0" w:color="auto"/>
            </w:tcBorders>
            <w:vAlign w:val="bottom"/>
          </w:tcPr>
          <w:p w14:paraId="195B2406" w14:textId="77777777" w:rsidR="00E72F82" w:rsidRPr="00175E32" w:rsidRDefault="00E72F82" w:rsidP="00AC7FC1">
            <w:pPr>
              <w:pStyle w:val="aff0"/>
              <w:spacing w:line="276" w:lineRule="auto"/>
              <w:ind w:firstLine="0"/>
              <w:jc w:val="right"/>
              <w:rPr>
                <w:sz w:val="24"/>
                <w:szCs w:val="24"/>
              </w:rPr>
            </w:pPr>
            <w:r w:rsidRPr="00175E32">
              <w:rPr>
                <w:sz w:val="24"/>
                <w:szCs w:val="24"/>
              </w:rPr>
              <w:t>2942</w:t>
            </w:r>
          </w:p>
        </w:tc>
        <w:tc>
          <w:tcPr>
            <w:tcW w:w="1276" w:type="dxa"/>
            <w:tcBorders>
              <w:top w:val="single" w:sz="4" w:space="0" w:color="auto"/>
              <w:left w:val="single" w:sz="4" w:space="0" w:color="auto"/>
              <w:bottom w:val="single" w:sz="4" w:space="0" w:color="auto"/>
              <w:right w:val="single" w:sz="4" w:space="0" w:color="auto"/>
            </w:tcBorders>
            <w:vAlign w:val="bottom"/>
          </w:tcPr>
          <w:p w14:paraId="5881C4A8" w14:textId="77777777" w:rsidR="00E72F82" w:rsidRPr="00175E32" w:rsidRDefault="00E72F82" w:rsidP="00AC7FC1">
            <w:pPr>
              <w:pStyle w:val="aff0"/>
              <w:spacing w:line="276" w:lineRule="auto"/>
              <w:ind w:firstLine="0"/>
              <w:jc w:val="right"/>
              <w:rPr>
                <w:sz w:val="24"/>
                <w:szCs w:val="24"/>
              </w:rPr>
            </w:pPr>
            <w:r w:rsidRPr="00175E32">
              <w:rPr>
                <w:sz w:val="24"/>
                <w:szCs w:val="24"/>
              </w:rPr>
              <w:t>2653</w:t>
            </w:r>
          </w:p>
        </w:tc>
        <w:tc>
          <w:tcPr>
            <w:tcW w:w="1559" w:type="dxa"/>
            <w:tcBorders>
              <w:top w:val="single" w:sz="4" w:space="0" w:color="auto"/>
              <w:left w:val="single" w:sz="4" w:space="0" w:color="auto"/>
              <w:bottom w:val="single" w:sz="4" w:space="0" w:color="auto"/>
              <w:right w:val="single" w:sz="4" w:space="0" w:color="auto"/>
            </w:tcBorders>
            <w:vAlign w:val="bottom"/>
          </w:tcPr>
          <w:p w14:paraId="05625001" w14:textId="77777777" w:rsidR="00E72F82" w:rsidRPr="00175E32" w:rsidRDefault="00E72F82" w:rsidP="00AC7FC1">
            <w:pPr>
              <w:pStyle w:val="aff0"/>
              <w:spacing w:line="276" w:lineRule="auto"/>
              <w:ind w:firstLine="0"/>
              <w:jc w:val="right"/>
              <w:rPr>
                <w:sz w:val="24"/>
                <w:szCs w:val="24"/>
              </w:rPr>
            </w:pPr>
            <w:r w:rsidRPr="00175E32">
              <w:rPr>
                <w:sz w:val="24"/>
                <w:szCs w:val="24"/>
              </w:rPr>
              <w:t>-289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27A3EA37" w14:textId="77777777" w:rsidR="00E72F82" w:rsidRPr="00175E32" w:rsidRDefault="00E72F82" w:rsidP="00AC7FC1">
            <w:pPr>
              <w:pStyle w:val="aff0"/>
              <w:spacing w:line="276" w:lineRule="auto"/>
              <w:ind w:firstLine="0"/>
              <w:jc w:val="right"/>
              <w:rPr>
                <w:sz w:val="24"/>
              </w:rPr>
            </w:pPr>
            <w:r w:rsidRPr="00175E32">
              <w:rPr>
                <w:sz w:val="24"/>
                <w:szCs w:val="24"/>
              </w:rPr>
              <w:t>90,2</w:t>
            </w:r>
          </w:p>
        </w:tc>
        <w:tc>
          <w:tcPr>
            <w:tcW w:w="1134" w:type="dxa"/>
            <w:tcBorders>
              <w:top w:val="single" w:sz="4" w:space="0" w:color="auto"/>
              <w:left w:val="single" w:sz="4" w:space="0" w:color="auto"/>
              <w:bottom w:val="single" w:sz="4" w:space="0" w:color="auto"/>
              <w:right w:val="single" w:sz="4" w:space="0" w:color="auto"/>
            </w:tcBorders>
            <w:vAlign w:val="bottom"/>
          </w:tcPr>
          <w:p w14:paraId="565D0E21" w14:textId="77777777" w:rsidR="00E72F82" w:rsidRPr="00175E32" w:rsidRDefault="00E72F82" w:rsidP="00AC7FC1">
            <w:pPr>
              <w:pStyle w:val="aff0"/>
              <w:spacing w:line="276" w:lineRule="auto"/>
              <w:ind w:firstLine="0"/>
              <w:jc w:val="right"/>
              <w:rPr>
                <w:sz w:val="24"/>
                <w:szCs w:val="24"/>
              </w:rPr>
            </w:pPr>
            <w:r w:rsidRPr="00175E32">
              <w:rPr>
                <w:sz w:val="24"/>
                <w:szCs w:val="24"/>
              </w:rPr>
              <w:t>8,4</w:t>
            </w:r>
          </w:p>
        </w:tc>
        <w:tc>
          <w:tcPr>
            <w:tcW w:w="1134" w:type="dxa"/>
            <w:tcBorders>
              <w:top w:val="single" w:sz="4" w:space="0" w:color="auto"/>
              <w:left w:val="single" w:sz="4" w:space="0" w:color="auto"/>
              <w:bottom w:val="single" w:sz="4" w:space="0" w:color="auto"/>
            </w:tcBorders>
            <w:vAlign w:val="bottom"/>
          </w:tcPr>
          <w:p w14:paraId="4AF3F323" w14:textId="77777777" w:rsidR="00E72F82" w:rsidRPr="00175E32" w:rsidRDefault="00E72F82" w:rsidP="00AC7FC1">
            <w:pPr>
              <w:pStyle w:val="aff0"/>
              <w:spacing w:line="276" w:lineRule="auto"/>
              <w:ind w:firstLine="0"/>
              <w:jc w:val="right"/>
              <w:rPr>
                <w:sz w:val="24"/>
                <w:szCs w:val="24"/>
              </w:rPr>
            </w:pPr>
            <w:r w:rsidRPr="00175E32">
              <w:rPr>
                <w:sz w:val="24"/>
                <w:szCs w:val="24"/>
              </w:rPr>
              <w:t>7,6</w:t>
            </w:r>
          </w:p>
        </w:tc>
      </w:tr>
      <w:tr w:rsidR="00E72F82" w:rsidRPr="00175E32" w14:paraId="3CC1F74C" w14:textId="77777777" w:rsidTr="00AC7FC1">
        <w:trPr>
          <w:trHeight w:val="210"/>
        </w:trPr>
        <w:tc>
          <w:tcPr>
            <w:tcW w:w="2268" w:type="dxa"/>
            <w:tcBorders>
              <w:top w:val="single" w:sz="4" w:space="0" w:color="auto"/>
              <w:bottom w:val="single" w:sz="4" w:space="0" w:color="auto"/>
              <w:right w:val="single" w:sz="4" w:space="0" w:color="auto"/>
            </w:tcBorders>
            <w:vAlign w:val="center"/>
          </w:tcPr>
          <w:p w14:paraId="5FBFED12" w14:textId="77777777" w:rsidR="00E72F82" w:rsidRPr="00175E32" w:rsidRDefault="00E72F82" w:rsidP="00AC7FC1">
            <w:pPr>
              <w:pStyle w:val="aff0"/>
              <w:spacing w:line="240" w:lineRule="auto"/>
              <w:ind w:firstLine="0"/>
              <w:jc w:val="left"/>
              <w:rPr>
                <w:bCs/>
                <w:sz w:val="24"/>
                <w:szCs w:val="24"/>
              </w:rPr>
            </w:pPr>
            <w:r w:rsidRPr="00175E32">
              <w:rPr>
                <w:bCs/>
                <w:sz w:val="24"/>
                <w:szCs w:val="24"/>
              </w:rPr>
              <w:t>Умерших</w:t>
            </w:r>
          </w:p>
        </w:tc>
        <w:tc>
          <w:tcPr>
            <w:tcW w:w="1134" w:type="dxa"/>
            <w:tcBorders>
              <w:top w:val="single" w:sz="4" w:space="0" w:color="auto"/>
              <w:left w:val="single" w:sz="4" w:space="0" w:color="auto"/>
              <w:bottom w:val="single" w:sz="4" w:space="0" w:color="auto"/>
              <w:right w:val="single" w:sz="4" w:space="0" w:color="auto"/>
            </w:tcBorders>
            <w:vAlign w:val="bottom"/>
          </w:tcPr>
          <w:p w14:paraId="60F6A394" w14:textId="77777777" w:rsidR="00E72F82" w:rsidRPr="00175E32" w:rsidRDefault="00E72F82" w:rsidP="00AC7FC1">
            <w:pPr>
              <w:pStyle w:val="aff0"/>
              <w:spacing w:line="276" w:lineRule="auto"/>
              <w:ind w:firstLine="0"/>
              <w:jc w:val="right"/>
              <w:rPr>
                <w:sz w:val="24"/>
                <w:szCs w:val="24"/>
              </w:rPr>
            </w:pPr>
            <w:r w:rsidRPr="00175E32">
              <w:rPr>
                <w:sz w:val="24"/>
                <w:szCs w:val="24"/>
              </w:rPr>
              <w:t>3996</w:t>
            </w:r>
          </w:p>
        </w:tc>
        <w:tc>
          <w:tcPr>
            <w:tcW w:w="1276" w:type="dxa"/>
            <w:tcBorders>
              <w:top w:val="single" w:sz="4" w:space="0" w:color="auto"/>
              <w:left w:val="single" w:sz="4" w:space="0" w:color="auto"/>
              <w:bottom w:val="single" w:sz="4" w:space="0" w:color="auto"/>
              <w:right w:val="single" w:sz="4" w:space="0" w:color="auto"/>
            </w:tcBorders>
            <w:vAlign w:val="bottom"/>
          </w:tcPr>
          <w:p w14:paraId="70EE4F03" w14:textId="77777777" w:rsidR="00E72F82" w:rsidRPr="00175E32" w:rsidRDefault="00E72F82" w:rsidP="00AC7FC1">
            <w:pPr>
              <w:pStyle w:val="aff0"/>
              <w:spacing w:line="276" w:lineRule="auto"/>
              <w:ind w:firstLine="0"/>
              <w:jc w:val="right"/>
              <w:rPr>
                <w:sz w:val="24"/>
                <w:szCs w:val="24"/>
              </w:rPr>
            </w:pPr>
            <w:r w:rsidRPr="00175E32">
              <w:rPr>
                <w:sz w:val="24"/>
                <w:szCs w:val="24"/>
              </w:rPr>
              <w:t>4388</w:t>
            </w:r>
          </w:p>
        </w:tc>
        <w:tc>
          <w:tcPr>
            <w:tcW w:w="1559" w:type="dxa"/>
            <w:tcBorders>
              <w:top w:val="single" w:sz="4" w:space="0" w:color="auto"/>
              <w:left w:val="single" w:sz="4" w:space="0" w:color="auto"/>
              <w:bottom w:val="single" w:sz="4" w:space="0" w:color="auto"/>
              <w:right w:val="single" w:sz="4" w:space="0" w:color="auto"/>
            </w:tcBorders>
            <w:vAlign w:val="bottom"/>
          </w:tcPr>
          <w:p w14:paraId="015A15AA" w14:textId="77777777" w:rsidR="00E72F82" w:rsidRPr="00175E32" w:rsidRDefault="00E72F82" w:rsidP="00AC7FC1">
            <w:pPr>
              <w:pStyle w:val="aff0"/>
              <w:spacing w:line="276" w:lineRule="auto"/>
              <w:ind w:firstLine="0"/>
              <w:jc w:val="right"/>
              <w:rPr>
                <w:sz w:val="24"/>
                <w:szCs w:val="24"/>
              </w:rPr>
            </w:pPr>
            <w:r w:rsidRPr="00175E32">
              <w:rPr>
                <w:sz w:val="24"/>
                <w:szCs w:val="24"/>
              </w:rPr>
              <w:t>392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77FDB9B3" w14:textId="77777777" w:rsidR="00E72F82" w:rsidRPr="00175E32" w:rsidRDefault="00E72F82" w:rsidP="00AC7FC1">
            <w:pPr>
              <w:pStyle w:val="aff0"/>
              <w:spacing w:line="276" w:lineRule="auto"/>
              <w:ind w:firstLine="0"/>
              <w:jc w:val="right"/>
              <w:rPr>
                <w:sz w:val="24"/>
              </w:rPr>
            </w:pPr>
            <w:r w:rsidRPr="00175E32">
              <w:rPr>
                <w:sz w:val="24"/>
                <w:szCs w:val="24"/>
              </w:rPr>
              <w:t>109,8</w:t>
            </w:r>
          </w:p>
        </w:tc>
        <w:tc>
          <w:tcPr>
            <w:tcW w:w="1134" w:type="dxa"/>
            <w:tcBorders>
              <w:top w:val="single" w:sz="4" w:space="0" w:color="auto"/>
              <w:left w:val="single" w:sz="4" w:space="0" w:color="auto"/>
              <w:bottom w:val="single" w:sz="4" w:space="0" w:color="auto"/>
              <w:right w:val="single" w:sz="4" w:space="0" w:color="auto"/>
            </w:tcBorders>
            <w:vAlign w:val="bottom"/>
          </w:tcPr>
          <w:p w14:paraId="5BCA08E7" w14:textId="77777777" w:rsidR="00E72F82" w:rsidRPr="00175E32" w:rsidRDefault="00E72F82" w:rsidP="00AC7FC1">
            <w:pPr>
              <w:pStyle w:val="aff0"/>
              <w:spacing w:line="276" w:lineRule="auto"/>
              <w:ind w:firstLine="0"/>
              <w:jc w:val="right"/>
              <w:rPr>
                <w:sz w:val="24"/>
                <w:szCs w:val="24"/>
              </w:rPr>
            </w:pPr>
            <w:r w:rsidRPr="00175E32">
              <w:rPr>
                <w:sz w:val="24"/>
                <w:szCs w:val="24"/>
              </w:rPr>
              <w:t>11,5</w:t>
            </w:r>
          </w:p>
        </w:tc>
        <w:tc>
          <w:tcPr>
            <w:tcW w:w="1134" w:type="dxa"/>
            <w:tcBorders>
              <w:top w:val="single" w:sz="4" w:space="0" w:color="auto"/>
              <w:left w:val="single" w:sz="4" w:space="0" w:color="auto"/>
              <w:bottom w:val="single" w:sz="4" w:space="0" w:color="auto"/>
            </w:tcBorders>
            <w:vAlign w:val="bottom"/>
          </w:tcPr>
          <w:p w14:paraId="70C47B7A" w14:textId="77777777" w:rsidR="00E72F82" w:rsidRPr="00175E32" w:rsidRDefault="00E72F82" w:rsidP="00AC7FC1">
            <w:pPr>
              <w:pStyle w:val="aff0"/>
              <w:spacing w:line="276" w:lineRule="auto"/>
              <w:ind w:firstLine="0"/>
              <w:jc w:val="right"/>
              <w:rPr>
                <w:sz w:val="24"/>
                <w:szCs w:val="24"/>
              </w:rPr>
            </w:pPr>
            <w:r w:rsidRPr="00175E32">
              <w:rPr>
                <w:sz w:val="24"/>
                <w:szCs w:val="24"/>
              </w:rPr>
              <w:t>12,6</w:t>
            </w:r>
          </w:p>
        </w:tc>
      </w:tr>
      <w:tr w:rsidR="00E72F82" w:rsidRPr="00175E32" w14:paraId="2EF02C31" w14:textId="77777777" w:rsidTr="00AC7FC1">
        <w:tc>
          <w:tcPr>
            <w:tcW w:w="2268" w:type="dxa"/>
            <w:tcBorders>
              <w:top w:val="single" w:sz="4" w:space="0" w:color="auto"/>
              <w:bottom w:val="single" w:sz="4" w:space="0" w:color="auto"/>
              <w:right w:val="single" w:sz="4" w:space="0" w:color="auto"/>
            </w:tcBorders>
            <w:vAlign w:val="center"/>
          </w:tcPr>
          <w:p w14:paraId="783901BD" w14:textId="77777777" w:rsidR="00E72F82" w:rsidRPr="00175E32" w:rsidRDefault="00E72F82" w:rsidP="00AC7FC1">
            <w:pPr>
              <w:pStyle w:val="aff0"/>
              <w:spacing w:line="240" w:lineRule="auto"/>
              <w:ind w:firstLine="0"/>
              <w:jc w:val="left"/>
              <w:rPr>
                <w:bCs/>
                <w:sz w:val="24"/>
                <w:szCs w:val="24"/>
              </w:rPr>
            </w:pPr>
            <w:r w:rsidRPr="00175E32">
              <w:rPr>
                <w:bCs/>
                <w:sz w:val="24"/>
                <w:szCs w:val="24"/>
              </w:rPr>
              <w:t>в том числе детей</w:t>
            </w:r>
          </w:p>
          <w:p w14:paraId="3E04956A" w14:textId="77777777" w:rsidR="00E72F82" w:rsidRPr="00175E32" w:rsidRDefault="00E72F82" w:rsidP="00AC7FC1">
            <w:pPr>
              <w:pStyle w:val="aff0"/>
              <w:spacing w:line="240" w:lineRule="auto"/>
              <w:ind w:firstLine="0"/>
              <w:jc w:val="left"/>
              <w:rPr>
                <w:bCs/>
                <w:sz w:val="24"/>
                <w:szCs w:val="24"/>
              </w:rPr>
            </w:pPr>
            <w:r w:rsidRPr="00175E32">
              <w:rPr>
                <w:bCs/>
                <w:sz w:val="24"/>
                <w:szCs w:val="24"/>
              </w:rPr>
              <w:t>в возрасте до 1 года</w:t>
            </w:r>
          </w:p>
        </w:tc>
        <w:tc>
          <w:tcPr>
            <w:tcW w:w="1134" w:type="dxa"/>
            <w:tcBorders>
              <w:top w:val="single" w:sz="4" w:space="0" w:color="auto"/>
              <w:left w:val="single" w:sz="4" w:space="0" w:color="auto"/>
              <w:bottom w:val="single" w:sz="4" w:space="0" w:color="auto"/>
              <w:right w:val="single" w:sz="4" w:space="0" w:color="auto"/>
            </w:tcBorders>
            <w:vAlign w:val="bottom"/>
          </w:tcPr>
          <w:p w14:paraId="50E4D0C2" w14:textId="77777777" w:rsidR="00E72F82" w:rsidRPr="00175E32" w:rsidRDefault="00E72F82" w:rsidP="00AC7FC1">
            <w:pPr>
              <w:pStyle w:val="aff0"/>
              <w:spacing w:line="276" w:lineRule="auto"/>
              <w:ind w:firstLine="0"/>
              <w:jc w:val="right"/>
              <w:rPr>
                <w:sz w:val="24"/>
                <w:szCs w:val="24"/>
              </w:rPr>
            </w:pPr>
            <w:r w:rsidRPr="00175E32">
              <w:rPr>
                <w:sz w:val="24"/>
                <w:szCs w:val="24"/>
              </w:rPr>
              <w:t>6</w:t>
            </w:r>
          </w:p>
        </w:tc>
        <w:tc>
          <w:tcPr>
            <w:tcW w:w="1276" w:type="dxa"/>
            <w:tcBorders>
              <w:top w:val="single" w:sz="4" w:space="0" w:color="auto"/>
              <w:left w:val="single" w:sz="4" w:space="0" w:color="auto"/>
              <w:bottom w:val="single" w:sz="4" w:space="0" w:color="auto"/>
              <w:right w:val="single" w:sz="4" w:space="0" w:color="auto"/>
            </w:tcBorders>
            <w:vAlign w:val="bottom"/>
          </w:tcPr>
          <w:p w14:paraId="752986BA" w14:textId="77777777" w:rsidR="00E72F82" w:rsidRPr="00175E32" w:rsidRDefault="00E72F82" w:rsidP="00AC7FC1">
            <w:pPr>
              <w:pStyle w:val="aff0"/>
              <w:spacing w:line="276" w:lineRule="auto"/>
              <w:ind w:firstLine="0"/>
              <w:jc w:val="right"/>
              <w:rPr>
                <w:sz w:val="24"/>
                <w:szCs w:val="24"/>
              </w:rPr>
            </w:pPr>
            <w:r w:rsidRPr="00175E32">
              <w:rPr>
                <w:sz w:val="24"/>
                <w:szCs w:val="24"/>
              </w:rPr>
              <w:t>10</w:t>
            </w:r>
          </w:p>
        </w:tc>
        <w:tc>
          <w:tcPr>
            <w:tcW w:w="1559" w:type="dxa"/>
            <w:tcBorders>
              <w:top w:val="single" w:sz="4" w:space="0" w:color="auto"/>
              <w:left w:val="single" w:sz="4" w:space="0" w:color="auto"/>
              <w:bottom w:val="single" w:sz="4" w:space="0" w:color="auto"/>
              <w:right w:val="single" w:sz="4" w:space="0" w:color="auto"/>
            </w:tcBorders>
            <w:vAlign w:val="bottom"/>
          </w:tcPr>
          <w:p w14:paraId="55228F1F" w14:textId="77777777" w:rsidR="00E72F82" w:rsidRPr="00175E32" w:rsidRDefault="00E72F82" w:rsidP="00AC7FC1">
            <w:pPr>
              <w:pStyle w:val="aff0"/>
              <w:spacing w:line="276" w:lineRule="auto"/>
              <w:ind w:firstLine="0"/>
              <w:jc w:val="right"/>
              <w:rPr>
                <w:sz w:val="24"/>
                <w:szCs w:val="24"/>
              </w:rPr>
            </w:pPr>
            <w:r w:rsidRPr="00175E32">
              <w:rPr>
                <w:sz w:val="24"/>
                <w:szCs w:val="24"/>
              </w:rPr>
              <w:t>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29D9745A" w14:textId="77777777" w:rsidR="00E72F82" w:rsidRPr="00175E32" w:rsidRDefault="00E72F82" w:rsidP="00AC7FC1">
            <w:pPr>
              <w:pStyle w:val="aff0"/>
              <w:spacing w:line="276" w:lineRule="auto"/>
              <w:ind w:firstLine="0"/>
              <w:jc w:val="right"/>
              <w:rPr>
                <w:sz w:val="24"/>
                <w:szCs w:val="24"/>
              </w:rPr>
            </w:pPr>
            <w:r w:rsidRPr="00175E32">
              <w:rPr>
                <w:sz w:val="24"/>
                <w:szCs w:val="24"/>
              </w:rPr>
              <w:t>166,7</w:t>
            </w:r>
          </w:p>
        </w:tc>
        <w:tc>
          <w:tcPr>
            <w:tcW w:w="1134" w:type="dxa"/>
            <w:tcBorders>
              <w:top w:val="single" w:sz="4" w:space="0" w:color="auto"/>
              <w:left w:val="single" w:sz="4" w:space="0" w:color="auto"/>
              <w:bottom w:val="single" w:sz="4" w:space="0" w:color="auto"/>
              <w:right w:val="single" w:sz="4" w:space="0" w:color="auto"/>
            </w:tcBorders>
            <w:vAlign w:val="bottom"/>
          </w:tcPr>
          <w:p w14:paraId="16515D3E" w14:textId="77777777" w:rsidR="00E72F82" w:rsidRPr="00175E32" w:rsidRDefault="00E72F82" w:rsidP="00AC7FC1">
            <w:pPr>
              <w:pStyle w:val="aff0"/>
              <w:spacing w:line="276" w:lineRule="auto"/>
              <w:ind w:firstLine="0"/>
              <w:jc w:val="right"/>
              <w:rPr>
                <w:sz w:val="24"/>
                <w:szCs w:val="24"/>
              </w:rPr>
            </w:pPr>
            <w:r w:rsidRPr="00175E32">
              <w:rPr>
                <w:sz w:val="24"/>
                <w:szCs w:val="24"/>
              </w:rPr>
              <w:t>1,8*</w:t>
            </w:r>
          </w:p>
        </w:tc>
        <w:tc>
          <w:tcPr>
            <w:tcW w:w="1134" w:type="dxa"/>
            <w:tcBorders>
              <w:top w:val="single" w:sz="4" w:space="0" w:color="auto"/>
              <w:left w:val="single" w:sz="4" w:space="0" w:color="auto"/>
              <w:bottom w:val="single" w:sz="4" w:space="0" w:color="auto"/>
            </w:tcBorders>
            <w:vAlign w:val="bottom"/>
          </w:tcPr>
          <w:p w14:paraId="4A72BE02" w14:textId="77777777" w:rsidR="00E72F82" w:rsidRPr="00175E32" w:rsidRDefault="00E72F82" w:rsidP="00AC7FC1">
            <w:pPr>
              <w:pStyle w:val="aff0"/>
              <w:spacing w:line="276" w:lineRule="auto"/>
              <w:ind w:firstLine="0"/>
              <w:jc w:val="right"/>
              <w:rPr>
                <w:sz w:val="24"/>
                <w:szCs w:val="24"/>
              </w:rPr>
            </w:pPr>
            <w:r w:rsidRPr="00175E32">
              <w:rPr>
                <w:sz w:val="24"/>
                <w:szCs w:val="24"/>
              </w:rPr>
              <w:t>3,4</w:t>
            </w:r>
          </w:p>
        </w:tc>
      </w:tr>
      <w:tr w:rsidR="00E72F82" w:rsidRPr="00175E32" w14:paraId="32EA7DFF" w14:textId="77777777" w:rsidTr="00AC7FC1">
        <w:tc>
          <w:tcPr>
            <w:tcW w:w="2268" w:type="dxa"/>
            <w:tcBorders>
              <w:top w:val="single" w:sz="4" w:space="0" w:color="auto"/>
              <w:bottom w:val="single" w:sz="4" w:space="0" w:color="auto"/>
              <w:right w:val="single" w:sz="4" w:space="0" w:color="auto"/>
            </w:tcBorders>
            <w:vAlign w:val="center"/>
          </w:tcPr>
          <w:p w14:paraId="4EDC28FE" w14:textId="77777777" w:rsidR="00E72F82" w:rsidRPr="00175E32" w:rsidRDefault="00E72F82" w:rsidP="00AC7FC1">
            <w:pPr>
              <w:pStyle w:val="aff0"/>
              <w:spacing w:line="240" w:lineRule="auto"/>
              <w:ind w:firstLine="0"/>
              <w:jc w:val="left"/>
              <w:rPr>
                <w:bCs/>
                <w:sz w:val="24"/>
                <w:szCs w:val="24"/>
              </w:rPr>
            </w:pPr>
            <w:r w:rsidRPr="00175E32">
              <w:rPr>
                <w:bCs/>
                <w:sz w:val="24"/>
                <w:szCs w:val="24"/>
              </w:rPr>
              <w:t>Естественный прирост (убыль)</w:t>
            </w:r>
          </w:p>
        </w:tc>
        <w:tc>
          <w:tcPr>
            <w:tcW w:w="1134" w:type="dxa"/>
            <w:tcBorders>
              <w:top w:val="single" w:sz="4" w:space="0" w:color="auto"/>
              <w:left w:val="single" w:sz="4" w:space="0" w:color="auto"/>
              <w:bottom w:val="single" w:sz="4" w:space="0" w:color="auto"/>
              <w:right w:val="single" w:sz="4" w:space="0" w:color="auto"/>
            </w:tcBorders>
            <w:vAlign w:val="bottom"/>
          </w:tcPr>
          <w:p w14:paraId="6F1D8644" w14:textId="77777777" w:rsidR="00E72F82" w:rsidRPr="00175E32" w:rsidRDefault="00E72F82" w:rsidP="00AC7FC1">
            <w:pPr>
              <w:pStyle w:val="aff0"/>
              <w:spacing w:line="276" w:lineRule="auto"/>
              <w:ind w:firstLine="0"/>
              <w:jc w:val="right"/>
              <w:rPr>
                <w:sz w:val="24"/>
                <w:szCs w:val="24"/>
              </w:rPr>
            </w:pPr>
            <w:r w:rsidRPr="00175E32">
              <w:rPr>
                <w:sz w:val="24"/>
                <w:szCs w:val="24"/>
              </w:rPr>
              <w:t>-1054</w:t>
            </w:r>
          </w:p>
        </w:tc>
        <w:tc>
          <w:tcPr>
            <w:tcW w:w="1276" w:type="dxa"/>
            <w:tcBorders>
              <w:top w:val="single" w:sz="4" w:space="0" w:color="auto"/>
              <w:left w:val="single" w:sz="4" w:space="0" w:color="auto"/>
              <w:bottom w:val="single" w:sz="4" w:space="0" w:color="auto"/>
              <w:right w:val="single" w:sz="4" w:space="0" w:color="auto"/>
            </w:tcBorders>
            <w:vAlign w:val="bottom"/>
          </w:tcPr>
          <w:p w14:paraId="5AB4D16B" w14:textId="77777777" w:rsidR="00E72F82" w:rsidRPr="00175E32" w:rsidRDefault="00E72F82" w:rsidP="00AC7FC1">
            <w:pPr>
              <w:pStyle w:val="aff0"/>
              <w:spacing w:line="276" w:lineRule="auto"/>
              <w:ind w:firstLine="0"/>
              <w:jc w:val="right"/>
              <w:rPr>
                <w:sz w:val="24"/>
                <w:szCs w:val="24"/>
              </w:rPr>
            </w:pPr>
            <w:r w:rsidRPr="00175E32">
              <w:rPr>
                <w:sz w:val="24"/>
                <w:szCs w:val="24"/>
              </w:rPr>
              <w:t>-1735</w:t>
            </w:r>
          </w:p>
        </w:tc>
        <w:tc>
          <w:tcPr>
            <w:tcW w:w="1559" w:type="dxa"/>
            <w:tcBorders>
              <w:top w:val="single" w:sz="4" w:space="0" w:color="auto"/>
              <w:left w:val="single" w:sz="4" w:space="0" w:color="auto"/>
              <w:bottom w:val="single" w:sz="4" w:space="0" w:color="auto"/>
              <w:right w:val="single" w:sz="4" w:space="0" w:color="auto"/>
            </w:tcBorders>
            <w:vAlign w:val="bottom"/>
          </w:tcPr>
          <w:p w14:paraId="65D2D34E" w14:textId="77777777" w:rsidR="00E72F82" w:rsidRPr="00175E32" w:rsidRDefault="00E72F82" w:rsidP="00AC7FC1">
            <w:pPr>
              <w:pStyle w:val="aff0"/>
              <w:spacing w:line="276" w:lineRule="auto"/>
              <w:ind w:firstLine="0"/>
              <w:jc w:val="right"/>
              <w:rPr>
                <w:sz w:val="24"/>
                <w:szCs w:val="24"/>
              </w:rPr>
            </w:pPr>
            <w:r w:rsidRPr="00175E32">
              <w:rPr>
                <w:sz w:val="24"/>
                <w:szCs w:val="24"/>
              </w:rPr>
              <w:t>-681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64014494" w14:textId="77777777" w:rsidR="00E72F82" w:rsidRPr="00175E32" w:rsidRDefault="00E72F82" w:rsidP="00AC7FC1">
            <w:pPr>
              <w:pStyle w:val="aff0"/>
              <w:spacing w:line="276" w:lineRule="auto"/>
              <w:ind w:firstLine="0"/>
              <w:jc w:val="right"/>
              <w:rPr>
                <w:sz w:val="24"/>
                <w:szCs w:val="24"/>
              </w:rPr>
            </w:pPr>
            <w:r w:rsidRPr="00175E32">
              <w:rPr>
                <w:sz w:val="24"/>
                <w:szCs w:val="24"/>
              </w:rPr>
              <w:t>164,6</w:t>
            </w:r>
          </w:p>
        </w:tc>
        <w:tc>
          <w:tcPr>
            <w:tcW w:w="1134" w:type="dxa"/>
            <w:tcBorders>
              <w:top w:val="single" w:sz="4" w:space="0" w:color="auto"/>
              <w:left w:val="single" w:sz="4" w:space="0" w:color="auto"/>
              <w:bottom w:val="single" w:sz="4" w:space="0" w:color="auto"/>
              <w:right w:val="single" w:sz="4" w:space="0" w:color="auto"/>
            </w:tcBorders>
            <w:vAlign w:val="bottom"/>
          </w:tcPr>
          <w:p w14:paraId="1FB0DB87" w14:textId="77777777" w:rsidR="00E72F82" w:rsidRPr="00175E32" w:rsidRDefault="00E72F82" w:rsidP="00AC7FC1">
            <w:pPr>
              <w:pStyle w:val="aff0"/>
              <w:spacing w:line="276" w:lineRule="auto"/>
              <w:ind w:firstLine="0"/>
              <w:jc w:val="right"/>
              <w:rPr>
                <w:sz w:val="24"/>
                <w:szCs w:val="24"/>
              </w:rPr>
            </w:pPr>
            <w:r w:rsidRPr="00175E32">
              <w:rPr>
                <w:sz w:val="24"/>
                <w:szCs w:val="24"/>
              </w:rPr>
              <w:t>-3,1</w:t>
            </w:r>
          </w:p>
        </w:tc>
        <w:tc>
          <w:tcPr>
            <w:tcW w:w="1134" w:type="dxa"/>
            <w:tcBorders>
              <w:top w:val="single" w:sz="4" w:space="0" w:color="auto"/>
              <w:left w:val="single" w:sz="4" w:space="0" w:color="auto"/>
              <w:bottom w:val="single" w:sz="4" w:space="0" w:color="auto"/>
            </w:tcBorders>
            <w:vAlign w:val="bottom"/>
          </w:tcPr>
          <w:p w14:paraId="5EE283E3" w14:textId="77777777" w:rsidR="00E72F82" w:rsidRPr="00175E32" w:rsidRDefault="00E72F82" w:rsidP="00AC7FC1">
            <w:pPr>
              <w:pStyle w:val="aff0"/>
              <w:spacing w:line="276" w:lineRule="auto"/>
              <w:ind w:firstLine="0"/>
              <w:jc w:val="right"/>
              <w:rPr>
                <w:sz w:val="24"/>
                <w:szCs w:val="24"/>
              </w:rPr>
            </w:pPr>
            <w:r w:rsidRPr="00175E32">
              <w:rPr>
                <w:sz w:val="24"/>
                <w:szCs w:val="24"/>
              </w:rPr>
              <w:t>-5,0</w:t>
            </w:r>
          </w:p>
        </w:tc>
      </w:tr>
    </w:tbl>
    <w:p w14:paraId="68F07401" w14:textId="77777777" w:rsidR="00E72F82" w:rsidRPr="00175E32" w:rsidRDefault="00E72F82" w:rsidP="00E72F82">
      <w:pPr>
        <w:pStyle w:val="aff0"/>
        <w:rPr>
          <w:sz w:val="20"/>
        </w:rPr>
      </w:pPr>
      <w:r w:rsidRPr="00175E32">
        <w:rPr>
          <w:sz w:val="20"/>
        </w:rPr>
        <w:t>* на 1000 родившихся.</w:t>
      </w:r>
    </w:p>
    <w:p w14:paraId="6B9F386E" w14:textId="77777777" w:rsidR="00E72F82" w:rsidRPr="00175E32" w:rsidRDefault="00E72F82" w:rsidP="00E72F82">
      <w:pPr>
        <w:pStyle w:val="aff0"/>
        <w:spacing w:line="276" w:lineRule="auto"/>
        <w:rPr>
          <w:sz w:val="24"/>
          <w:szCs w:val="24"/>
        </w:rPr>
      </w:pPr>
      <w:r w:rsidRPr="00175E32">
        <w:rPr>
          <w:sz w:val="24"/>
          <w:szCs w:val="24"/>
        </w:rPr>
        <w:t>В результате роста смертности и снижения рождаемости естественная убыль населения городского округа увеличилась на 681 человека и составила -1735 человек. Общий коэффициент естественной убыли зафиксирован на уровне -5,0 промилле, против -3,1 промилле в 1 полугодии 2019 года.</w:t>
      </w:r>
    </w:p>
    <w:p w14:paraId="5644CDA5" w14:textId="77777777" w:rsidR="00E72F82" w:rsidRPr="00175E32" w:rsidRDefault="00E72F82" w:rsidP="00E72F82">
      <w:pPr>
        <w:spacing w:line="276" w:lineRule="auto"/>
        <w:rPr>
          <w:szCs w:val="24"/>
          <w:lang w:eastAsia="ar-SA"/>
        </w:rPr>
      </w:pPr>
      <w:r w:rsidRPr="00175E32">
        <w:rPr>
          <w:rFonts w:eastAsia="Calibri"/>
          <w:szCs w:val="24"/>
          <w:lang w:eastAsia="ar-SA"/>
        </w:rPr>
        <w:t xml:space="preserve">В рейтинге городских округов Самарской области за январь-июнь 2020 года городской округ Тольятти по естественной убыли населения занял </w:t>
      </w:r>
      <w:r w:rsidR="007D5F6C">
        <w:rPr>
          <w:rFonts w:eastAsia="Calibri"/>
          <w:szCs w:val="24"/>
          <w:lang w:eastAsia="ar-SA"/>
        </w:rPr>
        <w:t>третье</w:t>
      </w:r>
      <w:r w:rsidRPr="00175E32">
        <w:rPr>
          <w:rFonts w:eastAsia="Calibri"/>
          <w:szCs w:val="24"/>
          <w:lang w:eastAsia="ar-SA"/>
        </w:rPr>
        <w:t xml:space="preserve"> место</w:t>
      </w:r>
      <w:r w:rsidR="009069E0">
        <w:rPr>
          <w:rFonts w:eastAsia="Calibri"/>
          <w:szCs w:val="24"/>
          <w:lang w:eastAsia="ar-SA"/>
        </w:rPr>
        <w:t xml:space="preserve"> (-5)</w:t>
      </w:r>
      <w:r w:rsidR="000A3D5D" w:rsidRPr="00175E32">
        <w:rPr>
          <w:rFonts w:eastAsia="Calibri"/>
          <w:szCs w:val="24"/>
          <w:lang w:eastAsia="ar-SA"/>
        </w:rPr>
        <w:t>,</w:t>
      </w:r>
      <w:r w:rsidRPr="00175E32">
        <w:rPr>
          <w:rFonts w:eastAsia="Calibri"/>
          <w:szCs w:val="24"/>
          <w:lang w:eastAsia="ar-SA"/>
        </w:rPr>
        <w:t xml:space="preserve"> </w:t>
      </w:r>
      <w:r w:rsidR="009069E0">
        <w:rPr>
          <w:rFonts w:eastAsia="Calibri"/>
          <w:szCs w:val="24"/>
          <w:lang w:eastAsia="ar-SA"/>
        </w:rPr>
        <w:t xml:space="preserve">снизившись на </w:t>
      </w:r>
      <w:r w:rsidR="007D5F6C">
        <w:rPr>
          <w:rFonts w:eastAsia="Calibri"/>
          <w:szCs w:val="24"/>
          <w:lang w:eastAsia="ar-SA"/>
        </w:rPr>
        <w:t>одну</w:t>
      </w:r>
      <w:r w:rsidR="009069E0">
        <w:rPr>
          <w:rFonts w:eastAsia="Calibri"/>
          <w:szCs w:val="24"/>
          <w:lang w:eastAsia="ar-SA"/>
        </w:rPr>
        <w:t xml:space="preserve"> позицию</w:t>
      </w:r>
      <w:r w:rsidRPr="00175E32">
        <w:rPr>
          <w:rFonts w:eastAsia="Calibri"/>
          <w:szCs w:val="24"/>
          <w:lang w:eastAsia="ar-SA"/>
        </w:rPr>
        <w:t>.</w:t>
      </w:r>
    </w:p>
    <w:p w14:paraId="28920C2F" w14:textId="77777777" w:rsidR="00E72F82" w:rsidRPr="00175E32" w:rsidRDefault="00E72F82" w:rsidP="00E72F82">
      <w:pPr>
        <w:pStyle w:val="aff0"/>
        <w:spacing w:line="276" w:lineRule="auto"/>
        <w:rPr>
          <w:bCs/>
          <w:sz w:val="24"/>
          <w:szCs w:val="24"/>
          <w:lang w:eastAsia="ru-RU"/>
        </w:rPr>
      </w:pPr>
      <w:r w:rsidRPr="00175E32">
        <w:rPr>
          <w:bCs/>
          <w:sz w:val="24"/>
          <w:szCs w:val="24"/>
          <w:lang w:eastAsia="ru-RU"/>
        </w:rPr>
        <w:t xml:space="preserve">Сальдо миграции в городском округе Тольятти сохраняется отрицательным </w:t>
      </w:r>
      <w:r w:rsidRPr="00175E32">
        <w:rPr>
          <w:bCs/>
          <w:sz w:val="24"/>
          <w:szCs w:val="24"/>
          <w:lang w:eastAsia="ru-RU"/>
        </w:rPr>
        <w:br/>
        <w:t>-383 </w:t>
      </w:r>
      <w:r w:rsidRPr="00175E32">
        <w:rPr>
          <w:sz w:val="24"/>
          <w:szCs w:val="24"/>
        </w:rPr>
        <w:t>человека</w:t>
      </w:r>
      <w:r w:rsidRPr="00175E32">
        <w:rPr>
          <w:bCs/>
          <w:sz w:val="24"/>
          <w:szCs w:val="24"/>
          <w:lang w:eastAsia="ru-RU"/>
        </w:rPr>
        <w:t xml:space="preserve">, что на 1015 человек (на 72,6%) меньше уровня показателя 1 полугодия 2019 года (-1398). Данный факт сложился в результате ограничения передвижений, как по </w:t>
      </w:r>
      <w:r w:rsidRPr="00175E32">
        <w:rPr>
          <w:bCs/>
          <w:sz w:val="24"/>
          <w:szCs w:val="24"/>
          <w:lang w:eastAsia="ru-RU"/>
        </w:rPr>
        <w:lastRenderedPageBreak/>
        <w:t>территории Российской Федерации, так и с зарубежными странами.</w:t>
      </w:r>
    </w:p>
    <w:p w14:paraId="05EA275E" w14:textId="77777777" w:rsidR="00E72F82" w:rsidRPr="00175E32" w:rsidRDefault="00E72F82" w:rsidP="00E72F82">
      <w:pPr>
        <w:pStyle w:val="aff0"/>
        <w:spacing w:line="276" w:lineRule="auto"/>
        <w:rPr>
          <w:bCs/>
          <w:sz w:val="24"/>
          <w:szCs w:val="24"/>
          <w:lang w:eastAsia="ru-RU"/>
        </w:rPr>
      </w:pPr>
      <w:r w:rsidRPr="00175E32">
        <w:rPr>
          <w:bCs/>
          <w:sz w:val="24"/>
          <w:szCs w:val="24"/>
          <w:lang w:eastAsia="ru-RU"/>
        </w:rPr>
        <w:t>Таким образом, по итогам 1 полугодия текущего года демографическ</w:t>
      </w:r>
      <w:r w:rsidR="000A3D5D" w:rsidRPr="00175E32">
        <w:rPr>
          <w:bCs/>
          <w:sz w:val="24"/>
          <w:szCs w:val="24"/>
          <w:lang w:eastAsia="ru-RU"/>
        </w:rPr>
        <w:t>ая ситуация</w:t>
      </w:r>
      <w:r w:rsidRPr="00175E32">
        <w:rPr>
          <w:bCs/>
          <w:sz w:val="24"/>
          <w:szCs w:val="24"/>
          <w:lang w:eastAsia="ru-RU"/>
        </w:rPr>
        <w:t xml:space="preserve"> городского округа Тольятти </w:t>
      </w:r>
      <w:r w:rsidR="000A3D5D" w:rsidRPr="00175E32">
        <w:rPr>
          <w:bCs/>
          <w:sz w:val="24"/>
          <w:szCs w:val="24"/>
          <w:lang w:eastAsia="ru-RU"/>
        </w:rPr>
        <w:t xml:space="preserve">характеризуется с одной стороны, </w:t>
      </w:r>
      <w:r w:rsidRPr="00175E32">
        <w:rPr>
          <w:bCs/>
          <w:sz w:val="24"/>
          <w:szCs w:val="24"/>
          <w:lang w:eastAsia="ru-RU"/>
        </w:rPr>
        <w:t>ухудшение</w:t>
      </w:r>
      <w:r w:rsidR="000A3D5D" w:rsidRPr="00175E32">
        <w:rPr>
          <w:bCs/>
          <w:sz w:val="24"/>
          <w:szCs w:val="24"/>
          <w:lang w:eastAsia="ru-RU"/>
        </w:rPr>
        <w:t>м</w:t>
      </w:r>
      <w:r w:rsidRPr="00175E32">
        <w:rPr>
          <w:bCs/>
          <w:sz w:val="24"/>
          <w:szCs w:val="24"/>
          <w:lang w:eastAsia="ru-RU"/>
        </w:rPr>
        <w:t xml:space="preserve"> показателей рождаемости и смертности</w:t>
      </w:r>
      <w:r w:rsidR="000A3D5D" w:rsidRPr="00175E32">
        <w:rPr>
          <w:bCs/>
          <w:sz w:val="24"/>
          <w:szCs w:val="24"/>
          <w:lang w:eastAsia="ru-RU"/>
        </w:rPr>
        <w:t>, с другой – снижением миграционной убыли</w:t>
      </w:r>
      <w:r w:rsidRPr="00175E32">
        <w:rPr>
          <w:bCs/>
          <w:sz w:val="24"/>
          <w:szCs w:val="24"/>
          <w:lang w:eastAsia="ru-RU"/>
        </w:rPr>
        <w:t>.</w:t>
      </w:r>
    </w:p>
    <w:p w14:paraId="02F4EEC9" w14:textId="77777777" w:rsidR="00E72F82" w:rsidRPr="00175E32" w:rsidRDefault="00E72F82" w:rsidP="00E72F82">
      <w:pPr>
        <w:pStyle w:val="230"/>
        <w:keepNext/>
        <w:keepLines/>
        <w:spacing w:before="120" w:line="276" w:lineRule="auto"/>
        <w:ind w:left="0"/>
        <w:jc w:val="center"/>
        <w:rPr>
          <w:bCs/>
          <w:szCs w:val="24"/>
        </w:rPr>
      </w:pPr>
      <w:r w:rsidRPr="00175E32">
        <w:rPr>
          <w:bCs/>
          <w:szCs w:val="24"/>
        </w:rPr>
        <w:t>Ожидаемое выполнение прогнозных показателей в сфере демографии на 2020 год</w:t>
      </w:r>
    </w:p>
    <w:tbl>
      <w:tblPr>
        <w:tblW w:w="0" w:type="auto"/>
        <w:tblInd w:w="108" w:type="dxa"/>
        <w:tblLayout w:type="fixed"/>
        <w:tblLook w:val="0000" w:firstRow="0" w:lastRow="0" w:firstColumn="0" w:lastColumn="0" w:noHBand="0" w:noVBand="0"/>
      </w:tblPr>
      <w:tblGrid>
        <w:gridCol w:w="3544"/>
        <w:gridCol w:w="1559"/>
        <w:gridCol w:w="1559"/>
        <w:gridCol w:w="1418"/>
        <w:gridCol w:w="1275"/>
      </w:tblGrid>
      <w:tr w:rsidR="00E72F82" w:rsidRPr="00175E32" w14:paraId="0407B9A3" w14:textId="77777777" w:rsidTr="00AC7FC1">
        <w:trPr>
          <w:tblHeader/>
        </w:trPr>
        <w:tc>
          <w:tcPr>
            <w:tcW w:w="3544" w:type="dxa"/>
            <w:vMerge w:val="restart"/>
            <w:tcBorders>
              <w:top w:val="single" w:sz="4" w:space="0" w:color="000000"/>
              <w:left w:val="single" w:sz="4" w:space="0" w:color="000000"/>
              <w:bottom w:val="single" w:sz="4" w:space="0" w:color="000000"/>
            </w:tcBorders>
            <w:vAlign w:val="center"/>
          </w:tcPr>
          <w:p w14:paraId="097939E3" w14:textId="77777777" w:rsidR="00E72F82" w:rsidRPr="00175E32" w:rsidRDefault="00E72F82" w:rsidP="00E72F82">
            <w:pPr>
              <w:pStyle w:val="230"/>
              <w:keepNext/>
              <w:keepLines/>
              <w:spacing w:after="0" w:line="240" w:lineRule="auto"/>
              <w:ind w:left="0" w:firstLine="0"/>
              <w:jc w:val="center"/>
              <w:rPr>
                <w:szCs w:val="24"/>
              </w:rPr>
            </w:pPr>
            <w:r w:rsidRPr="00175E32">
              <w:rPr>
                <w:szCs w:val="24"/>
              </w:rPr>
              <w:t>Показатели</w:t>
            </w:r>
          </w:p>
        </w:tc>
        <w:tc>
          <w:tcPr>
            <w:tcW w:w="1559" w:type="dxa"/>
            <w:vMerge w:val="restart"/>
            <w:tcBorders>
              <w:top w:val="single" w:sz="4" w:space="0" w:color="000000"/>
              <w:left w:val="single" w:sz="4" w:space="0" w:color="000000"/>
              <w:bottom w:val="single" w:sz="4" w:space="0" w:color="000000"/>
            </w:tcBorders>
            <w:vAlign w:val="center"/>
          </w:tcPr>
          <w:p w14:paraId="0AAE7B08" w14:textId="77777777" w:rsidR="00E72F82" w:rsidRPr="00175E32" w:rsidRDefault="00E72F82" w:rsidP="00E72F82">
            <w:pPr>
              <w:pStyle w:val="230"/>
              <w:keepNext/>
              <w:keepLines/>
              <w:spacing w:after="0" w:line="240" w:lineRule="auto"/>
              <w:ind w:left="0" w:firstLine="0"/>
              <w:jc w:val="center"/>
              <w:rPr>
                <w:szCs w:val="24"/>
              </w:rPr>
            </w:pPr>
            <w:r w:rsidRPr="00175E32">
              <w:rPr>
                <w:szCs w:val="24"/>
              </w:rPr>
              <w:t>Единица измерения</w:t>
            </w:r>
          </w:p>
        </w:tc>
        <w:tc>
          <w:tcPr>
            <w:tcW w:w="2977" w:type="dxa"/>
            <w:gridSpan w:val="2"/>
            <w:tcBorders>
              <w:top w:val="single" w:sz="4" w:space="0" w:color="000000"/>
              <w:left w:val="single" w:sz="4" w:space="0" w:color="000000"/>
              <w:bottom w:val="single" w:sz="4" w:space="0" w:color="000000"/>
            </w:tcBorders>
            <w:vAlign w:val="center"/>
          </w:tcPr>
          <w:p w14:paraId="62B2A9E7" w14:textId="77777777" w:rsidR="00E72F82" w:rsidRPr="00175E32" w:rsidRDefault="00E72F82" w:rsidP="00E72F82">
            <w:pPr>
              <w:ind w:firstLine="0"/>
              <w:jc w:val="center"/>
              <w:rPr>
                <w:szCs w:val="24"/>
              </w:rPr>
            </w:pPr>
            <w:r w:rsidRPr="00175E32">
              <w:rPr>
                <w:szCs w:val="24"/>
              </w:rPr>
              <w:t>Прогноз на 2020 год</w:t>
            </w:r>
          </w:p>
        </w:tc>
        <w:tc>
          <w:tcPr>
            <w:tcW w:w="1275" w:type="dxa"/>
            <w:vMerge w:val="restart"/>
            <w:tcBorders>
              <w:top w:val="single" w:sz="4" w:space="0" w:color="000000"/>
              <w:left w:val="single" w:sz="4" w:space="0" w:color="000000"/>
              <w:bottom w:val="single" w:sz="4" w:space="0" w:color="000000"/>
              <w:right w:val="single" w:sz="4" w:space="0" w:color="000000"/>
            </w:tcBorders>
            <w:vAlign w:val="center"/>
          </w:tcPr>
          <w:p w14:paraId="7B2CE2DA" w14:textId="77777777" w:rsidR="00E72F82" w:rsidRPr="00175E32" w:rsidRDefault="00E72F82" w:rsidP="00E72F82">
            <w:pPr>
              <w:ind w:firstLine="0"/>
              <w:jc w:val="center"/>
            </w:pPr>
            <w:r w:rsidRPr="00175E32">
              <w:rPr>
                <w:szCs w:val="24"/>
              </w:rPr>
              <w:t>2020 год (оценка)</w:t>
            </w:r>
          </w:p>
        </w:tc>
      </w:tr>
      <w:tr w:rsidR="00E72F82" w:rsidRPr="00175E32" w14:paraId="4C08DCD8" w14:textId="77777777" w:rsidTr="00AC7FC1">
        <w:trPr>
          <w:tblHeader/>
        </w:trPr>
        <w:tc>
          <w:tcPr>
            <w:tcW w:w="3544" w:type="dxa"/>
            <w:vMerge/>
            <w:tcBorders>
              <w:top w:val="single" w:sz="4" w:space="0" w:color="000000"/>
              <w:left w:val="single" w:sz="4" w:space="0" w:color="000000"/>
              <w:bottom w:val="single" w:sz="4" w:space="0" w:color="000000"/>
            </w:tcBorders>
            <w:vAlign w:val="center"/>
          </w:tcPr>
          <w:p w14:paraId="3769602E" w14:textId="77777777" w:rsidR="00E72F82" w:rsidRPr="00175E32" w:rsidRDefault="00E72F82" w:rsidP="00E72F82">
            <w:pPr>
              <w:pStyle w:val="230"/>
              <w:snapToGrid w:val="0"/>
              <w:spacing w:after="0" w:line="240" w:lineRule="auto"/>
              <w:ind w:left="0" w:firstLine="0"/>
              <w:jc w:val="center"/>
              <w:rPr>
                <w:szCs w:val="24"/>
              </w:rPr>
            </w:pPr>
          </w:p>
        </w:tc>
        <w:tc>
          <w:tcPr>
            <w:tcW w:w="1559" w:type="dxa"/>
            <w:vMerge/>
            <w:tcBorders>
              <w:top w:val="single" w:sz="4" w:space="0" w:color="000000"/>
              <w:left w:val="single" w:sz="4" w:space="0" w:color="000000"/>
              <w:bottom w:val="single" w:sz="4" w:space="0" w:color="000000"/>
            </w:tcBorders>
            <w:vAlign w:val="center"/>
          </w:tcPr>
          <w:p w14:paraId="609BA6DE" w14:textId="77777777" w:rsidR="00E72F82" w:rsidRPr="00175E32" w:rsidRDefault="00E72F82" w:rsidP="00E72F82">
            <w:pPr>
              <w:pStyle w:val="230"/>
              <w:snapToGrid w:val="0"/>
              <w:spacing w:after="0" w:line="240" w:lineRule="auto"/>
              <w:ind w:left="0" w:firstLine="0"/>
              <w:jc w:val="center"/>
              <w:rPr>
                <w:szCs w:val="24"/>
              </w:rPr>
            </w:pPr>
          </w:p>
        </w:tc>
        <w:tc>
          <w:tcPr>
            <w:tcW w:w="1559" w:type="dxa"/>
            <w:tcBorders>
              <w:top w:val="single" w:sz="4" w:space="0" w:color="000000"/>
              <w:left w:val="single" w:sz="4" w:space="0" w:color="000000"/>
              <w:bottom w:val="single" w:sz="4" w:space="0" w:color="000000"/>
            </w:tcBorders>
            <w:vAlign w:val="center"/>
          </w:tcPr>
          <w:p w14:paraId="4E5D6A8A" w14:textId="77777777" w:rsidR="00E72F82" w:rsidRPr="00175E32" w:rsidRDefault="00E72F82" w:rsidP="00E72F82">
            <w:pPr>
              <w:ind w:firstLine="0"/>
              <w:jc w:val="center"/>
              <w:rPr>
                <w:szCs w:val="24"/>
              </w:rPr>
            </w:pPr>
            <w:r w:rsidRPr="00175E32">
              <w:rPr>
                <w:szCs w:val="24"/>
              </w:rPr>
              <w:t>консервативный</w:t>
            </w:r>
          </w:p>
        </w:tc>
        <w:tc>
          <w:tcPr>
            <w:tcW w:w="1418" w:type="dxa"/>
            <w:tcBorders>
              <w:top w:val="single" w:sz="4" w:space="0" w:color="000000"/>
              <w:left w:val="single" w:sz="4" w:space="0" w:color="000000"/>
              <w:bottom w:val="single" w:sz="4" w:space="0" w:color="000000"/>
            </w:tcBorders>
            <w:vAlign w:val="center"/>
          </w:tcPr>
          <w:p w14:paraId="70CD0C71" w14:textId="77777777" w:rsidR="00E72F82" w:rsidRPr="00175E32" w:rsidRDefault="00E72F82" w:rsidP="00E72F82">
            <w:pPr>
              <w:ind w:firstLine="0"/>
              <w:jc w:val="center"/>
              <w:rPr>
                <w:szCs w:val="24"/>
              </w:rPr>
            </w:pPr>
            <w:r w:rsidRPr="00175E32">
              <w:rPr>
                <w:szCs w:val="24"/>
              </w:rPr>
              <w:t>базовый</w:t>
            </w:r>
          </w:p>
        </w:tc>
        <w:tc>
          <w:tcPr>
            <w:tcW w:w="1275" w:type="dxa"/>
            <w:vMerge/>
            <w:tcBorders>
              <w:top w:val="single" w:sz="4" w:space="0" w:color="000000"/>
              <w:left w:val="single" w:sz="4" w:space="0" w:color="000000"/>
              <w:bottom w:val="single" w:sz="4" w:space="0" w:color="000000"/>
              <w:right w:val="single" w:sz="4" w:space="0" w:color="000000"/>
            </w:tcBorders>
            <w:vAlign w:val="center"/>
          </w:tcPr>
          <w:p w14:paraId="056342DD" w14:textId="77777777" w:rsidR="00E72F82" w:rsidRPr="00175E32" w:rsidRDefault="00E72F82" w:rsidP="00E72F82">
            <w:pPr>
              <w:pStyle w:val="230"/>
              <w:snapToGrid w:val="0"/>
              <w:spacing w:after="0" w:line="240" w:lineRule="auto"/>
              <w:ind w:left="0" w:firstLine="0"/>
              <w:jc w:val="center"/>
            </w:pPr>
          </w:p>
        </w:tc>
      </w:tr>
      <w:tr w:rsidR="00E72F82" w:rsidRPr="00175E32" w14:paraId="1D078182" w14:textId="77777777" w:rsidTr="00AC7FC1">
        <w:tc>
          <w:tcPr>
            <w:tcW w:w="3544" w:type="dxa"/>
            <w:tcBorders>
              <w:top w:val="single" w:sz="4" w:space="0" w:color="000000"/>
              <w:left w:val="single" w:sz="4" w:space="0" w:color="000000"/>
              <w:bottom w:val="single" w:sz="4" w:space="0" w:color="000000"/>
            </w:tcBorders>
          </w:tcPr>
          <w:p w14:paraId="0B0D2C07" w14:textId="77777777" w:rsidR="00E72F82" w:rsidRPr="00175E32" w:rsidRDefault="00E72F82" w:rsidP="00E72F82">
            <w:pPr>
              <w:pStyle w:val="230"/>
              <w:spacing w:after="0" w:line="240" w:lineRule="auto"/>
              <w:ind w:left="0" w:firstLine="0"/>
              <w:rPr>
                <w:szCs w:val="24"/>
              </w:rPr>
            </w:pPr>
            <w:r w:rsidRPr="00175E32">
              <w:rPr>
                <w:szCs w:val="24"/>
              </w:rPr>
              <w:t>Среднегодовая численность постоянного населения</w:t>
            </w:r>
          </w:p>
        </w:tc>
        <w:tc>
          <w:tcPr>
            <w:tcW w:w="1559" w:type="dxa"/>
            <w:tcBorders>
              <w:top w:val="single" w:sz="4" w:space="0" w:color="000000"/>
              <w:left w:val="single" w:sz="4" w:space="0" w:color="000000"/>
              <w:bottom w:val="single" w:sz="4" w:space="0" w:color="000000"/>
            </w:tcBorders>
            <w:vAlign w:val="center"/>
          </w:tcPr>
          <w:p w14:paraId="135ECF0E" w14:textId="77777777" w:rsidR="00E72F82" w:rsidRPr="00175E32" w:rsidRDefault="00E72F82" w:rsidP="00E72F82">
            <w:pPr>
              <w:pStyle w:val="230"/>
              <w:spacing w:after="0" w:line="240" w:lineRule="auto"/>
              <w:ind w:left="0" w:firstLine="0"/>
              <w:jc w:val="center"/>
              <w:rPr>
                <w:szCs w:val="24"/>
              </w:rPr>
            </w:pPr>
            <w:r w:rsidRPr="00175E32">
              <w:rPr>
                <w:szCs w:val="24"/>
              </w:rPr>
              <w:t>тыс. человек</w:t>
            </w:r>
          </w:p>
        </w:tc>
        <w:tc>
          <w:tcPr>
            <w:tcW w:w="1559" w:type="dxa"/>
            <w:tcBorders>
              <w:top w:val="single" w:sz="4" w:space="0" w:color="000000"/>
              <w:left w:val="single" w:sz="4" w:space="0" w:color="000000"/>
              <w:bottom w:val="single" w:sz="4" w:space="0" w:color="000000"/>
            </w:tcBorders>
            <w:vAlign w:val="bottom"/>
          </w:tcPr>
          <w:p w14:paraId="3739FCA4" w14:textId="77777777" w:rsidR="00E72F82" w:rsidRPr="00175E32" w:rsidRDefault="00E72F82" w:rsidP="009069E0">
            <w:pPr>
              <w:pStyle w:val="230"/>
              <w:spacing w:after="0" w:line="240" w:lineRule="auto"/>
              <w:ind w:left="0" w:firstLine="0"/>
              <w:jc w:val="center"/>
              <w:rPr>
                <w:szCs w:val="24"/>
              </w:rPr>
            </w:pPr>
            <w:r w:rsidRPr="00175E32">
              <w:rPr>
                <w:szCs w:val="24"/>
              </w:rPr>
              <w:t>694,6</w:t>
            </w:r>
          </w:p>
        </w:tc>
        <w:tc>
          <w:tcPr>
            <w:tcW w:w="1418" w:type="dxa"/>
            <w:tcBorders>
              <w:top w:val="single" w:sz="4" w:space="0" w:color="000000"/>
              <w:left w:val="single" w:sz="4" w:space="0" w:color="000000"/>
              <w:bottom w:val="single" w:sz="4" w:space="0" w:color="000000"/>
            </w:tcBorders>
            <w:vAlign w:val="bottom"/>
          </w:tcPr>
          <w:p w14:paraId="469DEE07" w14:textId="77777777" w:rsidR="00E72F82" w:rsidRPr="00175E32" w:rsidRDefault="00E72F82" w:rsidP="009069E0">
            <w:pPr>
              <w:pStyle w:val="230"/>
              <w:spacing w:after="0" w:line="240" w:lineRule="auto"/>
              <w:ind w:left="0" w:firstLine="0"/>
              <w:jc w:val="center"/>
              <w:rPr>
                <w:szCs w:val="24"/>
              </w:rPr>
            </w:pPr>
            <w:r w:rsidRPr="00175E32">
              <w:rPr>
                <w:szCs w:val="24"/>
              </w:rPr>
              <w:t>695,3</w:t>
            </w:r>
          </w:p>
        </w:tc>
        <w:tc>
          <w:tcPr>
            <w:tcW w:w="1275" w:type="dxa"/>
            <w:tcBorders>
              <w:top w:val="single" w:sz="4" w:space="0" w:color="000000"/>
              <w:left w:val="single" w:sz="4" w:space="0" w:color="000000"/>
              <w:bottom w:val="single" w:sz="4" w:space="0" w:color="000000"/>
              <w:right w:val="single" w:sz="4" w:space="0" w:color="000000"/>
            </w:tcBorders>
            <w:vAlign w:val="bottom"/>
          </w:tcPr>
          <w:p w14:paraId="33C16334" w14:textId="77777777" w:rsidR="00E72F82" w:rsidRPr="00175E32" w:rsidRDefault="00E72F82" w:rsidP="009069E0">
            <w:pPr>
              <w:pStyle w:val="230"/>
              <w:spacing w:after="0" w:line="240" w:lineRule="auto"/>
              <w:ind w:left="0" w:firstLine="0"/>
              <w:jc w:val="center"/>
              <w:rPr>
                <w:szCs w:val="24"/>
              </w:rPr>
            </w:pPr>
            <w:r w:rsidRPr="00175E32">
              <w:rPr>
                <w:szCs w:val="24"/>
              </w:rPr>
              <w:t>697,6</w:t>
            </w:r>
          </w:p>
        </w:tc>
      </w:tr>
      <w:tr w:rsidR="00E72F82" w:rsidRPr="00175E32" w14:paraId="55E45751" w14:textId="77777777" w:rsidTr="00AC7FC1">
        <w:tc>
          <w:tcPr>
            <w:tcW w:w="3544" w:type="dxa"/>
            <w:tcBorders>
              <w:top w:val="single" w:sz="4" w:space="0" w:color="000000"/>
              <w:left w:val="single" w:sz="4" w:space="0" w:color="000000"/>
              <w:bottom w:val="single" w:sz="4" w:space="0" w:color="000000"/>
            </w:tcBorders>
          </w:tcPr>
          <w:p w14:paraId="440013DF" w14:textId="77777777" w:rsidR="00E72F82" w:rsidRPr="00175E32" w:rsidRDefault="00E72F82" w:rsidP="00E72F82">
            <w:pPr>
              <w:pStyle w:val="230"/>
              <w:spacing w:after="0" w:line="240" w:lineRule="auto"/>
              <w:ind w:left="0" w:firstLine="0"/>
              <w:rPr>
                <w:szCs w:val="24"/>
              </w:rPr>
            </w:pPr>
            <w:r w:rsidRPr="00175E32">
              <w:rPr>
                <w:szCs w:val="24"/>
              </w:rPr>
              <w:t>Естественный прирост (убыль)</w:t>
            </w:r>
          </w:p>
        </w:tc>
        <w:tc>
          <w:tcPr>
            <w:tcW w:w="1559" w:type="dxa"/>
            <w:tcBorders>
              <w:top w:val="single" w:sz="4" w:space="0" w:color="000000"/>
              <w:left w:val="single" w:sz="4" w:space="0" w:color="000000"/>
              <w:bottom w:val="single" w:sz="4" w:space="0" w:color="000000"/>
            </w:tcBorders>
            <w:vAlign w:val="center"/>
          </w:tcPr>
          <w:p w14:paraId="52071BF7" w14:textId="77777777" w:rsidR="00E72F82" w:rsidRPr="00175E32" w:rsidRDefault="00E72F82" w:rsidP="00E72F82">
            <w:pPr>
              <w:pStyle w:val="230"/>
              <w:spacing w:after="0" w:line="240" w:lineRule="auto"/>
              <w:ind w:left="0" w:firstLine="0"/>
              <w:jc w:val="center"/>
              <w:rPr>
                <w:szCs w:val="24"/>
              </w:rPr>
            </w:pPr>
            <w:r w:rsidRPr="00175E32">
              <w:rPr>
                <w:szCs w:val="24"/>
              </w:rPr>
              <w:t>тыс. человек</w:t>
            </w:r>
          </w:p>
        </w:tc>
        <w:tc>
          <w:tcPr>
            <w:tcW w:w="1559" w:type="dxa"/>
            <w:tcBorders>
              <w:top w:val="single" w:sz="4" w:space="0" w:color="000000"/>
              <w:left w:val="single" w:sz="4" w:space="0" w:color="000000"/>
              <w:bottom w:val="single" w:sz="4" w:space="0" w:color="000000"/>
            </w:tcBorders>
            <w:vAlign w:val="bottom"/>
          </w:tcPr>
          <w:p w14:paraId="75C8B748" w14:textId="77777777" w:rsidR="00E72F82" w:rsidRPr="00175E32" w:rsidRDefault="00E72F82" w:rsidP="009069E0">
            <w:pPr>
              <w:pStyle w:val="230"/>
              <w:spacing w:after="0" w:line="240" w:lineRule="auto"/>
              <w:ind w:left="0" w:firstLine="0"/>
              <w:jc w:val="center"/>
              <w:rPr>
                <w:szCs w:val="24"/>
              </w:rPr>
            </w:pPr>
            <w:r w:rsidRPr="00175E32">
              <w:rPr>
                <w:szCs w:val="24"/>
              </w:rPr>
              <w:t>-2,1</w:t>
            </w:r>
          </w:p>
        </w:tc>
        <w:tc>
          <w:tcPr>
            <w:tcW w:w="1418" w:type="dxa"/>
            <w:tcBorders>
              <w:top w:val="single" w:sz="4" w:space="0" w:color="000000"/>
              <w:left w:val="single" w:sz="4" w:space="0" w:color="000000"/>
              <w:bottom w:val="single" w:sz="4" w:space="0" w:color="000000"/>
            </w:tcBorders>
            <w:vAlign w:val="bottom"/>
          </w:tcPr>
          <w:p w14:paraId="302C3C38" w14:textId="77777777" w:rsidR="00E72F82" w:rsidRPr="00175E32" w:rsidRDefault="00E72F82" w:rsidP="009069E0">
            <w:pPr>
              <w:pStyle w:val="230"/>
              <w:spacing w:after="0" w:line="240" w:lineRule="auto"/>
              <w:ind w:left="0" w:firstLine="0"/>
              <w:jc w:val="center"/>
              <w:rPr>
                <w:szCs w:val="24"/>
              </w:rPr>
            </w:pPr>
            <w:r w:rsidRPr="00175E32">
              <w:rPr>
                <w:szCs w:val="24"/>
              </w:rPr>
              <w:t>-1,7</w:t>
            </w:r>
          </w:p>
        </w:tc>
        <w:tc>
          <w:tcPr>
            <w:tcW w:w="1275" w:type="dxa"/>
            <w:tcBorders>
              <w:top w:val="single" w:sz="4" w:space="0" w:color="000000"/>
              <w:left w:val="single" w:sz="4" w:space="0" w:color="000000"/>
              <w:bottom w:val="single" w:sz="4" w:space="0" w:color="000000"/>
              <w:right w:val="single" w:sz="4" w:space="0" w:color="000000"/>
            </w:tcBorders>
            <w:vAlign w:val="bottom"/>
          </w:tcPr>
          <w:p w14:paraId="2C0EFBF3" w14:textId="77777777" w:rsidR="00E72F82" w:rsidRPr="00175E32" w:rsidRDefault="00E72F82" w:rsidP="009069E0">
            <w:pPr>
              <w:pStyle w:val="230"/>
              <w:spacing w:after="0" w:line="240" w:lineRule="auto"/>
              <w:ind w:left="0" w:firstLine="0"/>
              <w:jc w:val="center"/>
              <w:rPr>
                <w:szCs w:val="24"/>
              </w:rPr>
            </w:pPr>
            <w:r w:rsidRPr="00175E32">
              <w:rPr>
                <w:szCs w:val="24"/>
              </w:rPr>
              <w:t>-3,2</w:t>
            </w:r>
          </w:p>
        </w:tc>
      </w:tr>
      <w:tr w:rsidR="00E72F82" w:rsidRPr="00175E32" w14:paraId="042E2CE0" w14:textId="77777777" w:rsidTr="00AC7FC1">
        <w:tc>
          <w:tcPr>
            <w:tcW w:w="3544" w:type="dxa"/>
            <w:tcBorders>
              <w:top w:val="single" w:sz="4" w:space="0" w:color="000000"/>
              <w:left w:val="single" w:sz="4" w:space="0" w:color="000000"/>
              <w:bottom w:val="single" w:sz="4" w:space="0" w:color="000000"/>
            </w:tcBorders>
          </w:tcPr>
          <w:p w14:paraId="33F6A78D" w14:textId="77777777" w:rsidR="00E72F82" w:rsidRPr="00175E32" w:rsidRDefault="00E72F82" w:rsidP="00E72F82">
            <w:pPr>
              <w:pStyle w:val="230"/>
              <w:spacing w:after="0" w:line="240" w:lineRule="auto"/>
              <w:ind w:left="0" w:firstLine="0"/>
              <w:rPr>
                <w:szCs w:val="24"/>
              </w:rPr>
            </w:pPr>
            <w:r w:rsidRPr="00175E32">
              <w:rPr>
                <w:szCs w:val="24"/>
              </w:rPr>
              <w:t>Миграционный прирост (убыль)</w:t>
            </w:r>
          </w:p>
        </w:tc>
        <w:tc>
          <w:tcPr>
            <w:tcW w:w="1559" w:type="dxa"/>
            <w:tcBorders>
              <w:top w:val="single" w:sz="4" w:space="0" w:color="000000"/>
              <w:left w:val="single" w:sz="4" w:space="0" w:color="000000"/>
              <w:bottom w:val="single" w:sz="4" w:space="0" w:color="000000"/>
            </w:tcBorders>
            <w:vAlign w:val="center"/>
          </w:tcPr>
          <w:p w14:paraId="18869FFF" w14:textId="77777777" w:rsidR="00E72F82" w:rsidRPr="00175E32" w:rsidRDefault="00E72F82" w:rsidP="00E72F82">
            <w:pPr>
              <w:pStyle w:val="230"/>
              <w:spacing w:after="0" w:line="240" w:lineRule="auto"/>
              <w:ind w:left="0" w:firstLine="0"/>
              <w:jc w:val="center"/>
              <w:rPr>
                <w:szCs w:val="24"/>
              </w:rPr>
            </w:pPr>
            <w:r w:rsidRPr="00175E32">
              <w:rPr>
                <w:szCs w:val="24"/>
              </w:rPr>
              <w:t>тыс. человек</w:t>
            </w:r>
          </w:p>
        </w:tc>
        <w:tc>
          <w:tcPr>
            <w:tcW w:w="1559" w:type="dxa"/>
            <w:tcBorders>
              <w:top w:val="single" w:sz="4" w:space="0" w:color="000000"/>
              <w:left w:val="single" w:sz="4" w:space="0" w:color="000000"/>
              <w:bottom w:val="single" w:sz="4" w:space="0" w:color="000000"/>
            </w:tcBorders>
            <w:vAlign w:val="bottom"/>
          </w:tcPr>
          <w:p w14:paraId="7FB4AFF5" w14:textId="77777777" w:rsidR="00E72F82" w:rsidRPr="00175E32" w:rsidRDefault="00E72F82" w:rsidP="009069E0">
            <w:pPr>
              <w:pStyle w:val="230"/>
              <w:spacing w:after="0" w:line="240" w:lineRule="auto"/>
              <w:ind w:left="0" w:firstLine="0"/>
              <w:jc w:val="center"/>
              <w:rPr>
                <w:szCs w:val="24"/>
              </w:rPr>
            </w:pPr>
            <w:r w:rsidRPr="00175E32">
              <w:rPr>
                <w:szCs w:val="24"/>
              </w:rPr>
              <w:t>-3,0</w:t>
            </w:r>
          </w:p>
        </w:tc>
        <w:tc>
          <w:tcPr>
            <w:tcW w:w="1418" w:type="dxa"/>
            <w:tcBorders>
              <w:top w:val="single" w:sz="4" w:space="0" w:color="000000"/>
              <w:left w:val="single" w:sz="4" w:space="0" w:color="000000"/>
              <w:bottom w:val="single" w:sz="4" w:space="0" w:color="000000"/>
            </w:tcBorders>
            <w:vAlign w:val="bottom"/>
          </w:tcPr>
          <w:p w14:paraId="51CF3E4B" w14:textId="77777777" w:rsidR="00E72F82" w:rsidRPr="00175E32" w:rsidRDefault="00E72F82" w:rsidP="009069E0">
            <w:pPr>
              <w:pStyle w:val="230"/>
              <w:spacing w:after="0" w:line="240" w:lineRule="auto"/>
              <w:ind w:left="0" w:firstLine="0"/>
              <w:jc w:val="center"/>
              <w:rPr>
                <w:szCs w:val="24"/>
              </w:rPr>
            </w:pPr>
            <w:r w:rsidRPr="00175E32">
              <w:rPr>
                <w:szCs w:val="24"/>
              </w:rPr>
              <w:t>-2,0</w:t>
            </w:r>
          </w:p>
        </w:tc>
        <w:tc>
          <w:tcPr>
            <w:tcW w:w="1275" w:type="dxa"/>
            <w:tcBorders>
              <w:top w:val="single" w:sz="4" w:space="0" w:color="000000"/>
              <w:left w:val="single" w:sz="4" w:space="0" w:color="000000"/>
              <w:bottom w:val="single" w:sz="4" w:space="0" w:color="000000"/>
              <w:right w:val="single" w:sz="4" w:space="0" w:color="000000"/>
            </w:tcBorders>
            <w:vAlign w:val="bottom"/>
          </w:tcPr>
          <w:p w14:paraId="1695997E" w14:textId="77777777" w:rsidR="00E72F82" w:rsidRPr="00175E32" w:rsidRDefault="00E72F82" w:rsidP="009069E0">
            <w:pPr>
              <w:pStyle w:val="230"/>
              <w:spacing w:after="0" w:line="240" w:lineRule="auto"/>
              <w:ind w:left="0" w:firstLine="0"/>
              <w:jc w:val="center"/>
              <w:rPr>
                <w:szCs w:val="24"/>
              </w:rPr>
            </w:pPr>
            <w:r w:rsidRPr="00175E32">
              <w:rPr>
                <w:szCs w:val="24"/>
              </w:rPr>
              <w:t>-0,5</w:t>
            </w:r>
          </w:p>
        </w:tc>
      </w:tr>
    </w:tbl>
    <w:p w14:paraId="7A7C4664" w14:textId="77777777" w:rsidR="00E72F82" w:rsidRPr="00175E32" w:rsidRDefault="00E72F82" w:rsidP="00E72F82">
      <w:pPr>
        <w:pStyle w:val="aff0"/>
        <w:spacing w:line="276" w:lineRule="auto"/>
        <w:rPr>
          <w:sz w:val="24"/>
          <w:szCs w:val="24"/>
        </w:rPr>
      </w:pPr>
    </w:p>
    <w:p w14:paraId="0CA5734D" w14:textId="77777777" w:rsidR="005C523D" w:rsidRPr="00175E32" w:rsidRDefault="005C523D" w:rsidP="005C523D">
      <w:pPr>
        <w:pStyle w:val="aff0"/>
        <w:spacing w:line="276" w:lineRule="auto"/>
        <w:rPr>
          <w:sz w:val="24"/>
          <w:szCs w:val="24"/>
        </w:rPr>
      </w:pPr>
      <w:r w:rsidRPr="00175E32">
        <w:rPr>
          <w:sz w:val="24"/>
          <w:szCs w:val="24"/>
        </w:rPr>
        <w:t xml:space="preserve">Исходя из динамики показателей, сложившейся в текущем году, </w:t>
      </w:r>
      <w:r w:rsidR="002754E7" w:rsidRPr="00175E32">
        <w:rPr>
          <w:sz w:val="24"/>
          <w:szCs w:val="24"/>
        </w:rPr>
        <w:t>скорректирована в</w:t>
      </w:r>
      <w:r w:rsidRPr="00175E32">
        <w:rPr>
          <w:sz w:val="24"/>
          <w:szCs w:val="24"/>
        </w:rPr>
        <w:t xml:space="preserve"> сторону снижения миграционная убыль, которая за 2020</w:t>
      </w:r>
      <w:r w:rsidR="008A1EBE">
        <w:rPr>
          <w:sz w:val="24"/>
          <w:szCs w:val="24"/>
        </w:rPr>
        <w:t xml:space="preserve"> год оценивается на уровне </w:t>
      </w:r>
      <w:r w:rsidR="008A1EBE">
        <w:rPr>
          <w:sz w:val="24"/>
          <w:szCs w:val="24"/>
        </w:rPr>
        <w:br/>
        <w:t>-0,5 </w:t>
      </w:r>
      <w:r w:rsidRPr="00175E32">
        <w:rPr>
          <w:sz w:val="24"/>
          <w:szCs w:val="24"/>
        </w:rPr>
        <w:t>тыс. человек (в 2019 году составила -1,6 тыс. человек).</w:t>
      </w:r>
    </w:p>
    <w:p w14:paraId="424505F2" w14:textId="77777777" w:rsidR="005C523D" w:rsidRPr="00175E32" w:rsidRDefault="005C523D" w:rsidP="005C523D">
      <w:pPr>
        <w:pStyle w:val="230"/>
        <w:spacing w:after="0" w:line="276" w:lineRule="auto"/>
        <w:ind w:left="0"/>
        <w:rPr>
          <w:szCs w:val="24"/>
        </w:rPr>
      </w:pPr>
      <w:r w:rsidRPr="00175E32">
        <w:rPr>
          <w:szCs w:val="24"/>
        </w:rPr>
        <w:t xml:space="preserve">Естественная убыль, напротив, увеличится до -3,2 </w:t>
      </w:r>
      <w:r w:rsidR="008A1EBE">
        <w:rPr>
          <w:szCs w:val="24"/>
        </w:rPr>
        <w:t xml:space="preserve">тыс. человек (в 2019 году </w:t>
      </w:r>
      <w:r w:rsidR="008A1EBE">
        <w:rPr>
          <w:szCs w:val="24"/>
        </w:rPr>
        <w:br/>
        <w:t>-1,8 </w:t>
      </w:r>
      <w:r w:rsidRPr="00175E32">
        <w:rPr>
          <w:szCs w:val="24"/>
        </w:rPr>
        <w:t xml:space="preserve">тыс. человек) за счет ухудшения показателей рождаемости и смертности. Численность родившихся снизится до 5,5 тыс. человек, а численность умерших </w:t>
      </w:r>
      <w:r w:rsidR="008A1EBE">
        <w:rPr>
          <w:szCs w:val="24"/>
        </w:rPr>
        <w:t>составит, по оценке, 8,7 </w:t>
      </w:r>
      <w:r w:rsidRPr="00175E32">
        <w:rPr>
          <w:szCs w:val="24"/>
        </w:rPr>
        <w:t xml:space="preserve">тыс. человек. </w:t>
      </w:r>
    </w:p>
    <w:p w14:paraId="6D01FEDC" w14:textId="77777777" w:rsidR="005C523D" w:rsidRPr="00175E32" w:rsidRDefault="005C523D" w:rsidP="005C523D">
      <w:pPr>
        <w:pStyle w:val="af5"/>
        <w:spacing w:line="276" w:lineRule="auto"/>
        <w:ind w:right="0" w:firstLine="709"/>
        <w:rPr>
          <w:szCs w:val="24"/>
        </w:rPr>
      </w:pPr>
      <w:r w:rsidRPr="00175E32">
        <w:rPr>
          <w:szCs w:val="24"/>
        </w:rPr>
        <w:t>Таким образом, с учетом сложившейся естественной и миграционной убыли, среднегодовая численность населения городского округа Тольятти, по оценке, в 2020 году составит 697,6 тыс. человек, что на 0,3% больше значения базового варианта прогноза, рассчитанного в предыдущем году.</w:t>
      </w:r>
    </w:p>
    <w:p w14:paraId="009B37FC" w14:textId="77777777" w:rsidR="00E72F82" w:rsidRPr="00175E32" w:rsidRDefault="00E72F82" w:rsidP="00E72F82">
      <w:pPr>
        <w:spacing w:line="276" w:lineRule="auto"/>
        <w:rPr>
          <w:szCs w:val="24"/>
        </w:rPr>
      </w:pPr>
      <w:r w:rsidRPr="00175E32">
        <w:rPr>
          <w:szCs w:val="24"/>
        </w:rPr>
        <w:t>Доля численности трудовых ресурсов в общей численности населения городского округа Тольятти по оценке за 2019 год составила 63,3% (в 2018 году – 63,2%).</w:t>
      </w:r>
    </w:p>
    <w:p w14:paraId="5DBF6DFA" w14:textId="77777777" w:rsidR="00E72F82" w:rsidRPr="00175E32" w:rsidRDefault="00E72F82" w:rsidP="00E72F82">
      <w:pPr>
        <w:shd w:val="clear" w:color="auto" w:fill="FFFFFF"/>
        <w:spacing w:line="276" w:lineRule="auto"/>
        <w:rPr>
          <w:szCs w:val="24"/>
        </w:rPr>
      </w:pPr>
      <w:r w:rsidRPr="00175E32">
        <w:rPr>
          <w:szCs w:val="24"/>
        </w:rPr>
        <w:t xml:space="preserve">Численность занятых в экономике по итогам 2019 года </w:t>
      </w:r>
      <w:r w:rsidR="00B60A69" w:rsidRPr="00175E32">
        <w:rPr>
          <w:szCs w:val="24"/>
        </w:rPr>
        <w:t>составила</w:t>
      </w:r>
      <w:r w:rsidR="008A1EBE">
        <w:rPr>
          <w:szCs w:val="24"/>
        </w:rPr>
        <w:t xml:space="preserve"> 363,6 тыс. </w:t>
      </w:r>
      <w:r w:rsidRPr="00175E32">
        <w:rPr>
          <w:szCs w:val="24"/>
        </w:rPr>
        <w:t>человек, что на 0,4 </w:t>
      </w:r>
      <w:r w:rsidRPr="00175E32">
        <w:t>тыс.</w:t>
      </w:r>
      <w:r w:rsidRPr="00175E32">
        <w:rPr>
          <w:szCs w:val="24"/>
        </w:rPr>
        <w:t> </w:t>
      </w:r>
      <w:r w:rsidRPr="00175E32">
        <w:t>человек (0,1%)</w:t>
      </w:r>
      <w:r w:rsidRPr="00175E32">
        <w:rPr>
          <w:szCs w:val="24"/>
        </w:rPr>
        <w:t xml:space="preserve"> меньше 2018 года. Снижение данного показателя обусловлено, прежде всего, сокращением численности населения трудоспособного возраста.</w:t>
      </w:r>
    </w:p>
    <w:p w14:paraId="13EAE8D7" w14:textId="77777777" w:rsidR="00E72F82" w:rsidRPr="00175E32" w:rsidRDefault="00E72F82" w:rsidP="009069E0">
      <w:pPr>
        <w:shd w:val="clear" w:color="auto" w:fill="FFFFFF"/>
        <w:spacing w:line="276" w:lineRule="auto"/>
        <w:rPr>
          <w:szCs w:val="24"/>
        </w:rPr>
      </w:pPr>
      <w:r w:rsidRPr="00175E32">
        <w:rPr>
          <w:szCs w:val="24"/>
        </w:rPr>
        <w:t xml:space="preserve">Менее половины </w:t>
      </w:r>
      <w:r w:rsidRPr="00175E32">
        <w:t>(</w:t>
      </w:r>
      <w:r w:rsidRPr="00175E32">
        <w:rPr>
          <w:szCs w:val="24"/>
        </w:rPr>
        <w:t>42,8</w:t>
      </w:r>
      <w:r w:rsidRPr="00175E32">
        <w:t>%)</w:t>
      </w:r>
      <w:r w:rsidRPr="00175E32">
        <w:rPr>
          <w:szCs w:val="24"/>
        </w:rPr>
        <w:t xml:space="preserve"> заняты на предприятиях, не относящимся к субъектам малого предпринимательства.</w:t>
      </w:r>
      <w:r w:rsidR="009069E0">
        <w:rPr>
          <w:szCs w:val="24"/>
        </w:rPr>
        <w:t xml:space="preserve"> </w:t>
      </w:r>
      <w:r w:rsidRPr="00175E32">
        <w:rPr>
          <w:bCs/>
          <w:szCs w:val="24"/>
        </w:rPr>
        <w:t>В текущем году с</w:t>
      </w:r>
      <w:r w:rsidRPr="00175E32">
        <w:rPr>
          <w:szCs w:val="24"/>
        </w:rPr>
        <w:t xml:space="preserve">реднесписочная численность </w:t>
      </w:r>
      <w:r w:rsidRPr="00175E32">
        <w:rPr>
          <w:bCs/>
          <w:szCs w:val="24"/>
        </w:rPr>
        <w:t>работников организаций</w:t>
      </w:r>
      <w:r w:rsidRPr="00175E32">
        <w:rPr>
          <w:szCs w:val="24"/>
        </w:rPr>
        <w:t>, не относящихся к субъектам малого предпринимательства,</w:t>
      </w:r>
      <w:r w:rsidRPr="00175E32">
        <w:rPr>
          <w:bCs/>
          <w:szCs w:val="24"/>
        </w:rPr>
        <w:t xml:space="preserve"> продолжает снижаться:</w:t>
      </w:r>
      <w:r w:rsidRPr="00175E32">
        <w:rPr>
          <w:szCs w:val="24"/>
        </w:rPr>
        <w:t xml:space="preserve"> по итогам 1 полугодия 2020 года относительно показателя предыдущего года уменьшилась на 1,4% и составила 152,7 тыс. человек. Значительного сокращения работников в период жестких мер ограничительного характера, введенных в связи с пандемией коронавируса, удалось избежать за счет применения работодателями гибких режимов занятости сотрудников.</w:t>
      </w:r>
    </w:p>
    <w:p w14:paraId="35F336F4" w14:textId="77777777" w:rsidR="00E72F82" w:rsidRPr="00175E32" w:rsidRDefault="00E72F82" w:rsidP="00035AF4">
      <w:pPr>
        <w:pStyle w:val="aff0"/>
        <w:spacing w:line="276" w:lineRule="auto"/>
        <w:rPr>
          <w:sz w:val="24"/>
          <w:szCs w:val="24"/>
        </w:rPr>
      </w:pPr>
      <w:r w:rsidRPr="00175E32">
        <w:rPr>
          <w:sz w:val="24"/>
          <w:szCs w:val="24"/>
        </w:rPr>
        <w:t>Наиболее значительное уменьшение персонала произошло на предприятиях, предоставляющих прочие виды услуг – на 11,4%, осуществляющих водоснабжение, водоотведение – на 9,8%, в гостиницах и предприятиях общественного питания – на 9,3%, на предприятиях, осуществляющих транспортировку и хранение – на 9,2%. На предприятиях обрабатывающих производств численность работников уменьшилась на 4,7% или 3,2 тыс. человек.</w:t>
      </w:r>
    </w:p>
    <w:p w14:paraId="4E9006FB" w14:textId="77777777" w:rsidR="00E72F82" w:rsidRPr="00175E32" w:rsidRDefault="00E72F82" w:rsidP="00035AF4">
      <w:pPr>
        <w:pStyle w:val="aff0"/>
        <w:spacing w:line="276" w:lineRule="auto"/>
        <w:rPr>
          <w:sz w:val="24"/>
          <w:szCs w:val="24"/>
        </w:rPr>
      </w:pPr>
      <w:r w:rsidRPr="00175E32">
        <w:rPr>
          <w:sz w:val="24"/>
          <w:szCs w:val="24"/>
        </w:rPr>
        <w:lastRenderedPageBreak/>
        <w:t xml:space="preserve">Наибольший прирост численности работников в </w:t>
      </w:r>
      <w:r w:rsidR="009069E0">
        <w:rPr>
          <w:sz w:val="24"/>
          <w:szCs w:val="24"/>
        </w:rPr>
        <w:t>1 полугодии 2020 года</w:t>
      </w:r>
      <w:r w:rsidRPr="00175E32">
        <w:rPr>
          <w:sz w:val="24"/>
          <w:szCs w:val="24"/>
        </w:rPr>
        <w:t xml:space="preserve"> относительно предыдущего года отмечается в строительных организациях – на 26,4%, в организациях, осуществляющих деятельность в области информации и связи – на 15,2%.</w:t>
      </w:r>
    </w:p>
    <w:p w14:paraId="0668AAF2" w14:textId="77777777" w:rsidR="006059E1" w:rsidRDefault="00E72F82" w:rsidP="00035AF4">
      <w:pPr>
        <w:pStyle w:val="afb"/>
        <w:numPr>
          <w:ilvl w:val="0"/>
          <w:numId w:val="5"/>
        </w:numPr>
        <w:tabs>
          <w:tab w:val="clear" w:pos="0"/>
          <w:tab w:val="num" w:pos="432"/>
        </w:tabs>
        <w:suppressAutoHyphens w:val="0"/>
        <w:spacing w:line="276" w:lineRule="auto"/>
        <w:ind w:left="0" w:firstLine="709"/>
        <w:contextualSpacing/>
        <w:textAlignment w:val="top"/>
        <w:rPr>
          <w:szCs w:val="24"/>
          <w:lang w:eastAsia="ru-RU"/>
        </w:rPr>
      </w:pPr>
      <w:r w:rsidRPr="00175E32">
        <w:rPr>
          <w:szCs w:val="24"/>
        </w:rPr>
        <w:t>С начала периода объявленных нерабочих дней размеры официальной безработицы выросли в 4,6 раза. По данным ГКУ СО «Центр занятости населения городского округа Тольятти» (далее по разделу – Центр занятости населения) численность зарегистрированных безработных граждан по состоянию на</w:t>
      </w:r>
      <w:r w:rsidR="008A1EBE">
        <w:rPr>
          <w:szCs w:val="24"/>
        </w:rPr>
        <w:t xml:space="preserve"> 01.07.2020 составила 16,0 тыс. </w:t>
      </w:r>
      <w:r w:rsidRPr="00175E32">
        <w:rPr>
          <w:szCs w:val="24"/>
        </w:rPr>
        <w:t>челов</w:t>
      </w:r>
      <w:r w:rsidR="006059E1">
        <w:rPr>
          <w:szCs w:val="24"/>
        </w:rPr>
        <w:t>ек (на 01.04.2020 года 3,4 тыс. </w:t>
      </w:r>
      <w:r w:rsidRPr="00175E32">
        <w:rPr>
          <w:szCs w:val="24"/>
        </w:rPr>
        <w:t>чел</w:t>
      </w:r>
      <w:r w:rsidR="006059E1">
        <w:rPr>
          <w:szCs w:val="24"/>
        </w:rPr>
        <w:t>овек</w:t>
      </w:r>
      <w:r w:rsidRPr="00175E32">
        <w:rPr>
          <w:szCs w:val="24"/>
        </w:rPr>
        <w:t xml:space="preserve">), уровень безработицы относительно показателя предыдущего года вырос на 3,14 </w:t>
      </w:r>
      <w:r w:rsidR="006059E1">
        <w:rPr>
          <w:szCs w:val="24"/>
        </w:rPr>
        <w:t>процентных пункта</w:t>
      </w:r>
      <w:r w:rsidRPr="00175E32">
        <w:rPr>
          <w:szCs w:val="24"/>
        </w:rPr>
        <w:t xml:space="preserve"> и составил 4,04% (по Самарской области – 3,3%). По отношению к началу 2020 года данный показатель увеличился в 4,9 раза. Среди городских округов Самарской области городской округ Тольятти по состоянию на 01.07.2020 занял </w:t>
      </w:r>
      <w:r w:rsidR="007D5F6C">
        <w:rPr>
          <w:szCs w:val="24"/>
        </w:rPr>
        <w:t>десятое</w:t>
      </w:r>
      <w:r w:rsidRPr="00175E32">
        <w:rPr>
          <w:szCs w:val="24"/>
        </w:rPr>
        <w:t xml:space="preserve"> место (на 01.07.2019 – пятое место).</w:t>
      </w:r>
    </w:p>
    <w:p w14:paraId="7872BEA2" w14:textId="77777777" w:rsidR="00035AF4" w:rsidRPr="00175E32" w:rsidRDefault="00E72F82" w:rsidP="00035AF4">
      <w:pPr>
        <w:pStyle w:val="afb"/>
        <w:numPr>
          <w:ilvl w:val="0"/>
          <w:numId w:val="5"/>
        </w:numPr>
        <w:tabs>
          <w:tab w:val="clear" w:pos="0"/>
          <w:tab w:val="num" w:pos="432"/>
        </w:tabs>
        <w:suppressAutoHyphens w:val="0"/>
        <w:spacing w:line="276" w:lineRule="auto"/>
        <w:ind w:left="0" w:firstLine="709"/>
        <w:contextualSpacing/>
        <w:textAlignment w:val="top"/>
        <w:rPr>
          <w:szCs w:val="24"/>
          <w:lang w:eastAsia="ru-RU"/>
        </w:rPr>
      </w:pPr>
      <w:r w:rsidRPr="00175E32">
        <w:rPr>
          <w:szCs w:val="24"/>
        </w:rPr>
        <w:t>Граждане все чаще обращаются в центры занятости в целях регистрации официального статуса безработного, растет активность обращений длительно неработающих (более года) и ищущих работу впервые, что во многом обусловлено беспрецедентными мерами социальной поддержки безработных граждан, в первую очередь, повышенными размерами пособий по безработице и выплатами на несовершеннолетних детей.</w:t>
      </w:r>
    </w:p>
    <w:p w14:paraId="650839F2" w14:textId="77777777" w:rsidR="00035AF4" w:rsidRPr="00175E32" w:rsidRDefault="00035AF4" w:rsidP="00035AF4">
      <w:pPr>
        <w:pStyle w:val="afb"/>
        <w:numPr>
          <w:ilvl w:val="0"/>
          <w:numId w:val="5"/>
        </w:numPr>
        <w:tabs>
          <w:tab w:val="clear" w:pos="0"/>
          <w:tab w:val="num" w:pos="432"/>
        </w:tabs>
        <w:suppressAutoHyphens w:val="0"/>
        <w:spacing w:line="276" w:lineRule="auto"/>
        <w:ind w:left="0" w:firstLine="709"/>
        <w:contextualSpacing/>
        <w:textAlignment w:val="top"/>
        <w:rPr>
          <w:szCs w:val="24"/>
          <w:lang w:eastAsia="ru-RU"/>
        </w:rPr>
      </w:pPr>
      <w:r w:rsidRPr="00175E32">
        <w:rPr>
          <w:szCs w:val="24"/>
          <w:lang w:eastAsia="ru-RU"/>
        </w:rPr>
        <w:t xml:space="preserve">Для всех граждан, признанных безработными с 1 марта 2020 года, установлен максимальный размер пособия по безработице (12 130 </w:t>
      </w:r>
      <w:r w:rsidR="008D7A93" w:rsidRPr="00175E32">
        <w:rPr>
          <w:szCs w:val="24"/>
          <w:lang w:eastAsia="ru-RU"/>
        </w:rPr>
        <w:t>рублей</w:t>
      </w:r>
      <w:r w:rsidRPr="00175E32">
        <w:rPr>
          <w:szCs w:val="24"/>
          <w:lang w:eastAsia="ru-RU"/>
        </w:rPr>
        <w:t xml:space="preserve">, равный МРОТ), а также дополнительно на каждого ребенка до 18 лет предусмотрена ежемесячная выплата в размере 3 000 </w:t>
      </w:r>
      <w:r w:rsidR="008D7A93" w:rsidRPr="00175E32">
        <w:rPr>
          <w:szCs w:val="24"/>
          <w:lang w:eastAsia="ru-RU"/>
        </w:rPr>
        <w:t>рублей</w:t>
      </w:r>
      <w:r w:rsidR="008A1EBE">
        <w:rPr>
          <w:szCs w:val="24"/>
          <w:lang w:eastAsia="ru-RU"/>
        </w:rPr>
        <w:t>.</w:t>
      </w:r>
      <w:r w:rsidRPr="00175E32">
        <w:rPr>
          <w:szCs w:val="24"/>
          <w:lang w:eastAsia="ru-RU"/>
        </w:rPr>
        <w:t xml:space="preserve"> По состоянию на 01 </w:t>
      </w:r>
      <w:r w:rsidR="007E5C09">
        <w:rPr>
          <w:szCs w:val="24"/>
          <w:lang w:eastAsia="ru-RU"/>
        </w:rPr>
        <w:t>октября</w:t>
      </w:r>
      <w:r w:rsidRPr="00175E32">
        <w:rPr>
          <w:szCs w:val="24"/>
          <w:lang w:eastAsia="ru-RU"/>
        </w:rPr>
        <w:t xml:space="preserve"> текущего года численность получателей пособия по безработице в максимальном размере из числа потерявших работу в </w:t>
      </w:r>
      <w:r w:rsidR="007D5F6C">
        <w:rPr>
          <w:szCs w:val="24"/>
        </w:rPr>
        <w:t>городском округе Тольятти</w:t>
      </w:r>
      <w:r w:rsidR="007D5F6C" w:rsidRPr="00175E32">
        <w:rPr>
          <w:szCs w:val="24"/>
          <w:lang w:eastAsia="ru-RU"/>
        </w:rPr>
        <w:t xml:space="preserve"> </w:t>
      </w:r>
      <w:r w:rsidR="00923023" w:rsidRPr="00175E32">
        <w:rPr>
          <w:szCs w:val="24"/>
          <w:lang w:eastAsia="ru-RU"/>
        </w:rPr>
        <w:t>составила</w:t>
      </w:r>
      <w:r w:rsidR="008A1EBE">
        <w:rPr>
          <w:szCs w:val="24"/>
          <w:lang w:eastAsia="ru-RU"/>
        </w:rPr>
        <w:t xml:space="preserve"> </w:t>
      </w:r>
      <w:r w:rsidR="007E5C09">
        <w:rPr>
          <w:szCs w:val="24"/>
          <w:lang w:eastAsia="ru-RU"/>
        </w:rPr>
        <w:t>4,8</w:t>
      </w:r>
      <w:r w:rsidR="008A1EBE">
        <w:rPr>
          <w:szCs w:val="24"/>
          <w:lang w:eastAsia="ru-RU"/>
        </w:rPr>
        <w:t xml:space="preserve"> тыс</w:t>
      </w:r>
      <w:r w:rsidR="006059E1">
        <w:rPr>
          <w:szCs w:val="24"/>
          <w:lang w:eastAsia="ru-RU"/>
        </w:rPr>
        <w:t>.</w:t>
      </w:r>
      <w:r w:rsidR="008A1EBE">
        <w:rPr>
          <w:szCs w:val="24"/>
          <w:lang w:eastAsia="ru-RU"/>
        </w:rPr>
        <w:t xml:space="preserve"> человек.</w:t>
      </w:r>
    </w:p>
    <w:p w14:paraId="07A3E4BD" w14:textId="77777777" w:rsidR="00E72F82" w:rsidRPr="00175E32" w:rsidRDefault="00E72F82" w:rsidP="00E72F82">
      <w:pPr>
        <w:pStyle w:val="aff0"/>
        <w:spacing w:line="276" w:lineRule="auto"/>
        <w:rPr>
          <w:sz w:val="24"/>
          <w:szCs w:val="24"/>
        </w:rPr>
      </w:pPr>
      <w:r w:rsidRPr="00175E32">
        <w:rPr>
          <w:sz w:val="24"/>
          <w:szCs w:val="24"/>
        </w:rPr>
        <w:t>Состав безработных выглядит следующим образом:</w:t>
      </w:r>
    </w:p>
    <w:p w14:paraId="358AE8BF" w14:textId="77777777" w:rsidR="00E72F82" w:rsidRPr="00175E32" w:rsidRDefault="00E72F82" w:rsidP="00E72F82">
      <w:pPr>
        <w:pStyle w:val="aff0"/>
        <w:spacing w:line="276" w:lineRule="auto"/>
        <w:rPr>
          <w:sz w:val="24"/>
          <w:szCs w:val="24"/>
        </w:rPr>
      </w:pPr>
      <w:r w:rsidRPr="00175E32">
        <w:rPr>
          <w:sz w:val="24"/>
          <w:szCs w:val="24"/>
        </w:rPr>
        <w:t>- уволенные по собственному желанию – 10,0 тыс. человек (62,6% от общего числа безработных), в аналогичном периоде прошлого года 2,7 тыс. человек (74,5%);</w:t>
      </w:r>
    </w:p>
    <w:p w14:paraId="2D0FC92B" w14:textId="77777777" w:rsidR="00E72F82" w:rsidRPr="00175E32" w:rsidRDefault="00E72F82" w:rsidP="00E72F82">
      <w:pPr>
        <w:pStyle w:val="aff0"/>
        <w:spacing w:line="276" w:lineRule="auto"/>
        <w:rPr>
          <w:sz w:val="24"/>
          <w:szCs w:val="24"/>
        </w:rPr>
      </w:pPr>
      <w:r w:rsidRPr="00175E32">
        <w:rPr>
          <w:sz w:val="24"/>
          <w:szCs w:val="24"/>
        </w:rPr>
        <w:t>- уволенные по соглашению сторон – 2,8 тыс. человек (17,4%), в аналогичном периоде прошлого года 0,9 тыс. человек (24,7%);</w:t>
      </w:r>
    </w:p>
    <w:p w14:paraId="51A55208" w14:textId="77777777" w:rsidR="00E72F82" w:rsidRPr="00175E32" w:rsidRDefault="00E72F82" w:rsidP="00E72F82">
      <w:pPr>
        <w:pStyle w:val="aff0"/>
        <w:spacing w:line="276" w:lineRule="auto"/>
        <w:rPr>
          <w:sz w:val="24"/>
          <w:szCs w:val="24"/>
        </w:rPr>
      </w:pPr>
      <w:r w:rsidRPr="00175E32">
        <w:rPr>
          <w:sz w:val="24"/>
          <w:szCs w:val="24"/>
        </w:rPr>
        <w:t>- ранее нигде не работали – 1,4 тыс. человек (8,8%), аналогичном периоде прошлого года 0,1 тыс. человек (3,6%).</w:t>
      </w:r>
    </w:p>
    <w:p w14:paraId="4E48EDD3" w14:textId="77777777" w:rsidR="00E72F82" w:rsidRPr="00175E32" w:rsidRDefault="00E72F82" w:rsidP="00E72F82">
      <w:pPr>
        <w:spacing w:line="276" w:lineRule="auto"/>
        <w:rPr>
          <w:bCs/>
          <w:szCs w:val="24"/>
        </w:rPr>
      </w:pPr>
      <w:r w:rsidRPr="00175E32">
        <w:rPr>
          <w:bCs/>
          <w:szCs w:val="24"/>
        </w:rPr>
        <w:t>Количество вакансий, предоставляемых работодателями в службу занятости городского округа Тольятти, сократилось относительно предыдущего года на 5,1% и составило 7,2 тыс. единиц.</w:t>
      </w:r>
    </w:p>
    <w:p w14:paraId="5ED8873A" w14:textId="77777777" w:rsidR="00E72F82" w:rsidRPr="00175E32" w:rsidRDefault="00E72F82" w:rsidP="00E72F82">
      <w:pPr>
        <w:spacing w:line="276" w:lineRule="auto"/>
        <w:rPr>
          <w:bCs/>
          <w:szCs w:val="24"/>
          <w:lang w:eastAsia="ru-RU"/>
        </w:rPr>
      </w:pPr>
      <w:r w:rsidRPr="00175E32">
        <w:rPr>
          <w:szCs w:val="24"/>
        </w:rPr>
        <w:t xml:space="preserve">Вследствие увеличения количества безработных и сокращения числа вакансий нагрузка на одну вакансию </w:t>
      </w:r>
      <w:r w:rsidRPr="00175E32">
        <w:rPr>
          <w:bCs/>
          <w:szCs w:val="24"/>
          <w:lang w:eastAsia="ru-RU"/>
        </w:rPr>
        <w:t xml:space="preserve">на конец июня 2020 года </w:t>
      </w:r>
      <w:r w:rsidRPr="00175E32">
        <w:rPr>
          <w:szCs w:val="24"/>
        </w:rPr>
        <w:t>выросла до уровня 2,2 человек</w:t>
      </w:r>
      <w:r w:rsidRPr="00175E32">
        <w:rPr>
          <w:bCs/>
          <w:szCs w:val="24"/>
          <w:lang w:eastAsia="ru-RU"/>
        </w:rPr>
        <w:t>, что выше уровня предыдущего года (на 01.07.2019 – 0,5 человек).</w:t>
      </w:r>
    </w:p>
    <w:p w14:paraId="33C8922A" w14:textId="77777777" w:rsidR="00E72F82" w:rsidRPr="00175E32" w:rsidRDefault="00E72F82" w:rsidP="00E72F82">
      <w:pPr>
        <w:pStyle w:val="aff0"/>
        <w:spacing w:line="276" w:lineRule="auto"/>
        <w:rPr>
          <w:sz w:val="24"/>
          <w:szCs w:val="24"/>
        </w:rPr>
      </w:pPr>
      <w:r w:rsidRPr="00175E32">
        <w:rPr>
          <w:sz w:val="24"/>
          <w:szCs w:val="24"/>
        </w:rPr>
        <w:t xml:space="preserve">По сведениям </w:t>
      </w:r>
      <w:r w:rsidR="002754E7" w:rsidRPr="00175E32">
        <w:rPr>
          <w:sz w:val="24"/>
          <w:szCs w:val="24"/>
        </w:rPr>
        <w:t>Центра занятости</w:t>
      </w:r>
      <w:r w:rsidRPr="00175E32">
        <w:rPr>
          <w:sz w:val="24"/>
          <w:szCs w:val="24"/>
        </w:rPr>
        <w:t xml:space="preserve"> </w:t>
      </w:r>
      <w:r w:rsidR="002754E7" w:rsidRPr="00175E32">
        <w:rPr>
          <w:sz w:val="24"/>
          <w:szCs w:val="24"/>
        </w:rPr>
        <w:t>населения по итогам</w:t>
      </w:r>
      <w:r w:rsidRPr="00175E32">
        <w:rPr>
          <w:sz w:val="24"/>
          <w:szCs w:val="24"/>
        </w:rPr>
        <w:t xml:space="preserve"> 1 полугодия текущего года было высвобождено по причине сокращения штатов 410 человек, что на 16,5% больше показателя прошлого года. Высвобождения работников наблюдались на предприятиях здравоохранения, банковской сферы</w:t>
      </w:r>
      <w:r w:rsidR="005C523D" w:rsidRPr="00175E32">
        <w:rPr>
          <w:sz w:val="24"/>
          <w:szCs w:val="24"/>
        </w:rPr>
        <w:t>.</w:t>
      </w:r>
    </w:p>
    <w:p w14:paraId="309C23C9" w14:textId="77777777" w:rsidR="00E72F82" w:rsidRPr="00175E32" w:rsidRDefault="00E72F82" w:rsidP="00E72F82">
      <w:pPr>
        <w:pStyle w:val="aff0"/>
        <w:spacing w:line="276" w:lineRule="auto"/>
        <w:rPr>
          <w:sz w:val="24"/>
          <w:szCs w:val="24"/>
        </w:rPr>
      </w:pPr>
      <w:r w:rsidRPr="00175E32">
        <w:rPr>
          <w:sz w:val="24"/>
          <w:szCs w:val="24"/>
        </w:rPr>
        <w:t>Доля работников, уволенных по причине сокращения штатов в общем числе ранее работавших безработных, снизилась с 8,6% в 1 полугодии 2019 года до 2,9% в 1 полугодии текущего года.</w:t>
      </w:r>
    </w:p>
    <w:p w14:paraId="71159748" w14:textId="77777777" w:rsidR="00E72F82" w:rsidRPr="00175E32" w:rsidRDefault="00E72F82" w:rsidP="00E72F82">
      <w:pPr>
        <w:spacing w:line="276" w:lineRule="auto"/>
        <w:rPr>
          <w:bCs/>
          <w:szCs w:val="24"/>
        </w:rPr>
      </w:pPr>
      <w:r w:rsidRPr="00175E32">
        <w:rPr>
          <w:bCs/>
          <w:szCs w:val="24"/>
        </w:rPr>
        <w:lastRenderedPageBreak/>
        <w:t xml:space="preserve">При этом, предприятия </w:t>
      </w:r>
      <w:r w:rsidR="007D5F6C">
        <w:rPr>
          <w:szCs w:val="24"/>
        </w:rPr>
        <w:t>городского округа Тольятти</w:t>
      </w:r>
      <w:r w:rsidRPr="00175E32">
        <w:rPr>
          <w:bCs/>
          <w:szCs w:val="24"/>
        </w:rPr>
        <w:t xml:space="preserve"> известили Центр занятости населения о предстоящем высвобождении во 2 полугодии 2020 года более 160 работников.</w:t>
      </w:r>
    </w:p>
    <w:p w14:paraId="64598703" w14:textId="77777777" w:rsidR="00E72F82" w:rsidRPr="00175E32" w:rsidRDefault="00E72F82" w:rsidP="00E72F82">
      <w:pPr>
        <w:spacing w:line="276" w:lineRule="auto"/>
        <w:rPr>
          <w:szCs w:val="24"/>
        </w:rPr>
      </w:pPr>
      <w:r w:rsidRPr="00175E32">
        <w:rPr>
          <w:szCs w:val="24"/>
        </w:rPr>
        <w:t>Масштабы скрытой безработицы относительно предыдущего года значительно увеличились. На 01.07.2020 131 предприятие работало в режиме неполного рабочего времени, временной приостановки работы (простое) (на 01.07.2019 - 11 предприятий). 3555 человек были заняты неполный рабочий день, 3974 человека находились в простое по вине работодателя (на 01.07.2019 – соответственно 474 человека и 50 человек).</w:t>
      </w:r>
    </w:p>
    <w:p w14:paraId="599D609F" w14:textId="77777777" w:rsidR="00E72F82" w:rsidRPr="00175E32" w:rsidRDefault="00E72F82" w:rsidP="00E72F82">
      <w:pPr>
        <w:spacing w:line="276" w:lineRule="auto"/>
        <w:rPr>
          <w:szCs w:val="24"/>
        </w:rPr>
      </w:pPr>
      <w:r w:rsidRPr="00175E32">
        <w:rPr>
          <w:szCs w:val="24"/>
        </w:rPr>
        <w:t xml:space="preserve">Для рынка труда городского округа Тольятти по-прежнему остаются характерными структурные диспропорции между спросом на рабочую силу и ее предложением. Особенно заметна диспропорция среди специалистов и служащих. Так, в предложении рабочей силы значительную долю составляют продавцы, менеджеры, водители, инженеры, бухгалтеры, слесари МСР, администраторы и т.д. А предприятиям </w:t>
      </w:r>
      <w:r w:rsidR="007D5F6C">
        <w:rPr>
          <w:szCs w:val="24"/>
        </w:rPr>
        <w:t>городского округа Тольятти</w:t>
      </w:r>
      <w:r w:rsidRPr="00175E32">
        <w:rPr>
          <w:szCs w:val="24"/>
        </w:rPr>
        <w:t xml:space="preserve"> требуются врачи, медицинские сестры, бетонщики, электрогазосварщики, охранники, учителя и т.д.</w:t>
      </w:r>
    </w:p>
    <w:p w14:paraId="05908823" w14:textId="77777777" w:rsidR="00E72F82" w:rsidRPr="00175E32" w:rsidRDefault="00E72F82" w:rsidP="00E72F82">
      <w:pPr>
        <w:pStyle w:val="af5"/>
        <w:spacing w:line="276" w:lineRule="auto"/>
        <w:ind w:right="0" w:firstLine="709"/>
        <w:rPr>
          <w:szCs w:val="24"/>
        </w:rPr>
      </w:pPr>
      <w:r w:rsidRPr="00175E32">
        <w:rPr>
          <w:szCs w:val="24"/>
        </w:rPr>
        <w:t xml:space="preserve">В целях стабилизации ситуации на рынке труда </w:t>
      </w:r>
      <w:r w:rsidR="007D5F6C">
        <w:rPr>
          <w:szCs w:val="24"/>
        </w:rPr>
        <w:t>городского округа Тольятти</w:t>
      </w:r>
      <w:r w:rsidRPr="00175E32">
        <w:rPr>
          <w:szCs w:val="24"/>
        </w:rPr>
        <w:t xml:space="preserve"> продолжилась работа в рамках государственных программ по содействию занятости населения и снижению напряженности на рынке труда, муниципальных программ по развитию малого и среднего предпринимательства и временному трудоустройству молодежи.</w:t>
      </w:r>
    </w:p>
    <w:p w14:paraId="14C34810" w14:textId="77777777" w:rsidR="00E72F82" w:rsidRPr="00175E32" w:rsidRDefault="00E72F82" w:rsidP="00E72F82">
      <w:pPr>
        <w:spacing w:line="276" w:lineRule="auto"/>
        <w:rPr>
          <w:szCs w:val="24"/>
        </w:rPr>
      </w:pPr>
      <w:r w:rsidRPr="00175E32">
        <w:rPr>
          <w:szCs w:val="24"/>
        </w:rPr>
        <w:t>По данным органов государственной статистики, за 1 полугодие 2020 года в организациях, не относящихся к субъектам малого предпринимательства, создано 0,8 тыс. новых рабочих мест.</w:t>
      </w:r>
    </w:p>
    <w:p w14:paraId="22B03AC6" w14:textId="77777777" w:rsidR="00E72F82" w:rsidRPr="00175E32" w:rsidRDefault="00E72F82" w:rsidP="00E72F82">
      <w:pPr>
        <w:spacing w:line="276" w:lineRule="auto"/>
        <w:rPr>
          <w:szCs w:val="24"/>
        </w:rPr>
      </w:pPr>
      <w:r w:rsidRPr="00175E32">
        <w:rPr>
          <w:szCs w:val="24"/>
        </w:rPr>
        <w:t>Центром занятости населения трудоустроено 2,6 тыс. человек, что в 1,6 раза меньше показателя предыдущего года.</w:t>
      </w:r>
    </w:p>
    <w:p w14:paraId="5DCB70CE" w14:textId="77777777" w:rsidR="00E72F82" w:rsidRPr="00175E32" w:rsidRDefault="00E72F82" w:rsidP="00E72F82">
      <w:pPr>
        <w:spacing w:line="276" w:lineRule="auto"/>
        <w:rPr>
          <w:szCs w:val="24"/>
        </w:rPr>
      </w:pPr>
      <w:r w:rsidRPr="00175E32">
        <w:rPr>
          <w:szCs w:val="24"/>
        </w:rPr>
        <w:t>В рамках государственной Программы содействия занятости населения Самарской области на 2014-2020 годы в городском округе Тольятти в 1 полугодии 2020 года количество созданных временных рабочих мест составило 0,2 тыс. единиц (в 1 полугодии 2019 года 1,3 тыс. единиц</w:t>
      </w:r>
      <w:r w:rsidR="00915495" w:rsidRPr="00175E32">
        <w:rPr>
          <w:szCs w:val="24"/>
        </w:rPr>
        <w:t>.</w:t>
      </w:r>
    </w:p>
    <w:p w14:paraId="60B3757C" w14:textId="77777777" w:rsidR="00915495" w:rsidRPr="00175E32" w:rsidRDefault="00915495" w:rsidP="00915495">
      <w:pPr>
        <w:tabs>
          <w:tab w:val="left" w:pos="142"/>
          <w:tab w:val="left" w:pos="9720"/>
        </w:tabs>
        <w:suppressAutoHyphens w:val="0"/>
        <w:spacing w:line="276" w:lineRule="auto"/>
        <w:contextualSpacing/>
        <w:textAlignment w:val="top"/>
        <w:rPr>
          <w:szCs w:val="24"/>
        </w:rPr>
      </w:pPr>
      <w:r w:rsidRPr="00175E32">
        <w:rPr>
          <w:szCs w:val="24"/>
        </w:rPr>
        <w:t xml:space="preserve">Также в целях сохранения рабочих мест и предотвращения массовых увольнений работников в текущем году Правительством </w:t>
      </w:r>
      <w:r w:rsidR="006059E1">
        <w:rPr>
          <w:szCs w:val="24"/>
        </w:rPr>
        <w:t>Российской Федерации</w:t>
      </w:r>
      <w:r w:rsidRPr="00175E32">
        <w:rPr>
          <w:szCs w:val="24"/>
        </w:rPr>
        <w:t xml:space="preserve"> были разработаны и реализуются дополнительные меры по организации временной занятости для безработных граждан, и работников, находящихся под риском увольнения: субсидии на частичное возмещение работодателям затрат на оплату труда временно трудоустроенных граждан (создано 100 временных рабочих мест), социальные выплаты отдельным категориям граждан, осуществлявшим добровольческую (волонтерскую) деятельность (создано порядка 70 рабочих мест для граждан, участвующих в добровольческой (волонтерской) деятельности).</w:t>
      </w:r>
    </w:p>
    <w:p w14:paraId="5FAF1067" w14:textId="77777777" w:rsidR="00E72F82" w:rsidRPr="00175E32" w:rsidRDefault="00E72F82" w:rsidP="00E72F82">
      <w:pPr>
        <w:tabs>
          <w:tab w:val="left" w:pos="8306"/>
        </w:tabs>
        <w:snapToGrid w:val="0"/>
        <w:spacing w:line="276" w:lineRule="auto"/>
        <w:textAlignment w:val="top"/>
        <w:rPr>
          <w:bCs/>
          <w:szCs w:val="24"/>
        </w:rPr>
      </w:pPr>
      <w:r w:rsidRPr="00175E32">
        <w:rPr>
          <w:bCs/>
          <w:szCs w:val="24"/>
        </w:rPr>
        <w:t xml:space="preserve">Ведется активная работа по привлечению в </w:t>
      </w:r>
      <w:r w:rsidR="007D5F6C">
        <w:rPr>
          <w:szCs w:val="24"/>
        </w:rPr>
        <w:t>городской округ Тольятти</w:t>
      </w:r>
      <w:r w:rsidRPr="00175E32">
        <w:rPr>
          <w:bCs/>
          <w:szCs w:val="24"/>
        </w:rPr>
        <w:t xml:space="preserve"> потенциальных инвесторов. Продолжается реализация проекта по развитию ТОСЭР «Тольятти», статус которой, </w:t>
      </w:r>
      <w:r w:rsidR="007D5F6C">
        <w:rPr>
          <w:szCs w:val="24"/>
        </w:rPr>
        <w:t>городскому округу Тольятти</w:t>
      </w:r>
      <w:r w:rsidRPr="00175E32">
        <w:rPr>
          <w:bCs/>
          <w:szCs w:val="24"/>
        </w:rPr>
        <w:t xml:space="preserve"> присвоен в сентябре 2016 года. </w:t>
      </w:r>
      <w:r w:rsidR="00035AF4" w:rsidRPr="00175E32">
        <w:rPr>
          <w:bCs/>
          <w:szCs w:val="24"/>
        </w:rPr>
        <w:t>З</w:t>
      </w:r>
      <w:r w:rsidRPr="00175E32">
        <w:rPr>
          <w:bCs/>
          <w:szCs w:val="24"/>
        </w:rPr>
        <w:t>аключены соглашения на получение статуса резидентов ТОСЭР «Тольятти» с 74 компаниями, на которых создано около 4,9 тыс. новых рабочих мест (в результате реализации проектов запланировано создание всего 8,1 тысяч новых рабочих мест).</w:t>
      </w:r>
    </w:p>
    <w:p w14:paraId="5A153102" w14:textId="77777777" w:rsidR="00915495" w:rsidRPr="00175E32" w:rsidRDefault="00915495" w:rsidP="00915495">
      <w:pPr>
        <w:spacing w:line="276" w:lineRule="auto"/>
        <w:rPr>
          <w:bCs/>
          <w:szCs w:val="24"/>
        </w:rPr>
      </w:pPr>
      <w:r w:rsidRPr="00175E32">
        <w:rPr>
          <w:bCs/>
          <w:szCs w:val="24"/>
        </w:rPr>
        <w:lastRenderedPageBreak/>
        <w:t xml:space="preserve">По данным Единого реестра субъектов малого и среднего предпринимательства </w:t>
      </w:r>
      <w:r w:rsidR="00D4613F">
        <w:rPr>
          <w:bCs/>
          <w:szCs w:val="24"/>
        </w:rPr>
        <w:t>в 1 полугодии</w:t>
      </w:r>
      <w:r w:rsidRPr="00175E32">
        <w:rPr>
          <w:bCs/>
          <w:szCs w:val="24"/>
        </w:rPr>
        <w:t xml:space="preserve"> зарегистрировано </w:t>
      </w:r>
      <w:r w:rsidR="00D4613F">
        <w:rPr>
          <w:bCs/>
          <w:szCs w:val="24"/>
        </w:rPr>
        <w:t>1,376</w:t>
      </w:r>
      <w:r w:rsidRPr="00175E32">
        <w:rPr>
          <w:bCs/>
          <w:szCs w:val="24"/>
        </w:rPr>
        <w:t xml:space="preserve"> тыс. индивидуальных предпринимателей.</w:t>
      </w:r>
    </w:p>
    <w:p w14:paraId="7A0601A6" w14:textId="77777777" w:rsidR="00E72F82" w:rsidRPr="00175E32" w:rsidRDefault="00E72F82" w:rsidP="00E72F82">
      <w:pPr>
        <w:spacing w:line="276" w:lineRule="auto"/>
        <w:rPr>
          <w:bCs/>
          <w:szCs w:val="24"/>
        </w:rPr>
      </w:pPr>
      <w:r w:rsidRPr="00175E32">
        <w:rPr>
          <w:bCs/>
          <w:szCs w:val="24"/>
        </w:rPr>
        <w:t>В ходе реализации муниципальной программы по организации работы с детьми и молодежью в городском округе Тольятти «Молодежь Тольятти» на 2014-2020 гг. за 1 полугодие 2020 года трудоустроено на временные работы 46 несовершеннолетних граждан (2,3% от планового значения на 2020 год – 2030 человек).</w:t>
      </w:r>
    </w:p>
    <w:p w14:paraId="537A3B09" w14:textId="77777777" w:rsidR="00E72F82" w:rsidRPr="00175E32" w:rsidRDefault="00E72F82" w:rsidP="00E72F82">
      <w:pPr>
        <w:pStyle w:val="230"/>
        <w:keepNext/>
        <w:keepLines/>
        <w:numPr>
          <w:ilvl w:val="0"/>
          <w:numId w:val="5"/>
        </w:numPr>
        <w:spacing w:before="120" w:line="276" w:lineRule="auto"/>
        <w:jc w:val="center"/>
      </w:pPr>
      <w:r w:rsidRPr="00175E32">
        <w:rPr>
          <w:bCs/>
          <w:szCs w:val="24"/>
        </w:rPr>
        <w:t>Ожидаемое выполнение прогнозных показателей в сфере занятости населения на 2020 год</w:t>
      </w:r>
    </w:p>
    <w:tbl>
      <w:tblPr>
        <w:tblW w:w="9731" w:type="dxa"/>
        <w:tblInd w:w="-125" w:type="dxa"/>
        <w:tblLayout w:type="fixed"/>
        <w:tblLook w:val="0000" w:firstRow="0" w:lastRow="0" w:firstColumn="0" w:lastColumn="0" w:noHBand="0" w:noVBand="0"/>
      </w:tblPr>
      <w:tblGrid>
        <w:gridCol w:w="4061"/>
        <w:gridCol w:w="1559"/>
        <w:gridCol w:w="1559"/>
        <w:gridCol w:w="1135"/>
        <w:gridCol w:w="1417"/>
      </w:tblGrid>
      <w:tr w:rsidR="00E72F82" w:rsidRPr="00175E32" w14:paraId="73216D2E" w14:textId="77777777" w:rsidTr="002754E7">
        <w:trPr>
          <w:cantSplit/>
          <w:tblHeader/>
        </w:trPr>
        <w:tc>
          <w:tcPr>
            <w:tcW w:w="4061" w:type="dxa"/>
            <w:vMerge w:val="restart"/>
            <w:tcBorders>
              <w:top w:val="single" w:sz="4" w:space="0" w:color="000000"/>
              <w:left w:val="single" w:sz="4" w:space="0" w:color="000000"/>
              <w:bottom w:val="single" w:sz="4" w:space="0" w:color="000000"/>
            </w:tcBorders>
            <w:vAlign w:val="center"/>
          </w:tcPr>
          <w:p w14:paraId="13379A52" w14:textId="77777777" w:rsidR="00E72F82" w:rsidRPr="00175E32" w:rsidRDefault="00E72F82" w:rsidP="00AC7FC1">
            <w:pPr>
              <w:pStyle w:val="230"/>
              <w:keepNext/>
              <w:keepLines/>
              <w:spacing w:after="0" w:line="240" w:lineRule="auto"/>
              <w:ind w:left="0"/>
              <w:jc w:val="center"/>
              <w:rPr>
                <w:szCs w:val="24"/>
              </w:rPr>
            </w:pPr>
            <w:r w:rsidRPr="00175E32">
              <w:rPr>
                <w:szCs w:val="24"/>
              </w:rPr>
              <w:t>Показатели</w:t>
            </w:r>
          </w:p>
        </w:tc>
        <w:tc>
          <w:tcPr>
            <w:tcW w:w="1559" w:type="dxa"/>
            <w:vMerge w:val="restart"/>
            <w:tcBorders>
              <w:top w:val="single" w:sz="4" w:space="0" w:color="000000"/>
              <w:left w:val="single" w:sz="4" w:space="0" w:color="000000"/>
              <w:bottom w:val="single" w:sz="4" w:space="0" w:color="000000"/>
            </w:tcBorders>
            <w:vAlign w:val="center"/>
          </w:tcPr>
          <w:p w14:paraId="5727EB4B" w14:textId="77777777" w:rsidR="00E72F82" w:rsidRPr="00175E32" w:rsidRDefault="00E72F82" w:rsidP="00E72F82">
            <w:pPr>
              <w:pStyle w:val="230"/>
              <w:keepNext/>
              <w:keepLines/>
              <w:spacing w:after="0" w:line="240" w:lineRule="auto"/>
              <w:ind w:left="0" w:firstLine="0"/>
              <w:jc w:val="center"/>
              <w:rPr>
                <w:szCs w:val="24"/>
              </w:rPr>
            </w:pPr>
            <w:r w:rsidRPr="00175E32">
              <w:rPr>
                <w:szCs w:val="24"/>
              </w:rPr>
              <w:t>Единица измерения</w:t>
            </w:r>
          </w:p>
        </w:tc>
        <w:tc>
          <w:tcPr>
            <w:tcW w:w="2694" w:type="dxa"/>
            <w:gridSpan w:val="2"/>
            <w:tcBorders>
              <w:top w:val="single" w:sz="4" w:space="0" w:color="000000"/>
              <w:left w:val="single" w:sz="4" w:space="0" w:color="000000"/>
              <w:bottom w:val="single" w:sz="4" w:space="0" w:color="000000"/>
            </w:tcBorders>
            <w:vAlign w:val="center"/>
          </w:tcPr>
          <w:p w14:paraId="317A7C3B" w14:textId="77777777" w:rsidR="00E72F82" w:rsidRPr="00175E32" w:rsidRDefault="00E72F82" w:rsidP="00E72F82">
            <w:pPr>
              <w:ind w:firstLine="0"/>
              <w:jc w:val="center"/>
              <w:rPr>
                <w:szCs w:val="24"/>
              </w:rPr>
            </w:pPr>
            <w:r w:rsidRPr="00175E32">
              <w:rPr>
                <w:szCs w:val="24"/>
              </w:rPr>
              <w:t>Прогноз на 2020 год</w:t>
            </w:r>
          </w:p>
        </w:tc>
        <w:tc>
          <w:tcPr>
            <w:tcW w:w="1417" w:type="dxa"/>
            <w:vMerge w:val="restart"/>
            <w:tcBorders>
              <w:top w:val="single" w:sz="4" w:space="0" w:color="000000"/>
              <w:left w:val="single" w:sz="4" w:space="0" w:color="000000"/>
              <w:bottom w:val="single" w:sz="4" w:space="0" w:color="000000"/>
              <w:right w:val="single" w:sz="4" w:space="0" w:color="000000"/>
            </w:tcBorders>
            <w:vAlign w:val="center"/>
          </w:tcPr>
          <w:p w14:paraId="42FCB10F" w14:textId="77777777" w:rsidR="00E72F82" w:rsidRPr="00175E32" w:rsidRDefault="00E72F82" w:rsidP="00E72F82">
            <w:pPr>
              <w:ind w:firstLine="0"/>
              <w:jc w:val="center"/>
              <w:rPr>
                <w:szCs w:val="24"/>
              </w:rPr>
            </w:pPr>
            <w:r w:rsidRPr="00175E32">
              <w:rPr>
                <w:szCs w:val="24"/>
              </w:rPr>
              <w:t>2020 год (оценка)</w:t>
            </w:r>
          </w:p>
        </w:tc>
      </w:tr>
      <w:tr w:rsidR="00E72F82" w:rsidRPr="00175E32" w14:paraId="725AE26B" w14:textId="77777777" w:rsidTr="002754E7">
        <w:trPr>
          <w:cantSplit/>
          <w:tblHeader/>
        </w:trPr>
        <w:tc>
          <w:tcPr>
            <w:tcW w:w="4061" w:type="dxa"/>
            <w:vMerge/>
            <w:tcBorders>
              <w:top w:val="single" w:sz="4" w:space="0" w:color="000000"/>
              <w:left w:val="single" w:sz="4" w:space="0" w:color="000000"/>
              <w:bottom w:val="single" w:sz="4" w:space="0" w:color="000000"/>
            </w:tcBorders>
            <w:vAlign w:val="center"/>
          </w:tcPr>
          <w:p w14:paraId="64666AA8" w14:textId="77777777" w:rsidR="00E72F82" w:rsidRPr="00175E32" w:rsidRDefault="00E72F82" w:rsidP="00AC7FC1">
            <w:pPr>
              <w:keepNext/>
              <w:keepLines/>
              <w:snapToGrid w:val="0"/>
              <w:jc w:val="center"/>
              <w:rPr>
                <w:szCs w:val="24"/>
              </w:rPr>
            </w:pPr>
          </w:p>
        </w:tc>
        <w:tc>
          <w:tcPr>
            <w:tcW w:w="1559" w:type="dxa"/>
            <w:vMerge/>
            <w:tcBorders>
              <w:top w:val="single" w:sz="4" w:space="0" w:color="000000"/>
              <w:left w:val="single" w:sz="4" w:space="0" w:color="000000"/>
              <w:bottom w:val="single" w:sz="4" w:space="0" w:color="000000"/>
            </w:tcBorders>
            <w:vAlign w:val="center"/>
          </w:tcPr>
          <w:p w14:paraId="48168D11" w14:textId="77777777" w:rsidR="00E72F82" w:rsidRPr="00175E32" w:rsidRDefault="00E72F82" w:rsidP="00E72F82">
            <w:pPr>
              <w:keepNext/>
              <w:keepLines/>
              <w:snapToGrid w:val="0"/>
              <w:ind w:firstLine="0"/>
              <w:jc w:val="center"/>
              <w:rPr>
                <w:szCs w:val="24"/>
              </w:rPr>
            </w:pPr>
          </w:p>
        </w:tc>
        <w:tc>
          <w:tcPr>
            <w:tcW w:w="1559" w:type="dxa"/>
            <w:tcBorders>
              <w:top w:val="single" w:sz="4" w:space="0" w:color="000000"/>
              <w:left w:val="single" w:sz="4" w:space="0" w:color="000000"/>
              <w:bottom w:val="single" w:sz="4" w:space="0" w:color="000000"/>
            </w:tcBorders>
            <w:vAlign w:val="center"/>
          </w:tcPr>
          <w:p w14:paraId="242E9D71" w14:textId="77777777" w:rsidR="00E72F82" w:rsidRPr="00175E32" w:rsidRDefault="002754E7" w:rsidP="002754E7">
            <w:pPr>
              <w:ind w:left="-108" w:right="-107" w:firstLine="0"/>
              <w:jc w:val="center"/>
              <w:rPr>
                <w:szCs w:val="24"/>
              </w:rPr>
            </w:pPr>
            <w:proofErr w:type="spellStart"/>
            <w:proofErr w:type="gramStart"/>
            <w:r>
              <w:rPr>
                <w:szCs w:val="24"/>
              </w:rPr>
              <w:t>консерватив-</w:t>
            </w:r>
            <w:r w:rsidR="00E72F82" w:rsidRPr="00175E32">
              <w:rPr>
                <w:szCs w:val="24"/>
              </w:rPr>
              <w:t>ный</w:t>
            </w:r>
            <w:proofErr w:type="spellEnd"/>
            <w:proofErr w:type="gramEnd"/>
          </w:p>
        </w:tc>
        <w:tc>
          <w:tcPr>
            <w:tcW w:w="1135" w:type="dxa"/>
            <w:tcBorders>
              <w:top w:val="single" w:sz="4" w:space="0" w:color="000000"/>
              <w:left w:val="single" w:sz="4" w:space="0" w:color="000000"/>
              <w:bottom w:val="single" w:sz="4" w:space="0" w:color="000000"/>
            </w:tcBorders>
            <w:vAlign w:val="center"/>
          </w:tcPr>
          <w:p w14:paraId="2B5AD0D8" w14:textId="77777777" w:rsidR="00E72F82" w:rsidRPr="00175E32" w:rsidRDefault="00E72F82" w:rsidP="00E72F82">
            <w:pPr>
              <w:ind w:firstLine="0"/>
              <w:jc w:val="center"/>
              <w:rPr>
                <w:szCs w:val="24"/>
              </w:rPr>
            </w:pPr>
            <w:r w:rsidRPr="00175E32">
              <w:rPr>
                <w:szCs w:val="24"/>
              </w:rPr>
              <w:t>базовый</w:t>
            </w:r>
          </w:p>
        </w:tc>
        <w:tc>
          <w:tcPr>
            <w:tcW w:w="1417" w:type="dxa"/>
            <w:vMerge/>
            <w:tcBorders>
              <w:top w:val="single" w:sz="4" w:space="0" w:color="000000"/>
              <w:left w:val="single" w:sz="4" w:space="0" w:color="000000"/>
              <w:bottom w:val="single" w:sz="4" w:space="0" w:color="000000"/>
              <w:right w:val="single" w:sz="4" w:space="0" w:color="000000"/>
            </w:tcBorders>
            <w:vAlign w:val="center"/>
          </w:tcPr>
          <w:p w14:paraId="560AAB4F" w14:textId="77777777" w:rsidR="00E72F82" w:rsidRPr="00175E32" w:rsidRDefault="00E72F82" w:rsidP="00E72F82">
            <w:pPr>
              <w:keepNext/>
              <w:keepLines/>
              <w:snapToGrid w:val="0"/>
              <w:ind w:firstLine="0"/>
              <w:jc w:val="center"/>
              <w:rPr>
                <w:szCs w:val="24"/>
              </w:rPr>
            </w:pPr>
          </w:p>
        </w:tc>
      </w:tr>
      <w:tr w:rsidR="00E72F82" w:rsidRPr="00175E32" w14:paraId="1FB24263" w14:textId="77777777" w:rsidTr="002754E7">
        <w:tc>
          <w:tcPr>
            <w:tcW w:w="4061" w:type="dxa"/>
            <w:tcBorders>
              <w:top w:val="single" w:sz="4" w:space="0" w:color="000000"/>
              <w:left w:val="single" w:sz="4" w:space="0" w:color="000000"/>
              <w:bottom w:val="single" w:sz="4" w:space="0" w:color="000000"/>
            </w:tcBorders>
          </w:tcPr>
          <w:p w14:paraId="23AD1237" w14:textId="77777777" w:rsidR="00E72F82" w:rsidRPr="00175E32" w:rsidRDefault="00E72F82" w:rsidP="00E72F82">
            <w:pPr>
              <w:pStyle w:val="230"/>
              <w:keepNext/>
              <w:keepLines/>
              <w:spacing w:after="0" w:line="240" w:lineRule="auto"/>
              <w:ind w:left="0" w:firstLine="0"/>
              <w:rPr>
                <w:szCs w:val="24"/>
              </w:rPr>
            </w:pPr>
            <w:r w:rsidRPr="00175E32">
              <w:rPr>
                <w:szCs w:val="24"/>
              </w:rPr>
              <w:t>Трудовые ресурсы</w:t>
            </w:r>
          </w:p>
        </w:tc>
        <w:tc>
          <w:tcPr>
            <w:tcW w:w="1559" w:type="dxa"/>
            <w:tcBorders>
              <w:top w:val="single" w:sz="4" w:space="0" w:color="000000"/>
              <w:left w:val="single" w:sz="4" w:space="0" w:color="000000"/>
              <w:bottom w:val="single" w:sz="4" w:space="0" w:color="000000"/>
            </w:tcBorders>
            <w:vAlign w:val="bottom"/>
          </w:tcPr>
          <w:p w14:paraId="41A09ED3" w14:textId="77777777" w:rsidR="00E72F82" w:rsidRPr="00175E32" w:rsidRDefault="00E72F82" w:rsidP="00E72F82">
            <w:pPr>
              <w:pStyle w:val="230"/>
              <w:keepNext/>
              <w:keepLines/>
              <w:spacing w:after="0" w:line="240" w:lineRule="auto"/>
              <w:ind w:left="0" w:firstLine="0"/>
              <w:jc w:val="center"/>
              <w:rPr>
                <w:szCs w:val="24"/>
              </w:rPr>
            </w:pPr>
            <w:r w:rsidRPr="00175E32">
              <w:rPr>
                <w:szCs w:val="24"/>
              </w:rPr>
              <w:t>тыс. человек</w:t>
            </w:r>
          </w:p>
        </w:tc>
        <w:tc>
          <w:tcPr>
            <w:tcW w:w="1559" w:type="dxa"/>
            <w:tcBorders>
              <w:top w:val="single" w:sz="4" w:space="0" w:color="000000"/>
              <w:left w:val="single" w:sz="4" w:space="0" w:color="000000"/>
              <w:bottom w:val="single" w:sz="4" w:space="0" w:color="000000"/>
            </w:tcBorders>
            <w:vAlign w:val="bottom"/>
          </w:tcPr>
          <w:p w14:paraId="49F9CC22" w14:textId="77777777" w:rsidR="00E72F82" w:rsidRPr="00175E32" w:rsidRDefault="00E72F82" w:rsidP="00FB71FD">
            <w:pPr>
              <w:pStyle w:val="230"/>
              <w:keepNext/>
              <w:keepLines/>
              <w:spacing w:after="0" w:line="240" w:lineRule="auto"/>
              <w:ind w:left="0" w:firstLine="0"/>
              <w:jc w:val="center"/>
              <w:rPr>
                <w:szCs w:val="24"/>
              </w:rPr>
            </w:pPr>
            <w:r w:rsidRPr="00175E32">
              <w:rPr>
                <w:szCs w:val="24"/>
              </w:rPr>
              <w:t>427,5</w:t>
            </w:r>
          </w:p>
        </w:tc>
        <w:tc>
          <w:tcPr>
            <w:tcW w:w="1135" w:type="dxa"/>
            <w:tcBorders>
              <w:top w:val="single" w:sz="4" w:space="0" w:color="000000"/>
              <w:left w:val="single" w:sz="4" w:space="0" w:color="000000"/>
              <w:bottom w:val="single" w:sz="4" w:space="0" w:color="000000"/>
            </w:tcBorders>
            <w:vAlign w:val="bottom"/>
          </w:tcPr>
          <w:p w14:paraId="0F191922" w14:textId="77777777" w:rsidR="00E72F82" w:rsidRPr="00175E32" w:rsidRDefault="00E72F82" w:rsidP="00FB71FD">
            <w:pPr>
              <w:pStyle w:val="230"/>
              <w:keepNext/>
              <w:keepLines/>
              <w:spacing w:after="0" w:line="240" w:lineRule="auto"/>
              <w:ind w:left="0" w:firstLine="0"/>
              <w:jc w:val="center"/>
              <w:rPr>
                <w:szCs w:val="24"/>
              </w:rPr>
            </w:pPr>
            <w:r w:rsidRPr="00175E32">
              <w:rPr>
                <w:szCs w:val="24"/>
              </w:rPr>
              <w:t>428,5</w:t>
            </w:r>
          </w:p>
        </w:tc>
        <w:tc>
          <w:tcPr>
            <w:tcW w:w="1417" w:type="dxa"/>
            <w:tcBorders>
              <w:top w:val="single" w:sz="4" w:space="0" w:color="000000"/>
              <w:left w:val="single" w:sz="4" w:space="0" w:color="000000"/>
              <w:bottom w:val="single" w:sz="4" w:space="0" w:color="000000"/>
              <w:right w:val="single" w:sz="4" w:space="0" w:color="000000"/>
            </w:tcBorders>
            <w:vAlign w:val="bottom"/>
          </w:tcPr>
          <w:p w14:paraId="50E5EC97" w14:textId="77777777" w:rsidR="00E72F82" w:rsidRPr="00175E32" w:rsidRDefault="00E72F82" w:rsidP="00FB71FD">
            <w:pPr>
              <w:pStyle w:val="230"/>
              <w:keepNext/>
              <w:keepLines/>
              <w:spacing w:after="0" w:line="240" w:lineRule="auto"/>
              <w:ind w:left="0" w:firstLine="0"/>
              <w:jc w:val="center"/>
            </w:pPr>
            <w:r w:rsidRPr="00175E32">
              <w:t>436,2</w:t>
            </w:r>
          </w:p>
        </w:tc>
      </w:tr>
      <w:tr w:rsidR="00E72F82" w:rsidRPr="00175E32" w14:paraId="53CA17B9" w14:textId="77777777" w:rsidTr="002754E7">
        <w:trPr>
          <w:trHeight w:val="311"/>
        </w:trPr>
        <w:tc>
          <w:tcPr>
            <w:tcW w:w="4061" w:type="dxa"/>
            <w:tcBorders>
              <w:top w:val="single" w:sz="4" w:space="0" w:color="000000"/>
              <w:left w:val="single" w:sz="4" w:space="0" w:color="000000"/>
              <w:bottom w:val="single" w:sz="4" w:space="0" w:color="000000"/>
            </w:tcBorders>
          </w:tcPr>
          <w:p w14:paraId="14A9882A" w14:textId="77777777" w:rsidR="00E72F82" w:rsidRPr="00175E32" w:rsidRDefault="00E72F82" w:rsidP="00E72F82">
            <w:pPr>
              <w:pStyle w:val="230"/>
              <w:keepNext/>
              <w:keepLines/>
              <w:spacing w:after="0" w:line="240" w:lineRule="auto"/>
              <w:ind w:left="0" w:firstLine="0"/>
              <w:rPr>
                <w:szCs w:val="24"/>
              </w:rPr>
            </w:pPr>
            <w:r w:rsidRPr="00175E32">
              <w:rPr>
                <w:szCs w:val="24"/>
              </w:rPr>
              <w:t>Среднегодовая численность занятых в экономике</w:t>
            </w:r>
          </w:p>
        </w:tc>
        <w:tc>
          <w:tcPr>
            <w:tcW w:w="1559" w:type="dxa"/>
            <w:tcBorders>
              <w:top w:val="single" w:sz="4" w:space="0" w:color="000000"/>
              <w:left w:val="single" w:sz="4" w:space="0" w:color="000000"/>
              <w:bottom w:val="single" w:sz="4" w:space="0" w:color="000000"/>
            </w:tcBorders>
            <w:vAlign w:val="bottom"/>
          </w:tcPr>
          <w:p w14:paraId="46D96F93" w14:textId="77777777" w:rsidR="00E72F82" w:rsidRPr="00175E32" w:rsidRDefault="00E72F82" w:rsidP="00E72F82">
            <w:pPr>
              <w:pStyle w:val="230"/>
              <w:keepNext/>
              <w:keepLines/>
              <w:spacing w:after="0" w:line="240" w:lineRule="auto"/>
              <w:ind w:left="0" w:firstLine="0"/>
              <w:jc w:val="center"/>
              <w:rPr>
                <w:szCs w:val="24"/>
              </w:rPr>
            </w:pPr>
            <w:r w:rsidRPr="00175E32">
              <w:rPr>
                <w:szCs w:val="24"/>
              </w:rPr>
              <w:t>тыс. человек</w:t>
            </w:r>
          </w:p>
        </w:tc>
        <w:tc>
          <w:tcPr>
            <w:tcW w:w="1559" w:type="dxa"/>
            <w:tcBorders>
              <w:top w:val="single" w:sz="4" w:space="0" w:color="000000"/>
              <w:left w:val="single" w:sz="4" w:space="0" w:color="000000"/>
              <w:bottom w:val="single" w:sz="4" w:space="0" w:color="000000"/>
            </w:tcBorders>
            <w:vAlign w:val="bottom"/>
          </w:tcPr>
          <w:p w14:paraId="1E9A3CB6" w14:textId="77777777" w:rsidR="00E72F82" w:rsidRPr="00175E32" w:rsidRDefault="00E72F82" w:rsidP="00FB71FD">
            <w:pPr>
              <w:pStyle w:val="230"/>
              <w:keepNext/>
              <w:keepLines/>
              <w:spacing w:after="0" w:line="240" w:lineRule="auto"/>
              <w:ind w:left="0" w:firstLine="0"/>
              <w:jc w:val="center"/>
              <w:rPr>
                <w:szCs w:val="24"/>
              </w:rPr>
            </w:pPr>
            <w:r w:rsidRPr="00175E32">
              <w:rPr>
                <w:szCs w:val="24"/>
              </w:rPr>
              <w:t>362,9</w:t>
            </w:r>
          </w:p>
        </w:tc>
        <w:tc>
          <w:tcPr>
            <w:tcW w:w="1135" w:type="dxa"/>
            <w:tcBorders>
              <w:top w:val="single" w:sz="4" w:space="0" w:color="000000"/>
              <w:left w:val="single" w:sz="4" w:space="0" w:color="000000"/>
              <w:bottom w:val="single" w:sz="4" w:space="0" w:color="000000"/>
            </w:tcBorders>
            <w:vAlign w:val="bottom"/>
          </w:tcPr>
          <w:p w14:paraId="1E17D195" w14:textId="77777777" w:rsidR="00E72F82" w:rsidRPr="00175E32" w:rsidRDefault="00E72F82" w:rsidP="00FB71FD">
            <w:pPr>
              <w:pStyle w:val="230"/>
              <w:keepNext/>
              <w:keepLines/>
              <w:spacing w:after="0" w:line="240" w:lineRule="auto"/>
              <w:ind w:left="0" w:firstLine="0"/>
              <w:jc w:val="center"/>
              <w:rPr>
                <w:szCs w:val="24"/>
              </w:rPr>
            </w:pPr>
            <w:r w:rsidRPr="00175E32">
              <w:rPr>
                <w:szCs w:val="24"/>
              </w:rPr>
              <w:t>364,0</w:t>
            </w:r>
          </w:p>
        </w:tc>
        <w:tc>
          <w:tcPr>
            <w:tcW w:w="1417" w:type="dxa"/>
            <w:tcBorders>
              <w:top w:val="single" w:sz="4" w:space="0" w:color="000000"/>
              <w:left w:val="single" w:sz="4" w:space="0" w:color="000000"/>
              <w:bottom w:val="single" w:sz="4" w:space="0" w:color="000000"/>
              <w:right w:val="single" w:sz="4" w:space="0" w:color="000000"/>
            </w:tcBorders>
            <w:vAlign w:val="bottom"/>
          </w:tcPr>
          <w:p w14:paraId="12D01534" w14:textId="77777777" w:rsidR="00E72F82" w:rsidRPr="00175E32" w:rsidRDefault="00E72F82" w:rsidP="00FB71FD">
            <w:pPr>
              <w:pStyle w:val="230"/>
              <w:keepNext/>
              <w:keepLines/>
              <w:spacing w:after="0" w:line="240" w:lineRule="auto"/>
              <w:ind w:left="0" w:firstLine="0"/>
              <w:jc w:val="center"/>
            </w:pPr>
            <w:r w:rsidRPr="00175E32">
              <w:t>353,0</w:t>
            </w:r>
          </w:p>
        </w:tc>
      </w:tr>
      <w:tr w:rsidR="00E72F82" w:rsidRPr="00175E32" w14:paraId="3D9DE8AC" w14:textId="77777777" w:rsidTr="002754E7">
        <w:tc>
          <w:tcPr>
            <w:tcW w:w="4061" w:type="dxa"/>
            <w:tcBorders>
              <w:top w:val="single" w:sz="4" w:space="0" w:color="000000"/>
              <w:left w:val="single" w:sz="4" w:space="0" w:color="000000"/>
              <w:bottom w:val="single" w:sz="4" w:space="0" w:color="000000"/>
            </w:tcBorders>
          </w:tcPr>
          <w:p w14:paraId="0AFCF804" w14:textId="77777777" w:rsidR="00E72F82" w:rsidRPr="00175E32" w:rsidRDefault="00E72F82" w:rsidP="00E72F82">
            <w:pPr>
              <w:pStyle w:val="230"/>
              <w:spacing w:after="0" w:line="240" w:lineRule="auto"/>
              <w:ind w:left="0" w:firstLine="0"/>
              <w:rPr>
                <w:szCs w:val="24"/>
              </w:rPr>
            </w:pPr>
            <w:r w:rsidRPr="00175E32">
              <w:rPr>
                <w:szCs w:val="24"/>
              </w:rPr>
              <w:t xml:space="preserve">Уровень официальной безработицы относительно населения в </w:t>
            </w:r>
            <w:proofErr w:type="spellStart"/>
            <w:proofErr w:type="gramStart"/>
            <w:r w:rsidRPr="00175E32">
              <w:rPr>
                <w:szCs w:val="24"/>
              </w:rPr>
              <w:t>трудоспо-собном</w:t>
            </w:r>
            <w:proofErr w:type="spellEnd"/>
            <w:proofErr w:type="gramEnd"/>
            <w:r w:rsidRPr="00175E32">
              <w:rPr>
                <w:szCs w:val="24"/>
              </w:rPr>
              <w:t xml:space="preserve"> возрасте (среднегодовой)</w:t>
            </w:r>
          </w:p>
        </w:tc>
        <w:tc>
          <w:tcPr>
            <w:tcW w:w="1559" w:type="dxa"/>
            <w:tcBorders>
              <w:top w:val="single" w:sz="4" w:space="0" w:color="000000"/>
              <w:left w:val="single" w:sz="4" w:space="0" w:color="000000"/>
              <w:bottom w:val="single" w:sz="4" w:space="0" w:color="000000"/>
            </w:tcBorders>
            <w:vAlign w:val="bottom"/>
          </w:tcPr>
          <w:p w14:paraId="25C362D5" w14:textId="77777777" w:rsidR="00E72F82" w:rsidRPr="00175E32" w:rsidRDefault="00E72F82" w:rsidP="00E72F82">
            <w:pPr>
              <w:pStyle w:val="230"/>
              <w:spacing w:after="0" w:line="240" w:lineRule="auto"/>
              <w:ind w:left="0" w:firstLine="0"/>
              <w:jc w:val="center"/>
              <w:rPr>
                <w:szCs w:val="24"/>
              </w:rPr>
            </w:pPr>
            <w:r w:rsidRPr="00175E32">
              <w:rPr>
                <w:szCs w:val="24"/>
              </w:rPr>
              <w:t>%</w:t>
            </w:r>
          </w:p>
        </w:tc>
        <w:tc>
          <w:tcPr>
            <w:tcW w:w="1559" w:type="dxa"/>
            <w:tcBorders>
              <w:top w:val="single" w:sz="4" w:space="0" w:color="000000"/>
              <w:left w:val="single" w:sz="4" w:space="0" w:color="000000"/>
              <w:bottom w:val="single" w:sz="4" w:space="0" w:color="000000"/>
            </w:tcBorders>
            <w:vAlign w:val="bottom"/>
          </w:tcPr>
          <w:p w14:paraId="53B353C1" w14:textId="77777777" w:rsidR="00E72F82" w:rsidRPr="00175E32" w:rsidRDefault="00E72F82" w:rsidP="00FB71FD">
            <w:pPr>
              <w:pStyle w:val="230"/>
              <w:spacing w:after="0" w:line="240" w:lineRule="auto"/>
              <w:ind w:left="0" w:firstLine="0"/>
              <w:jc w:val="center"/>
              <w:rPr>
                <w:szCs w:val="24"/>
              </w:rPr>
            </w:pPr>
            <w:r w:rsidRPr="00175E32">
              <w:rPr>
                <w:szCs w:val="24"/>
              </w:rPr>
              <w:t>1,02</w:t>
            </w:r>
          </w:p>
        </w:tc>
        <w:tc>
          <w:tcPr>
            <w:tcW w:w="1135" w:type="dxa"/>
            <w:tcBorders>
              <w:top w:val="single" w:sz="4" w:space="0" w:color="000000"/>
              <w:left w:val="single" w:sz="4" w:space="0" w:color="000000"/>
              <w:bottom w:val="single" w:sz="4" w:space="0" w:color="000000"/>
            </w:tcBorders>
            <w:vAlign w:val="bottom"/>
          </w:tcPr>
          <w:p w14:paraId="21A0ECCE" w14:textId="77777777" w:rsidR="00E72F82" w:rsidRPr="00175E32" w:rsidRDefault="00E72F82" w:rsidP="00FB71FD">
            <w:pPr>
              <w:pStyle w:val="230"/>
              <w:spacing w:after="0" w:line="240" w:lineRule="auto"/>
              <w:ind w:left="0" w:firstLine="0"/>
              <w:jc w:val="center"/>
              <w:rPr>
                <w:szCs w:val="24"/>
              </w:rPr>
            </w:pPr>
            <w:r w:rsidRPr="00175E32">
              <w:rPr>
                <w:szCs w:val="24"/>
              </w:rPr>
              <w:t>0,89</w:t>
            </w:r>
          </w:p>
        </w:tc>
        <w:tc>
          <w:tcPr>
            <w:tcW w:w="1417" w:type="dxa"/>
            <w:tcBorders>
              <w:top w:val="single" w:sz="4" w:space="0" w:color="000000"/>
              <w:left w:val="single" w:sz="4" w:space="0" w:color="000000"/>
              <w:bottom w:val="single" w:sz="4" w:space="0" w:color="000000"/>
              <w:right w:val="single" w:sz="4" w:space="0" w:color="000000"/>
            </w:tcBorders>
            <w:vAlign w:val="bottom"/>
          </w:tcPr>
          <w:p w14:paraId="35A95E92" w14:textId="77777777" w:rsidR="00E72F82" w:rsidRPr="00175E32" w:rsidRDefault="00E72F82" w:rsidP="00FB71FD">
            <w:pPr>
              <w:pStyle w:val="230"/>
              <w:spacing w:after="0" w:line="240" w:lineRule="auto"/>
              <w:ind w:left="0" w:firstLine="0"/>
              <w:jc w:val="center"/>
            </w:pPr>
            <w:r w:rsidRPr="00175E32">
              <w:t>3,14</w:t>
            </w:r>
          </w:p>
        </w:tc>
      </w:tr>
      <w:tr w:rsidR="00E72F82" w:rsidRPr="00175E32" w14:paraId="1B942E7D" w14:textId="77777777" w:rsidTr="002754E7">
        <w:tc>
          <w:tcPr>
            <w:tcW w:w="4061" w:type="dxa"/>
            <w:tcBorders>
              <w:top w:val="single" w:sz="4" w:space="0" w:color="000000"/>
              <w:left w:val="single" w:sz="4" w:space="0" w:color="000000"/>
              <w:bottom w:val="single" w:sz="4" w:space="0" w:color="000000"/>
            </w:tcBorders>
          </w:tcPr>
          <w:p w14:paraId="6DF3DBF5" w14:textId="77777777" w:rsidR="00E72F82" w:rsidRPr="00175E32" w:rsidRDefault="00E72F82" w:rsidP="00E72F82">
            <w:pPr>
              <w:pStyle w:val="230"/>
              <w:spacing w:after="0" w:line="240" w:lineRule="auto"/>
              <w:ind w:left="0" w:firstLine="0"/>
              <w:rPr>
                <w:szCs w:val="24"/>
              </w:rPr>
            </w:pPr>
            <w:r w:rsidRPr="00175E32">
              <w:rPr>
                <w:szCs w:val="24"/>
              </w:rPr>
              <w:t>Среднегодовая численность безработных, зарегистрированных в службе занятости населения</w:t>
            </w:r>
          </w:p>
        </w:tc>
        <w:tc>
          <w:tcPr>
            <w:tcW w:w="1559" w:type="dxa"/>
            <w:tcBorders>
              <w:top w:val="single" w:sz="4" w:space="0" w:color="000000"/>
              <w:left w:val="single" w:sz="4" w:space="0" w:color="000000"/>
              <w:bottom w:val="single" w:sz="4" w:space="0" w:color="000000"/>
            </w:tcBorders>
            <w:vAlign w:val="bottom"/>
          </w:tcPr>
          <w:p w14:paraId="3F4A3F2A" w14:textId="77777777" w:rsidR="00E72F82" w:rsidRPr="00175E32" w:rsidRDefault="00E72F82" w:rsidP="00E72F82">
            <w:pPr>
              <w:pStyle w:val="230"/>
              <w:spacing w:after="0" w:line="240" w:lineRule="auto"/>
              <w:ind w:left="0" w:firstLine="0"/>
              <w:jc w:val="center"/>
              <w:rPr>
                <w:szCs w:val="24"/>
              </w:rPr>
            </w:pPr>
            <w:r w:rsidRPr="00175E32">
              <w:rPr>
                <w:szCs w:val="24"/>
              </w:rPr>
              <w:t>тыс. человек</w:t>
            </w:r>
          </w:p>
        </w:tc>
        <w:tc>
          <w:tcPr>
            <w:tcW w:w="1559" w:type="dxa"/>
            <w:tcBorders>
              <w:top w:val="single" w:sz="4" w:space="0" w:color="000000"/>
              <w:left w:val="single" w:sz="4" w:space="0" w:color="000000"/>
              <w:bottom w:val="single" w:sz="4" w:space="0" w:color="000000"/>
            </w:tcBorders>
            <w:vAlign w:val="bottom"/>
          </w:tcPr>
          <w:p w14:paraId="1E65FD29" w14:textId="77777777" w:rsidR="00E72F82" w:rsidRPr="00175E32" w:rsidRDefault="00E72F82" w:rsidP="00FB71FD">
            <w:pPr>
              <w:pStyle w:val="230"/>
              <w:spacing w:after="0" w:line="240" w:lineRule="auto"/>
              <w:ind w:left="0" w:firstLine="0"/>
              <w:jc w:val="center"/>
              <w:rPr>
                <w:szCs w:val="24"/>
              </w:rPr>
            </w:pPr>
            <w:r w:rsidRPr="00175E32">
              <w:rPr>
                <w:szCs w:val="24"/>
              </w:rPr>
              <w:t>4,0</w:t>
            </w:r>
          </w:p>
        </w:tc>
        <w:tc>
          <w:tcPr>
            <w:tcW w:w="1135" w:type="dxa"/>
            <w:tcBorders>
              <w:top w:val="single" w:sz="4" w:space="0" w:color="000000"/>
              <w:left w:val="single" w:sz="4" w:space="0" w:color="000000"/>
              <w:bottom w:val="single" w:sz="4" w:space="0" w:color="000000"/>
            </w:tcBorders>
            <w:vAlign w:val="bottom"/>
          </w:tcPr>
          <w:p w14:paraId="49ADCBA3" w14:textId="77777777" w:rsidR="00E72F82" w:rsidRPr="00175E32" w:rsidRDefault="00E72F82" w:rsidP="00FB71FD">
            <w:pPr>
              <w:pStyle w:val="230"/>
              <w:spacing w:after="0" w:line="240" w:lineRule="auto"/>
              <w:ind w:left="0" w:firstLine="0"/>
              <w:jc w:val="center"/>
              <w:rPr>
                <w:szCs w:val="24"/>
              </w:rPr>
            </w:pPr>
            <w:r w:rsidRPr="00175E32">
              <w:rPr>
                <w:szCs w:val="24"/>
              </w:rPr>
              <w:t>3,5</w:t>
            </w:r>
          </w:p>
        </w:tc>
        <w:tc>
          <w:tcPr>
            <w:tcW w:w="1417" w:type="dxa"/>
            <w:tcBorders>
              <w:top w:val="single" w:sz="4" w:space="0" w:color="000000"/>
              <w:left w:val="single" w:sz="4" w:space="0" w:color="000000"/>
              <w:bottom w:val="single" w:sz="4" w:space="0" w:color="000000"/>
              <w:right w:val="single" w:sz="4" w:space="0" w:color="000000"/>
            </w:tcBorders>
            <w:vAlign w:val="bottom"/>
          </w:tcPr>
          <w:p w14:paraId="2B69F978" w14:textId="77777777" w:rsidR="00E72F82" w:rsidRPr="00175E32" w:rsidRDefault="00E72F82" w:rsidP="00FB71FD">
            <w:pPr>
              <w:pStyle w:val="230"/>
              <w:spacing w:after="0" w:line="240" w:lineRule="auto"/>
              <w:ind w:left="0" w:firstLine="0"/>
              <w:jc w:val="center"/>
            </w:pPr>
            <w:r w:rsidRPr="00175E32">
              <w:t>12,5</w:t>
            </w:r>
          </w:p>
        </w:tc>
      </w:tr>
    </w:tbl>
    <w:p w14:paraId="1EC8263D" w14:textId="77777777" w:rsidR="00E72F82" w:rsidRPr="00175E32" w:rsidRDefault="00E72F82" w:rsidP="00E72F82">
      <w:pPr>
        <w:pStyle w:val="af5"/>
        <w:tabs>
          <w:tab w:val="left" w:pos="1134"/>
        </w:tabs>
        <w:spacing w:line="276" w:lineRule="auto"/>
        <w:ind w:right="0" w:firstLine="709"/>
        <w:rPr>
          <w:szCs w:val="24"/>
        </w:rPr>
      </w:pPr>
    </w:p>
    <w:p w14:paraId="7F6FA7CE" w14:textId="77777777" w:rsidR="00915495" w:rsidRPr="00175E32" w:rsidRDefault="00915495" w:rsidP="00915495">
      <w:pPr>
        <w:pStyle w:val="af5"/>
        <w:tabs>
          <w:tab w:val="left" w:pos="1134"/>
        </w:tabs>
        <w:spacing w:line="276" w:lineRule="auto"/>
        <w:ind w:right="0" w:firstLine="709"/>
        <w:rPr>
          <w:szCs w:val="24"/>
        </w:rPr>
      </w:pPr>
      <w:r w:rsidRPr="00175E32">
        <w:rPr>
          <w:szCs w:val="24"/>
        </w:rPr>
        <w:t xml:space="preserve">С учетом скорректированного органами статистики фактического значения показателя за 2018 год, оценочные значения показателя на последующие периоды увеличены, в том числе </w:t>
      </w:r>
      <w:r w:rsidR="00D4613F">
        <w:rPr>
          <w:szCs w:val="24"/>
        </w:rPr>
        <w:t xml:space="preserve">численность трудовых ресурсов </w:t>
      </w:r>
      <w:r w:rsidRPr="00175E32">
        <w:rPr>
          <w:szCs w:val="24"/>
        </w:rPr>
        <w:t>на 2019 год – до 443,8 тыс. человек. С учетом сложившейся ситуации в текущем году оценка численности трудовых ресурсов на 2020 год составила 436,2 тыс. человек, что на 7,6 тыс. человек меньше 2019 года (на 7,7 и 8,7 тыс. человек выше базового и консервативного варианта прогноза соответственно).</w:t>
      </w:r>
    </w:p>
    <w:p w14:paraId="79858C22" w14:textId="77777777" w:rsidR="00035AF4" w:rsidRPr="00175E32" w:rsidRDefault="00E72F82" w:rsidP="00E72F82">
      <w:pPr>
        <w:pStyle w:val="af5"/>
        <w:tabs>
          <w:tab w:val="left" w:pos="1134"/>
        </w:tabs>
        <w:spacing w:line="276" w:lineRule="auto"/>
        <w:ind w:right="0" w:firstLine="709"/>
        <w:rPr>
          <w:szCs w:val="24"/>
        </w:rPr>
      </w:pPr>
      <w:r w:rsidRPr="00175E32">
        <w:rPr>
          <w:szCs w:val="24"/>
        </w:rPr>
        <w:t xml:space="preserve">Основным фактором, влияющим на снижение численности трудовых ресурсов </w:t>
      </w:r>
      <w:r w:rsidR="007D5F6C">
        <w:rPr>
          <w:szCs w:val="24"/>
        </w:rPr>
        <w:t>городского округа Тольятти</w:t>
      </w:r>
      <w:r w:rsidRPr="00175E32">
        <w:rPr>
          <w:szCs w:val="24"/>
        </w:rPr>
        <w:t xml:space="preserve"> в 2020 году, является тенденция сокращения численности населения трудоспособного возраста (по оценке на 0,5 тыс. человек), и существенное снижение иностранных трудовых ресурсов вследствие введения ограничительных мер по коронавирусу (по оценке на 7 тыс. человек).</w:t>
      </w:r>
    </w:p>
    <w:p w14:paraId="135DEFC3" w14:textId="77777777" w:rsidR="00E72F82" w:rsidRPr="00175E32" w:rsidRDefault="00E72F82" w:rsidP="00E72F82">
      <w:pPr>
        <w:pStyle w:val="af5"/>
        <w:tabs>
          <w:tab w:val="left" w:pos="1134"/>
        </w:tabs>
        <w:spacing w:line="276" w:lineRule="auto"/>
        <w:ind w:right="0" w:firstLine="709"/>
        <w:rPr>
          <w:szCs w:val="24"/>
        </w:rPr>
      </w:pPr>
      <w:r w:rsidRPr="00175E32">
        <w:rPr>
          <w:szCs w:val="24"/>
        </w:rPr>
        <w:t xml:space="preserve">Значение показателя «Численность занятых в экономике», согласно прогнозу </w:t>
      </w:r>
      <w:proofErr w:type="gramStart"/>
      <w:r w:rsidRPr="00175E32">
        <w:rPr>
          <w:szCs w:val="24"/>
        </w:rPr>
        <w:t>в 2020 году</w:t>
      </w:r>
      <w:proofErr w:type="gramEnd"/>
      <w:r w:rsidRPr="00175E32">
        <w:rPr>
          <w:szCs w:val="24"/>
        </w:rPr>
        <w:t xml:space="preserve"> ожидалось на уровне 362,9 – 364,0 тыс. человек в зависимости от варианта. </w:t>
      </w:r>
      <w:r w:rsidRPr="00175E32">
        <w:t xml:space="preserve">Однако, с учетом скорректированного органами статистики фактического значения показателя за 2018 год, оценка показателя за 2019 год увеличена </w:t>
      </w:r>
      <w:r w:rsidR="00D4613F">
        <w:t xml:space="preserve">администрацией городского округа Тольятти </w:t>
      </w:r>
      <w:r w:rsidRPr="00175E32">
        <w:t>до 363,6 тыс. человек. Ограничительные мероприятия направленные на снижение распространения новой коронавирусной инфекции</w:t>
      </w:r>
      <w:r w:rsidRPr="00175E32">
        <w:rPr>
          <w:szCs w:val="24"/>
        </w:rPr>
        <w:t xml:space="preserve">, в том числе ограничение передвижения по территории </w:t>
      </w:r>
      <w:r w:rsidR="00D4613F">
        <w:rPr>
          <w:szCs w:val="24"/>
        </w:rPr>
        <w:t>Российской Федерации</w:t>
      </w:r>
      <w:r w:rsidRPr="00175E32">
        <w:rPr>
          <w:szCs w:val="24"/>
        </w:rPr>
        <w:t xml:space="preserve"> и за пределы государства, нагрузка на пострадавшие отрасли экономики, </w:t>
      </w:r>
      <w:r w:rsidR="00035AF4" w:rsidRPr="00175E32">
        <w:rPr>
          <w:szCs w:val="24"/>
        </w:rPr>
        <w:t xml:space="preserve">а также </w:t>
      </w:r>
      <w:r w:rsidRPr="00175E32">
        <w:rPr>
          <w:szCs w:val="24"/>
        </w:rPr>
        <w:t xml:space="preserve">рост числа безработных граждан, </w:t>
      </w:r>
      <w:r w:rsidR="00035AF4" w:rsidRPr="00175E32">
        <w:rPr>
          <w:szCs w:val="24"/>
        </w:rPr>
        <w:t>существенно</w:t>
      </w:r>
      <w:r w:rsidRPr="00175E32">
        <w:rPr>
          <w:szCs w:val="24"/>
        </w:rPr>
        <w:t xml:space="preserve"> повлияли на сокращение занятых в экономике город</w:t>
      </w:r>
      <w:r w:rsidR="00D4613F">
        <w:rPr>
          <w:szCs w:val="24"/>
        </w:rPr>
        <w:t>ского округа Тольятти</w:t>
      </w:r>
      <w:r w:rsidRPr="00175E32">
        <w:rPr>
          <w:szCs w:val="24"/>
        </w:rPr>
        <w:t>. В 2020 году оценка данного показателя составила 353,0 тыс. человек (снижение относительно</w:t>
      </w:r>
      <w:r w:rsidRPr="00175E32">
        <w:t xml:space="preserve"> 2019 года </w:t>
      </w:r>
      <w:r w:rsidR="00D4613F">
        <w:t xml:space="preserve">на </w:t>
      </w:r>
      <w:r w:rsidRPr="00175E32">
        <w:t>10,6 тыс. человек).</w:t>
      </w:r>
    </w:p>
    <w:p w14:paraId="15C3C59D" w14:textId="77777777" w:rsidR="00E72F82" w:rsidRPr="00175E32" w:rsidRDefault="00E72F82" w:rsidP="00E72F82">
      <w:pPr>
        <w:pStyle w:val="320"/>
        <w:tabs>
          <w:tab w:val="left" w:pos="1134"/>
        </w:tabs>
        <w:spacing w:line="276" w:lineRule="auto"/>
        <w:ind w:firstLine="709"/>
        <w:rPr>
          <w:sz w:val="24"/>
          <w:szCs w:val="24"/>
        </w:rPr>
      </w:pPr>
      <w:r w:rsidRPr="00175E32">
        <w:rPr>
          <w:sz w:val="24"/>
          <w:szCs w:val="24"/>
        </w:rPr>
        <w:t>Реализация мер активной политики в сфере занятости населения городского округа Тольятти будет способствовать сдерживанию темпов роста регистрируемой безработицы до конца 2020 года.</w:t>
      </w:r>
    </w:p>
    <w:p w14:paraId="1280CD3D" w14:textId="77777777" w:rsidR="00E72F82" w:rsidRPr="00175E32" w:rsidRDefault="00E72F82" w:rsidP="00E72F82">
      <w:pPr>
        <w:tabs>
          <w:tab w:val="left" w:pos="1134"/>
        </w:tabs>
        <w:spacing w:line="276" w:lineRule="auto"/>
        <w:rPr>
          <w:szCs w:val="24"/>
        </w:rPr>
      </w:pPr>
      <w:r w:rsidRPr="00175E32">
        <w:rPr>
          <w:szCs w:val="24"/>
        </w:rPr>
        <w:lastRenderedPageBreak/>
        <w:t xml:space="preserve">По оценке, за 2020 год численность зарегистрированных безработных в среднегодовом исчислении может увеличится относительно 2019 года с 3,6 тыс. человек до </w:t>
      </w:r>
      <w:r w:rsidRPr="00175E32">
        <w:t>12,5</w:t>
      </w:r>
      <w:r w:rsidRPr="00175E32">
        <w:rPr>
          <w:szCs w:val="24"/>
        </w:rPr>
        <w:t xml:space="preserve"> тыс. человек. При этом среднегодовой уровень безработицы ожидается на уровне </w:t>
      </w:r>
      <w:r w:rsidR="00312DF1" w:rsidRPr="00312DF1">
        <w:rPr>
          <w:szCs w:val="24"/>
        </w:rPr>
        <w:t>3</w:t>
      </w:r>
      <w:r w:rsidRPr="00312DF1">
        <w:t>,</w:t>
      </w:r>
      <w:r w:rsidR="00312DF1" w:rsidRPr="00312DF1">
        <w:t>14</w:t>
      </w:r>
      <w:r w:rsidRPr="00312DF1">
        <w:t>%.</w:t>
      </w:r>
    </w:p>
    <w:p w14:paraId="724E4F49" w14:textId="77777777" w:rsidR="00153B9D" w:rsidRPr="00175E32" w:rsidRDefault="00153B9D" w:rsidP="00443EE9">
      <w:pPr>
        <w:spacing w:line="276" w:lineRule="auto"/>
        <w:rPr>
          <w:szCs w:val="24"/>
        </w:rPr>
      </w:pPr>
    </w:p>
    <w:p w14:paraId="41449137" w14:textId="77777777" w:rsidR="00A50BA4" w:rsidRPr="00175E32" w:rsidRDefault="00A50BA4" w:rsidP="00D4613F">
      <w:pPr>
        <w:pStyle w:val="3"/>
        <w:ind w:left="0" w:firstLine="0"/>
      </w:pPr>
      <w:r w:rsidRPr="00175E32">
        <w:t>Заработная плата</w:t>
      </w:r>
      <w:bookmarkStart w:id="3" w:name="зарплата"/>
      <w:bookmarkEnd w:id="3"/>
    </w:p>
    <w:p w14:paraId="7E83C1D2" w14:textId="77777777" w:rsidR="00A50BA4" w:rsidRPr="00175E32" w:rsidRDefault="00A50BA4" w:rsidP="00443EE9">
      <w:pPr>
        <w:tabs>
          <w:tab w:val="left" w:pos="1134"/>
        </w:tabs>
        <w:spacing w:line="276" w:lineRule="auto"/>
        <w:jc w:val="center"/>
        <w:rPr>
          <w:b/>
          <w:szCs w:val="24"/>
        </w:rPr>
      </w:pPr>
    </w:p>
    <w:p w14:paraId="1FAF8323" w14:textId="77777777" w:rsidR="00E72F82" w:rsidRPr="00175E32" w:rsidRDefault="00E72F82" w:rsidP="00251693">
      <w:pPr>
        <w:spacing w:line="276" w:lineRule="auto"/>
        <w:rPr>
          <w:szCs w:val="24"/>
          <w:lang w:eastAsia="ar-SA"/>
        </w:rPr>
      </w:pPr>
      <w:r w:rsidRPr="00175E32">
        <w:rPr>
          <w:szCs w:val="24"/>
        </w:rPr>
        <w:t>Среднемесячная номинальная начисленная заработная плата</w:t>
      </w:r>
      <w:r w:rsidRPr="00175E32">
        <w:rPr>
          <w:rFonts w:eastAsia="Calibri"/>
          <w:i/>
          <w:szCs w:val="24"/>
          <w:lang w:eastAsia="ar-SA"/>
        </w:rPr>
        <w:t xml:space="preserve"> </w:t>
      </w:r>
      <w:r w:rsidRPr="00175E32">
        <w:rPr>
          <w:szCs w:val="24"/>
          <w:lang w:eastAsia="ar-SA"/>
        </w:rPr>
        <w:t xml:space="preserve">работников </w:t>
      </w:r>
      <w:r w:rsidRPr="00175E32">
        <w:rPr>
          <w:rFonts w:eastAsia="Calibri"/>
          <w:szCs w:val="24"/>
          <w:lang w:eastAsia="ar-SA"/>
        </w:rPr>
        <w:t xml:space="preserve">организаций </w:t>
      </w:r>
      <w:r w:rsidRPr="00175E32">
        <w:rPr>
          <w:szCs w:val="24"/>
          <w:lang w:eastAsia="ar-SA"/>
        </w:rPr>
        <w:t xml:space="preserve">городского округа </w:t>
      </w:r>
      <w:r w:rsidRPr="00175E32">
        <w:rPr>
          <w:rFonts w:eastAsia="Calibri"/>
          <w:szCs w:val="24"/>
          <w:lang w:eastAsia="ar-SA"/>
        </w:rPr>
        <w:t>Тольятти</w:t>
      </w:r>
      <w:r w:rsidRPr="00175E32">
        <w:rPr>
          <w:szCs w:val="24"/>
          <w:lang w:eastAsia="ar-SA"/>
        </w:rPr>
        <w:t xml:space="preserve">, не относящихся к субъектам малого предпринимательства (далее по разделу - заработная плата), </w:t>
      </w:r>
      <w:r w:rsidRPr="00175E32">
        <w:rPr>
          <w:rFonts w:eastAsia="Calibri"/>
          <w:szCs w:val="24"/>
          <w:lang w:eastAsia="ar-SA"/>
        </w:rPr>
        <w:t xml:space="preserve">по итогам 1 полугодия 2020 года увеличилась по сравнению с аналогичным периодом 2019 года на 4,7% (в реальном исчислении - на 1,8%) и составила 40436 рублей. </w:t>
      </w:r>
      <w:r w:rsidRPr="00175E32">
        <w:rPr>
          <w:szCs w:val="24"/>
          <w:lang w:eastAsia="ar-SA"/>
        </w:rPr>
        <w:t>Уровень заработной платы в городском округе Тольятти по итогам 1 полугодия 2020 сложился ниже среднеобластного значения на 4,1%.</w:t>
      </w:r>
    </w:p>
    <w:p w14:paraId="2B469448" w14:textId="77777777" w:rsidR="00E72F82" w:rsidRPr="00175E32" w:rsidRDefault="00E72F82" w:rsidP="00251693">
      <w:pPr>
        <w:spacing w:line="276" w:lineRule="auto"/>
        <w:rPr>
          <w:szCs w:val="24"/>
          <w:lang w:eastAsia="ar-SA"/>
        </w:rPr>
      </w:pPr>
      <w:r w:rsidRPr="00175E32">
        <w:rPr>
          <w:rFonts w:eastAsia="Calibri"/>
          <w:szCs w:val="24"/>
          <w:lang w:eastAsia="ar-SA"/>
        </w:rPr>
        <w:t>В рейтинге городских округов Самарской области за январь-июнь 2020 года городской округ Тольятти занял четвертое место (на уровне предыдущего года) по уровню заработной платы.</w:t>
      </w:r>
    </w:p>
    <w:p w14:paraId="4DB35B55" w14:textId="77777777" w:rsidR="00E72F82" w:rsidRPr="00175E32" w:rsidRDefault="00E72F82" w:rsidP="00251693">
      <w:pPr>
        <w:pStyle w:val="231"/>
        <w:spacing w:after="0" w:line="276" w:lineRule="auto"/>
        <w:rPr>
          <w:szCs w:val="24"/>
        </w:rPr>
      </w:pPr>
      <w:r w:rsidRPr="00175E32">
        <w:rPr>
          <w:szCs w:val="24"/>
        </w:rPr>
        <w:t>Как и в прошлые периоды, дифференциация среднемесячной заработной платы в различных секторах экономики сохраняется высокой.</w:t>
      </w:r>
    </w:p>
    <w:p w14:paraId="74C3A929" w14:textId="77777777" w:rsidR="00E72F82" w:rsidRPr="00175E32" w:rsidRDefault="00E72F82" w:rsidP="00251693">
      <w:pPr>
        <w:pStyle w:val="aff0"/>
        <w:spacing w:line="276" w:lineRule="auto"/>
        <w:rPr>
          <w:sz w:val="24"/>
          <w:szCs w:val="24"/>
        </w:rPr>
      </w:pPr>
      <w:r w:rsidRPr="00175E32">
        <w:rPr>
          <w:sz w:val="24"/>
          <w:szCs w:val="24"/>
        </w:rPr>
        <w:t>По итогам 1 полугодия 2020 года лидером по уровню заработной платы является деятельность профессиональная, научная и техническая (64 289 рублей, в 1,6 раза больше, чем в целом по город</w:t>
      </w:r>
      <w:r w:rsidR="00D4613F">
        <w:rPr>
          <w:sz w:val="24"/>
          <w:szCs w:val="24"/>
        </w:rPr>
        <w:t>скому округу Тольятти</w:t>
      </w:r>
      <w:r w:rsidRPr="00175E32">
        <w:rPr>
          <w:sz w:val="24"/>
          <w:szCs w:val="24"/>
        </w:rPr>
        <w:t>). Также одним из самых оплачиваемым видом деятельности является химическое производство (в 1,4 раза, 57 552 рублей), строительная деятельности (в 1,4 раза, 54 687 рублей), деятельность финансовая и страховая (в 1,2 раза, 47 905 рублей), а также производство автотранспортных средств, прицепов и полуприцепов (в 1,2 раза, 47 788 рублей).</w:t>
      </w:r>
    </w:p>
    <w:p w14:paraId="113D8F92" w14:textId="77777777" w:rsidR="00E72F82" w:rsidRPr="00175E32" w:rsidRDefault="00E72F82" w:rsidP="00251693">
      <w:pPr>
        <w:pStyle w:val="aff0"/>
        <w:spacing w:line="276" w:lineRule="auto"/>
        <w:rPr>
          <w:sz w:val="24"/>
          <w:szCs w:val="24"/>
        </w:rPr>
      </w:pPr>
      <w:r w:rsidRPr="00175E32">
        <w:rPr>
          <w:sz w:val="24"/>
          <w:szCs w:val="24"/>
        </w:rPr>
        <w:t xml:space="preserve">Самый низкий уровень заработной платы зафиксирован по ряду обрабатывающих производств: предприятия деятельности по производству текстильных изделий (51,0% от среднемесячной заработной платы по </w:t>
      </w:r>
      <w:r w:rsidR="00D4613F">
        <w:rPr>
          <w:sz w:val="24"/>
          <w:szCs w:val="24"/>
        </w:rPr>
        <w:t xml:space="preserve">городскому </w:t>
      </w:r>
      <w:r w:rsidRPr="00175E32">
        <w:rPr>
          <w:sz w:val="24"/>
          <w:szCs w:val="24"/>
        </w:rPr>
        <w:t>округу</w:t>
      </w:r>
      <w:r w:rsidR="00D4613F">
        <w:rPr>
          <w:sz w:val="24"/>
          <w:szCs w:val="24"/>
        </w:rPr>
        <w:t xml:space="preserve"> Тольятти</w:t>
      </w:r>
      <w:r w:rsidRPr="00175E32">
        <w:rPr>
          <w:sz w:val="24"/>
          <w:szCs w:val="24"/>
        </w:rPr>
        <w:t>), по производству пищевых продуктов (58,0%). Также невысокий уровень заработной платы зафиксирован в гостиницах и предприятиях общественного питания (59,3%).</w:t>
      </w:r>
    </w:p>
    <w:p w14:paraId="01B98951" w14:textId="77777777" w:rsidR="00E72F82" w:rsidRPr="00175E32" w:rsidRDefault="00E72F82" w:rsidP="00251693">
      <w:pPr>
        <w:pStyle w:val="aff0"/>
        <w:spacing w:line="276" w:lineRule="auto"/>
        <w:rPr>
          <w:sz w:val="24"/>
          <w:szCs w:val="24"/>
        </w:rPr>
      </w:pPr>
      <w:r w:rsidRPr="00175E32">
        <w:rPr>
          <w:sz w:val="24"/>
          <w:szCs w:val="24"/>
        </w:rPr>
        <w:t>При этом по сравнению с аналогичным периодом прошлого года заработная плата выросла практически во всех наблюдаемых видах экономической деятельности за исключением деятельности гостиниц и предприятий общественного питания, деятельность в области спорта, отдыха и развлечений, деятельность в области информации и связи. Эти же отрасти признаны наиболее пострадавшими в период ограничительных мер.</w:t>
      </w:r>
    </w:p>
    <w:p w14:paraId="45D5A185" w14:textId="77777777" w:rsidR="00E72F82" w:rsidRPr="00175E32" w:rsidRDefault="00E72F82" w:rsidP="00251693">
      <w:pPr>
        <w:pStyle w:val="aff0"/>
        <w:spacing w:line="276" w:lineRule="auto"/>
        <w:rPr>
          <w:sz w:val="24"/>
          <w:szCs w:val="24"/>
        </w:rPr>
      </w:pPr>
      <w:r w:rsidRPr="00175E32">
        <w:rPr>
          <w:sz w:val="24"/>
          <w:szCs w:val="24"/>
        </w:rPr>
        <w:t>Наиболее высокие темпы роста заработной платы отмечаются в строительной отрасти (140,4%), в здравоохранении (112,9%), в государственном управлении (109,3%), в организациях по предоставлению прочих видов услуг (108,1%). На предприятиях обрабатывающих производств заработная плата выросла на 3,0%.</w:t>
      </w:r>
    </w:p>
    <w:p w14:paraId="2FA254E5" w14:textId="77777777" w:rsidR="00E72F82" w:rsidRPr="00175E32" w:rsidRDefault="00E72F82" w:rsidP="00251693">
      <w:pPr>
        <w:pStyle w:val="aff0"/>
        <w:spacing w:line="276" w:lineRule="auto"/>
        <w:rPr>
          <w:sz w:val="24"/>
          <w:szCs w:val="24"/>
        </w:rPr>
      </w:pPr>
      <w:r w:rsidRPr="00175E32">
        <w:rPr>
          <w:sz w:val="24"/>
          <w:szCs w:val="24"/>
        </w:rPr>
        <w:t>Вместе с этим, значительная часть работающего населения городского округа Тольятти занята на предприятиях малого бизнеса, где уровень оплаты труда, как правило, ниже заработной платы работников крупных и средних организаций</w:t>
      </w:r>
      <w:r w:rsidR="00D4613F">
        <w:rPr>
          <w:sz w:val="24"/>
          <w:szCs w:val="24"/>
        </w:rPr>
        <w:t xml:space="preserve"> (данные отсутствуют)</w:t>
      </w:r>
      <w:r w:rsidRPr="00175E32">
        <w:rPr>
          <w:sz w:val="24"/>
          <w:szCs w:val="24"/>
        </w:rPr>
        <w:t xml:space="preserve">. </w:t>
      </w:r>
    </w:p>
    <w:p w14:paraId="019F9D0D" w14:textId="77777777" w:rsidR="00E72F82" w:rsidRPr="00175E32" w:rsidRDefault="00E72F82" w:rsidP="00E72F82">
      <w:pPr>
        <w:pStyle w:val="aff0"/>
        <w:spacing w:line="276" w:lineRule="auto"/>
        <w:rPr>
          <w:sz w:val="24"/>
          <w:szCs w:val="24"/>
        </w:rPr>
      </w:pPr>
      <w:r w:rsidRPr="00175E32">
        <w:rPr>
          <w:sz w:val="24"/>
          <w:szCs w:val="24"/>
        </w:rPr>
        <w:lastRenderedPageBreak/>
        <w:t>Согласно ст. 1 Федерального закона от 19.06.2000 № 82-ФЗ (с изменениями) «О минимальном размере оплаты труда», начиная с 1 января 2020 года, минимальный размер оплаты труда (МРОТ), установлен в размере величины прожиточного минимума трудоспособного населения в целом по Российской Федерации за второй квартал предыдущего года – 12 130 рублей.</w:t>
      </w:r>
    </w:p>
    <w:p w14:paraId="6358B69D" w14:textId="77777777" w:rsidR="00D4613F" w:rsidRDefault="00E72F82" w:rsidP="00D4613F">
      <w:pPr>
        <w:pStyle w:val="230"/>
        <w:keepNext/>
        <w:keepLines/>
        <w:spacing w:after="0" w:line="276" w:lineRule="auto"/>
        <w:ind w:left="0" w:firstLine="0"/>
        <w:jc w:val="center"/>
        <w:rPr>
          <w:bCs/>
          <w:szCs w:val="24"/>
        </w:rPr>
      </w:pPr>
      <w:r w:rsidRPr="00175E32">
        <w:rPr>
          <w:bCs/>
          <w:szCs w:val="24"/>
        </w:rPr>
        <w:t xml:space="preserve">Ожидаемое выполнение прогнозных показателей по разделу «Заработная плата» </w:t>
      </w:r>
    </w:p>
    <w:p w14:paraId="5D629C65" w14:textId="77777777" w:rsidR="00E72F82" w:rsidRPr="00175E32" w:rsidRDefault="00E72F82" w:rsidP="00D4613F">
      <w:pPr>
        <w:pStyle w:val="230"/>
        <w:keepNext/>
        <w:keepLines/>
        <w:spacing w:after="0" w:line="276" w:lineRule="auto"/>
        <w:ind w:left="0" w:firstLine="0"/>
        <w:jc w:val="center"/>
        <w:rPr>
          <w:bCs/>
          <w:szCs w:val="24"/>
        </w:rPr>
      </w:pPr>
      <w:r w:rsidRPr="00175E32">
        <w:rPr>
          <w:bCs/>
          <w:szCs w:val="24"/>
        </w:rPr>
        <w:t>на 2020 г</w:t>
      </w:r>
      <w:r w:rsidR="00D4613F">
        <w:rPr>
          <w:bCs/>
          <w:szCs w:val="24"/>
        </w:rPr>
        <w:t>од</w:t>
      </w:r>
    </w:p>
    <w:tbl>
      <w:tblPr>
        <w:tblW w:w="9370" w:type="dxa"/>
        <w:tblInd w:w="108" w:type="dxa"/>
        <w:tblLayout w:type="fixed"/>
        <w:tblLook w:val="0000" w:firstRow="0" w:lastRow="0" w:firstColumn="0" w:lastColumn="0" w:noHBand="0" w:noVBand="0"/>
      </w:tblPr>
      <w:tblGrid>
        <w:gridCol w:w="4678"/>
        <w:gridCol w:w="1134"/>
        <w:gridCol w:w="1253"/>
        <w:gridCol w:w="1191"/>
        <w:gridCol w:w="1114"/>
      </w:tblGrid>
      <w:tr w:rsidR="00E72F82" w:rsidRPr="00175E32" w14:paraId="6EF525BC" w14:textId="77777777" w:rsidTr="00AC7FC1">
        <w:trPr>
          <w:tblHeader/>
        </w:trPr>
        <w:tc>
          <w:tcPr>
            <w:tcW w:w="4678" w:type="dxa"/>
            <w:vMerge w:val="restart"/>
            <w:tcBorders>
              <w:top w:val="single" w:sz="4" w:space="0" w:color="000000"/>
              <w:left w:val="single" w:sz="4" w:space="0" w:color="000000"/>
              <w:bottom w:val="single" w:sz="4" w:space="0" w:color="000000"/>
            </w:tcBorders>
            <w:vAlign w:val="center"/>
          </w:tcPr>
          <w:p w14:paraId="2B16C18F" w14:textId="77777777" w:rsidR="00E72F82" w:rsidRPr="00175E32" w:rsidRDefault="00E72F82" w:rsidP="00E72F82">
            <w:pPr>
              <w:pStyle w:val="230"/>
              <w:keepNext/>
              <w:keepLines/>
              <w:spacing w:after="0" w:line="276" w:lineRule="auto"/>
              <w:ind w:left="0" w:firstLine="0"/>
              <w:jc w:val="center"/>
              <w:rPr>
                <w:szCs w:val="24"/>
              </w:rPr>
            </w:pPr>
            <w:r w:rsidRPr="00175E32">
              <w:rPr>
                <w:szCs w:val="24"/>
              </w:rPr>
              <w:t>Показатели</w:t>
            </w:r>
          </w:p>
        </w:tc>
        <w:tc>
          <w:tcPr>
            <w:tcW w:w="1134" w:type="dxa"/>
            <w:vMerge w:val="restart"/>
            <w:tcBorders>
              <w:top w:val="single" w:sz="4" w:space="0" w:color="000000"/>
              <w:left w:val="single" w:sz="4" w:space="0" w:color="000000"/>
              <w:bottom w:val="single" w:sz="4" w:space="0" w:color="000000"/>
            </w:tcBorders>
            <w:vAlign w:val="center"/>
          </w:tcPr>
          <w:p w14:paraId="230C4FE3" w14:textId="77777777" w:rsidR="00E72F82" w:rsidRPr="00175E32" w:rsidRDefault="00E72F82" w:rsidP="00E72F82">
            <w:pPr>
              <w:pStyle w:val="230"/>
              <w:keepNext/>
              <w:keepLines/>
              <w:spacing w:after="0" w:line="240" w:lineRule="auto"/>
              <w:ind w:left="0" w:firstLine="0"/>
              <w:jc w:val="center"/>
              <w:rPr>
                <w:szCs w:val="24"/>
              </w:rPr>
            </w:pPr>
            <w:r w:rsidRPr="00175E32">
              <w:rPr>
                <w:szCs w:val="24"/>
              </w:rPr>
              <w:t xml:space="preserve">Единица </w:t>
            </w:r>
            <w:proofErr w:type="spellStart"/>
            <w:r w:rsidRPr="00175E32">
              <w:rPr>
                <w:szCs w:val="24"/>
              </w:rPr>
              <w:t>измере</w:t>
            </w:r>
            <w:proofErr w:type="spellEnd"/>
          </w:p>
          <w:p w14:paraId="2A616F23" w14:textId="77777777" w:rsidR="00E72F82" w:rsidRPr="00175E32" w:rsidRDefault="00E72F82" w:rsidP="00E72F82">
            <w:pPr>
              <w:pStyle w:val="230"/>
              <w:keepNext/>
              <w:keepLines/>
              <w:spacing w:after="0" w:line="240" w:lineRule="auto"/>
              <w:ind w:left="0" w:firstLine="0"/>
              <w:jc w:val="center"/>
              <w:rPr>
                <w:szCs w:val="24"/>
              </w:rPr>
            </w:pPr>
            <w:proofErr w:type="spellStart"/>
            <w:r w:rsidRPr="00175E32">
              <w:rPr>
                <w:szCs w:val="24"/>
              </w:rPr>
              <w:t>ния</w:t>
            </w:r>
            <w:proofErr w:type="spellEnd"/>
          </w:p>
        </w:tc>
        <w:tc>
          <w:tcPr>
            <w:tcW w:w="2444" w:type="dxa"/>
            <w:gridSpan w:val="2"/>
            <w:tcBorders>
              <w:top w:val="single" w:sz="4" w:space="0" w:color="000000"/>
              <w:left w:val="single" w:sz="4" w:space="0" w:color="000000"/>
              <w:bottom w:val="single" w:sz="4" w:space="0" w:color="000000"/>
            </w:tcBorders>
            <w:vAlign w:val="center"/>
          </w:tcPr>
          <w:p w14:paraId="76F169FA" w14:textId="77777777" w:rsidR="00E72F82" w:rsidRPr="00175E32" w:rsidRDefault="00E72F82" w:rsidP="00E72F82">
            <w:pPr>
              <w:ind w:firstLine="0"/>
              <w:jc w:val="center"/>
              <w:rPr>
                <w:szCs w:val="24"/>
              </w:rPr>
            </w:pPr>
            <w:r w:rsidRPr="00175E32">
              <w:rPr>
                <w:szCs w:val="24"/>
              </w:rPr>
              <w:t>Прогноз на 2020 год</w:t>
            </w:r>
          </w:p>
        </w:tc>
        <w:tc>
          <w:tcPr>
            <w:tcW w:w="1114" w:type="dxa"/>
            <w:vMerge w:val="restart"/>
            <w:tcBorders>
              <w:top w:val="single" w:sz="4" w:space="0" w:color="000000"/>
              <w:left w:val="single" w:sz="4" w:space="0" w:color="000000"/>
              <w:right w:val="single" w:sz="4" w:space="0" w:color="000000"/>
            </w:tcBorders>
            <w:vAlign w:val="center"/>
          </w:tcPr>
          <w:p w14:paraId="267B9AFA" w14:textId="77777777" w:rsidR="00E72F82" w:rsidRPr="00175E32" w:rsidRDefault="00E72F82" w:rsidP="00E72F82">
            <w:pPr>
              <w:ind w:firstLine="0"/>
              <w:jc w:val="center"/>
              <w:rPr>
                <w:szCs w:val="24"/>
              </w:rPr>
            </w:pPr>
            <w:r w:rsidRPr="00175E32">
              <w:rPr>
                <w:szCs w:val="24"/>
              </w:rPr>
              <w:t>2020 год (оценка)</w:t>
            </w:r>
          </w:p>
        </w:tc>
      </w:tr>
      <w:tr w:rsidR="00E72F82" w:rsidRPr="00175E32" w14:paraId="00732A99" w14:textId="77777777" w:rsidTr="00AC7FC1">
        <w:trPr>
          <w:trHeight w:val="539"/>
          <w:tblHeader/>
        </w:trPr>
        <w:tc>
          <w:tcPr>
            <w:tcW w:w="4678" w:type="dxa"/>
            <w:vMerge/>
            <w:tcBorders>
              <w:top w:val="single" w:sz="4" w:space="0" w:color="000000"/>
              <w:left w:val="single" w:sz="4" w:space="0" w:color="000000"/>
              <w:bottom w:val="single" w:sz="4" w:space="0" w:color="000000"/>
            </w:tcBorders>
            <w:vAlign w:val="center"/>
          </w:tcPr>
          <w:p w14:paraId="4DB590FC" w14:textId="77777777" w:rsidR="00E72F82" w:rsidRPr="00175E32" w:rsidRDefault="00E72F82" w:rsidP="00E72F82">
            <w:pPr>
              <w:pStyle w:val="230"/>
              <w:snapToGrid w:val="0"/>
              <w:spacing w:after="0" w:line="276" w:lineRule="auto"/>
              <w:ind w:left="0" w:firstLine="0"/>
              <w:jc w:val="center"/>
              <w:rPr>
                <w:szCs w:val="24"/>
              </w:rPr>
            </w:pPr>
          </w:p>
        </w:tc>
        <w:tc>
          <w:tcPr>
            <w:tcW w:w="1134" w:type="dxa"/>
            <w:vMerge/>
            <w:tcBorders>
              <w:top w:val="single" w:sz="4" w:space="0" w:color="000000"/>
              <w:left w:val="single" w:sz="4" w:space="0" w:color="000000"/>
              <w:bottom w:val="single" w:sz="4" w:space="0" w:color="000000"/>
            </w:tcBorders>
            <w:vAlign w:val="center"/>
          </w:tcPr>
          <w:p w14:paraId="4987FEC5" w14:textId="77777777" w:rsidR="00E72F82" w:rsidRPr="00175E32" w:rsidRDefault="00E72F82" w:rsidP="00E72F82">
            <w:pPr>
              <w:pStyle w:val="230"/>
              <w:snapToGrid w:val="0"/>
              <w:spacing w:after="0" w:line="240" w:lineRule="auto"/>
              <w:ind w:left="0" w:firstLine="0"/>
              <w:jc w:val="center"/>
              <w:rPr>
                <w:szCs w:val="24"/>
              </w:rPr>
            </w:pPr>
          </w:p>
        </w:tc>
        <w:tc>
          <w:tcPr>
            <w:tcW w:w="1253" w:type="dxa"/>
            <w:tcBorders>
              <w:top w:val="single" w:sz="4" w:space="0" w:color="000000"/>
              <w:left w:val="single" w:sz="4" w:space="0" w:color="000000"/>
              <w:bottom w:val="single" w:sz="4" w:space="0" w:color="000000"/>
            </w:tcBorders>
            <w:vAlign w:val="center"/>
          </w:tcPr>
          <w:p w14:paraId="0145A2A3" w14:textId="77777777" w:rsidR="00E72F82" w:rsidRPr="00175E32" w:rsidRDefault="00E72F82" w:rsidP="00E72F82">
            <w:pPr>
              <w:ind w:firstLine="0"/>
              <w:jc w:val="center"/>
              <w:rPr>
                <w:szCs w:val="24"/>
              </w:rPr>
            </w:pPr>
            <w:proofErr w:type="gramStart"/>
            <w:r w:rsidRPr="00175E32">
              <w:rPr>
                <w:szCs w:val="24"/>
              </w:rPr>
              <w:t>консерва-</w:t>
            </w:r>
            <w:proofErr w:type="spellStart"/>
            <w:r w:rsidRPr="00175E32">
              <w:rPr>
                <w:szCs w:val="24"/>
              </w:rPr>
              <w:t>тивный</w:t>
            </w:r>
            <w:proofErr w:type="spellEnd"/>
            <w:proofErr w:type="gramEnd"/>
          </w:p>
        </w:tc>
        <w:tc>
          <w:tcPr>
            <w:tcW w:w="1191" w:type="dxa"/>
            <w:tcBorders>
              <w:top w:val="single" w:sz="4" w:space="0" w:color="000000"/>
              <w:left w:val="single" w:sz="4" w:space="0" w:color="000000"/>
              <w:bottom w:val="single" w:sz="4" w:space="0" w:color="000000"/>
            </w:tcBorders>
            <w:vAlign w:val="center"/>
          </w:tcPr>
          <w:p w14:paraId="677CFD3C" w14:textId="77777777" w:rsidR="00E72F82" w:rsidRPr="00175E32" w:rsidRDefault="00E72F82" w:rsidP="00E72F82">
            <w:pPr>
              <w:ind w:firstLine="0"/>
              <w:jc w:val="center"/>
              <w:rPr>
                <w:szCs w:val="24"/>
              </w:rPr>
            </w:pPr>
            <w:r w:rsidRPr="00175E32">
              <w:rPr>
                <w:szCs w:val="24"/>
              </w:rPr>
              <w:t>базовый</w:t>
            </w:r>
          </w:p>
        </w:tc>
        <w:tc>
          <w:tcPr>
            <w:tcW w:w="1114" w:type="dxa"/>
            <w:vMerge/>
            <w:tcBorders>
              <w:left w:val="single" w:sz="4" w:space="0" w:color="000000"/>
              <w:bottom w:val="single" w:sz="4" w:space="0" w:color="000000"/>
              <w:right w:val="single" w:sz="4" w:space="0" w:color="000000"/>
            </w:tcBorders>
            <w:vAlign w:val="center"/>
          </w:tcPr>
          <w:p w14:paraId="410BE594" w14:textId="77777777" w:rsidR="00E72F82" w:rsidRPr="00175E32" w:rsidRDefault="00E72F82" w:rsidP="00E72F82">
            <w:pPr>
              <w:pStyle w:val="230"/>
              <w:snapToGrid w:val="0"/>
              <w:spacing w:after="0" w:line="276" w:lineRule="auto"/>
              <w:ind w:left="0" w:firstLine="0"/>
              <w:jc w:val="center"/>
              <w:rPr>
                <w:szCs w:val="24"/>
              </w:rPr>
            </w:pPr>
          </w:p>
        </w:tc>
      </w:tr>
      <w:tr w:rsidR="00E72F82" w:rsidRPr="00175E32" w14:paraId="2E98E574" w14:textId="77777777" w:rsidTr="00AC7FC1">
        <w:tc>
          <w:tcPr>
            <w:tcW w:w="4678" w:type="dxa"/>
            <w:tcBorders>
              <w:top w:val="single" w:sz="4" w:space="0" w:color="000000"/>
              <w:left w:val="single" w:sz="4" w:space="0" w:color="000000"/>
              <w:bottom w:val="single" w:sz="4" w:space="0" w:color="000000"/>
            </w:tcBorders>
          </w:tcPr>
          <w:p w14:paraId="5D35DC2A" w14:textId="77777777" w:rsidR="00E72F82" w:rsidRPr="00175E32" w:rsidRDefault="00E72F82" w:rsidP="00E72F82">
            <w:pPr>
              <w:pStyle w:val="230"/>
              <w:spacing w:after="0" w:line="240" w:lineRule="auto"/>
              <w:ind w:left="0" w:firstLine="0"/>
              <w:rPr>
                <w:szCs w:val="24"/>
              </w:rPr>
            </w:pPr>
            <w:r w:rsidRPr="00175E32">
              <w:rPr>
                <w:szCs w:val="24"/>
              </w:rPr>
              <w:t>Среднемесячная номинальная начисленная заработная плата работников организаций, не относящихся к субъектам малого предпринимательства</w:t>
            </w:r>
          </w:p>
        </w:tc>
        <w:tc>
          <w:tcPr>
            <w:tcW w:w="1134" w:type="dxa"/>
            <w:tcBorders>
              <w:top w:val="single" w:sz="4" w:space="0" w:color="000000"/>
              <w:left w:val="single" w:sz="4" w:space="0" w:color="000000"/>
              <w:bottom w:val="single" w:sz="4" w:space="0" w:color="000000"/>
            </w:tcBorders>
            <w:vAlign w:val="bottom"/>
          </w:tcPr>
          <w:p w14:paraId="764C1404" w14:textId="77777777" w:rsidR="00E72F82" w:rsidRPr="00175E32" w:rsidRDefault="00E72F82" w:rsidP="00E72F82">
            <w:pPr>
              <w:pStyle w:val="230"/>
              <w:spacing w:after="0" w:line="276" w:lineRule="auto"/>
              <w:ind w:left="0" w:firstLine="0"/>
              <w:jc w:val="center"/>
              <w:rPr>
                <w:szCs w:val="24"/>
              </w:rPr>
            </w:pPr>
            <w:r w:rsidRPr="00175E32">
              <w:rPr>
                <w:szCs w:val="24"/>
              </w:rPr>
              <w:t>рублей</w:t>
            </w:r>
          </w:p>
        </w:tc>
        <w:tc>
          <w:tcPr>
            <w:tcW w:w="1253" w:type="dxa"/>
            <w:tcBorders>
              <w:top w:val="single" w:sz="4" w:space="0" w:color="000000"/>
              <w:left w:val="single" w:sz="4" w:space="0" w:color="000000"/>
              <w:bottom w:val="single" w:sz="4" w:space="0" w:color="000000"/>
            </w:tcBorders>
            <w:vAlign w:val="bottom"/>
          </w:tcPr>
          <w:p w14:paraId="5FA8E42C" w14:textId="77777777" w:rsidR="00E72F82" w:rsidRPr="00175E32" w:rsidRDefault="00E72F82" w:rsidP="00915495">
            <w:pPr>
              <w:pStyle w:val="230"/>
              <w:spacing w:after="0" w:line="276" w:lineRule="auto"/>
              <w:ind w:left="0" w:firstLine="0"/>
              <w:jc w:val="center"/>
              <w:rPr>
                <w:szCs w:val="24"/>
              </w:rPr>
            </w:pPr>
            <w:r w:rsidRPr="00175E32">
              <w:rPr>
                <w:szCs w:val="24"/>
              </w:rPr>
              <w:t>42 340</w:t>
            </w:r>
          </w:p>
        </w:tc>
        <w:tc>
          <w:tcPr>
            <w:tcW w:w="1191" w:type="dxa"/>
            <w:tcBorders>
              <w:top w:val="single" w:sz="4" w:space="0" w:color="000000"/>
              <w:left w:val="single" w:sz="4" w:space="0" w:color="000000"/>
              <w:bottom w:val="single" w:sz="4" w:space="0" w:color="000000"/>
            </w:tcBorders>
            <w:vAlign w:val="bottom"/>
          </w:tcPr>
          <w:p w14:paraId="6D465C99" w14:textId="77777777" w:rsidR="00E72F82" w:rsidRPr="00175E32" w:rsidRDefault="00E72F82" w:rsidP="00915495">
            <w:pPr>
              <w:pStyle w:val="230"/>
              <w:spacing w:after="0" w:line="276" w:lineRule="auto"/>
              <w:ind w:left="0" w:firstLine="0"/>
              <w:jc w:val="center"/>
              <w:rPr>
                <w:szCs w:val="24"/>
              </w:rPr>
            </w:pPr>
            <w:r w:rsidRPr="00175E32">
              <w:rPr>
                <w:szCs w:val="24"/>
              </w:rPr>
              <w:t>42 470</w:t>
            </w:r>
          </w:p>
        </w:tc>
        <w:tc>
          <w:tcPr>
            <w:tcW w:w="1114" w:type="dxa"/>
            <w:tcBorders>
              <w:top w:val="single" w:sz="4" w:space="0" w:color="000000"/>
              <w:left w:val="single" w:sz="4" w:space="0" w:color="000000"/>
              <w:bottom w:val="single" w:sz="4" w:space="0" w:color="000000"/>
              <w:right w:val="single" w:sz="4" w:space="0" w:color="000000"/>
            </w:tcBorders>
            <w:vAlign w:val="bottom"/>
          </w:tcPr>
          <w:p w14:paraId="3F5B5A02" w14:textId="77777777" w:rsidR="00E72F82" w:rsidRPr="00175E32" w:rsidRDefault="00E72F82" w:rsidP="00915495">
            <w:pPr>
              <w:pStyle w:val="230"/>
              <w:spacing w:after="0" w:line="276" w:lineRule="auto"/>
              <w:ind w:left="0" w:firstLine="0"/>
              <w:jc w:val="center"/>
            </w:pPr>
            <w:r w:rsidRPr="00175E32">
              <w:t>41 750</w:t>
            </w:r>
          </w:p>
        </w:tc>
      </w:tr>
      <w:tr w:rsidR="00E72F82" w:rsidRPr="00175E32" w14:paraId="29FC18F9" w14:textId="77777777" w:rsidTr="00AC7FC1">
        <w:tc>
          <w:tcPr>
            <w:tcW w:w="4678" w:type="dxa"/>
            <w:tcBorders>
              <w:top w:val="single" w:sz="4" w:space="0" w:color="000000"/>
              <w:left w:val="single" w:sz="4" w:space="0" w:color="000000"/>
              <w:bottom w:val="single" w:sz="4" w:space="0" w:color="000000"/>
            </w:tcBorders>
          </w:tcPr>
          <w:p w14:paraId="3AA76E1B" w14:textId="77777777" w:rsidR="00E72F82" w:rsidRPr="00175E32" w:rsidRDefault="00E72F82" w:rsidP="00E72F82">
            <w:pPr>
              <w:pStyle w:val="230"/>
              <w:spacing w:after="0" w:line="240" w:lineRule="auto"/>
              <w:ind w:left="0" w:firstLine="0"/>
              <w:rPr>
                <w:szCs w:val="24"/>
              </w:rPr>
            </w:pPr>
            <w:r w:rsidRPr="00175E32">
              <w:rPr>
                <w:szCs w:val="24"/>
              </w:rPr>
              <w:t>Реальная среднемесячная начисленная заработная плата работников организаций, не относящихся к субъектам малого предпринимательства</w:t>
            </w:r>
          </w:p>
        </w:tc>
        <w:tc>
          <w:tcPr>
            <w:tcW w:w="1134" w:type="dxa"/>
            <w:tcBorders>
              <w:top w:val="single" w:sz="4" w:space="0" w:color="000000"/>
              <w:left w:val="single" w:sz="4" w:space="0" w:color="000000"/>
              <w:bottom w:val="single" w:sz="4" w:space="0" w:color="000000"/>
            </w:tcBorders>
            <w:vAlign w:val="bottom"/>
          </w:tcPr>
          <w:p w14:paraId="4437C8EA" w14:textId="77777777" w:rsidR="00E72F82" w:rsidRPr="00175E32" w:rsidRDefault="00E72F82" w:rsidP="00E72F82">
            <w:pPr>
              <w:pStyle w:val="230"/>
              <w:spacing w:after="0" w:line="240" w:lineRule="auto"/>
              <w:ind w:left="0" w:firstLine="0"/>
              <w:jc w:val="center"/>
              <w:rPr>
                <w:szCs w:val="24"/>
              </w:rPr>
            </w:pPr>
            <w:r w:rsidRPr="00175E32">
              <w:rPr>
                <w:szCs w:val="24"/>
              </w:rPr>
              <w:t>%</w:t>
            </w:r>
          </w:p>
        </w:tc>
        <w:tc>
          <w:tcPr>
            <w:tcW w:w="1253" w:type="dxa"/>
            <w:tcBorders>
              <w:top w:val="single" w:sz="4" w:space="0" w:color="000000"/>
              <w:left w:val="single" w:sz="4" w:space="0" w:color="000000"/>
              <w:bottom w:val="single" w:sz="4" w:space="0" w:color="000000"/>
            </w:tcBorders>
            <w:vAlign w:val="bottom"/>
          </w:tcPr>
          <w:p w14:paraId="2B23A14F" w14:textId="77777777" w:rsidR="00E72F82" w:rsidRPr="00175E32" w:rsidRDefault="00E72F82" w:rsidP="00915495">
            <w:pPr>
              <w:pStyle w:val="230"/>
              <w:spacing w:after="0" w:line="240" w:lineRule="auto"/>
              <w:ind w:left="0" w:firstLine="0"/>
              <w:jc w:val="center"/>
              <w:rPr>
                <w:szCs w:val="24"/>
              </w:rPr>
            </w:pPr>
            <w:r w:rsidRPr="00175E32">
              <w:rPr>
                <w:szCs w:val="24"/>
              </w:rPr>
              <w:t>101,5</w:t>
            </w:r>
          </w:p>
        </w:tc>
        <w:tc>
          <w:tcPr>
            <w:tcW w:w="1191" w:type="dxa"/>
            <w:tcBorders>
              <w:top w:val="single" w:sz="4" w:space="0" w:color="000000"/>
              <w:left w:val="single" w:sz="4" w:space="0" w:color="000000"/>
              <w:bottom w:val="single" w:sz="4" w:space="0" w:color="000000"/>
            </w:tcBorders>
            <w:vAlign w:val="bottom"/>
          </w:tcPr>
          <w:p w14:paraId="10F0278C" w14:textId="77777777" w:rsidR="00E72F82" w:rsidRPr="00175E32" w:rsidRDefault="00E72F82" w:rsidP="00915495">
            <w:pPr>
              <w:pStyle w:val="230"/>
              <w:spacing w:after="0" w:line="240" w:lineRule="auto"/>
              <w:ind w:left="0" w:firstLine="0"/>
              <w:jc w:val="center"/>
              <w:rPr>
                <w:szCs w:val="24"/>
              </w:rPr>
            </w:pPr>
            <w:r w:rsidRPr="00175E32">
              <w:rPr>
                <w:szCs w:val="24"/>
              </w:rPr>
              <w:t>102,1</w:t>
            </w:r>
          </w:p>
        </w:tc>
        <w:tc>
          <w:tcPr>
            <w:tcW w:w="1114" w:type="dxa"/>
            <w:tcBorders>
              <w:top w:val="single" w:sz="4" w:space="0" w:color="000000"/>
              <w:left w:val="single" w:sz="4" w:space="0" w:color="000000"/>
              <w:bottom w:val="single" w:sz="4" w:space="0" w:color="000000"/>
              <w:right w:val="single" w:sz="4" w:space="0" w:color="000000"/>
            </w:tcBorders>
            <w:vAlign w:val="bottom"/>
          </w:tcPr>
          <w:p w14:paraId="6829E326" w14:textId="77777777" w:rsidR="00E72F82" w:rsidRPr="00175E32" w:rsidRDefault="00E72F82" w:rsidP="00915495">
            <w:pPr>
              <w:pStyle w:val="230"/>
              <w:spacing w:after="0" w:line="240" w:lineRule="auto"/>
              <w:ind w:left="0" w:firstLine="0"/>
              <w:jc w:val="center"/>
            </w:pPr>
            <w:r w:rsidRPr="00175E32">
              <w:t>101,0</w:t>
            </w:r>
          </w:p>
        </w:tc>
      </w:tr>
    </w:tbl>
    <w:p w14:paraId="4756DF13" w14:textId="77777777" w:rsidR="00E72F82" w:rsidRPr="00175E32" w:rsidRDefault="00E72F82" w:rsidP="00E72F82">
      <w:pPr>
        <w:pStyle w:val="aff0"/>
        <w:spacing w:line="276" w:lineRule="auto"/>
        <w:rPr>
          <w:sz w:val="24"/>
          <w:szCs w:val="24"/>
        </w:rPr>
      </w:pPr>
    </w:p>
    <w:p w14:paraId="6AB8B4D7" w14:textId="77777777" w:rsidR="00915495" w:rsidRPr="00175E32" w:rsidRDefault="00915495" w:rsidP="00915495">
      <w:pPr>
        <w:pStyle w:val="2a"/>
        <w:spacing w:after="0" w:line="276" w:lineRule="auto"/>
        <w:rPr>
          <w:rFonts w:eastAsiaTheme="minorEastAsia"/>
          <w:szCs w:val="24"/>
          <w:lang w:eastAsia="ru-RU"/>
        </w:rPr>
      </w:pPr>
      <w:r w:rsidRPr="00175E32">
        <w:rPr>
          <w:rFonts w:eastAsiaTheme="minorEastAsia"/>
          <w:szCs w:val="24"/>
          <w:lang w:eastAsia="ru-RU"/>
        </w:rPr>
        <w:t xml:space="preserve">Учитывая сложившиеся экономические условия, собственные прогнозы крупнейших предприятий </w:t>
      </w:r>
      <w:r w:rsidR="007D5F6C">
        <w:rPr>
          <w:szCs w:val="24"/>
        </w:rPr>
        <w:t>городского округа Тольятти</w:t>
      </w:r>
      <w:r w:rsidRPr="00175E32">
        <w:rPr>
          <w:rFonts w:eastAsiaTheme="minorEastAsia"/>
          <w:szCs w:val="24"/>
          <w:lang w:eastAsia="ru-RU"/>
        </w:rPr>
        <w:t>, повышение заработной платы работникам бюджетной сферы (с 1 января 2020 г</w:t>
      </w:r>
      <w:r w:rsidR="00E17EEF">
        <w:rPr>
          <w:rFonts w:eastAsiaTheme="minorEastAsia"/>
          <w:szCs w:val="24"/>
          <w:lang w:eastAsia="ru-RU"/>
        </w:rPr>
        <w:t>ода</w:t>
      </w:r>
      <w:r w:rsidRPr="00175E32">
        <w:rPr>
          <w:rFonts w:eastAsiaTheme="minorEastAsia"/>
          <w:szCs w:val="24"/>
          <w:lang w:eastAsia="ru-RU"/>
        </w:rPr>
        <w:t xml:space="preserve"> на 3</w:t>
      </w:r>
      <w:r w:rsidR="00E17EEF">
        <w:rPr>
          <w:rFonts w:eastAsiaTheme="minorEastAsia"/>
          <w:szCs w:val="24"/>
          <w:lang w:eastAsia="ru-RU"/>
        </w:rPr>
        <w:t>,0</w:t>
      </w:r>
      <w:r w:rsidRPr="00175E32">
        <w:rPr>
          <w:rFonts w:eastAsiaTheme="minorEastAsia"/>
          <w:szCs w:val="24"/>
          <w:lang w:eastAsia="ru-RU"/>
        </w:rPr>
        <w:t xml:space="preserve">%), а также сохранения достигнутых результатов уровня оплаты работников социальной сферы в соответствии с указами Президента Российской Федерации 2012 года, значение среднемесячной заработной платы в 2020 году может достигнуть 41 750 рублей, что на 4,2% выше уровня 2019 года. </w:t>
      </w:r>
    </w:p>
    <w:p w14:paraId="4AFE8D3F" w14:textId="77777777" w:rsidR="00915495" w:rsidRPr="00175E32" w:rsidRDefault="00915495" w:rsidP="00915495">
      <w:pPr>
        <w:pStyle w:val="2a"/>
        <w:spacing w:after="0" w:line="276" w:lineRule="auto"/>
        <w:rPr>
          <w:rFonts w:eastAsiaTheme="minorEastAsia"/>
          <w:szCs w:val="24"/>
          <w:lang w:eastAsia="ru-RU"/>
        </w:rPr>
      </w:pPr>
      <w:r w:rsidRPr="00175E32">
        <w:rPr>
          <w:rFonts w:eastAsiaTheme="minorEastAsia"/>
          <w:szCs w:val="24"/>
          <w:lang w:eastAsia="ru-RU"/>
        </w:rPr>
        <w:t>Оценка на 2020 год скорректирована в сторону снижения показателя: на 1,7% от базового варианта прогноза, а относительно консервативного варианта - на 1,4%. Оценка реальной заработной платы скорректирована на индекс потребительских цен до 101,0%.</w:t>
      </w:r>
    </w:p>
    <w:p w14:paraId="227D8E5E" w14:textId="77777777" w:rsidR="0090607E" w:rsidRPr="00175E32" w:rsidRDefault="0090607E" w:rsidP="00443EE9">
      <w:pPr>
        <w:pStyle w:val="2a"/>
        <w:spacing w:after="0" w:line="276" w:lineRule="auto"/>
        <w:jc w:val="center"/>
        <w:rPr>
          <w:b/>
          <w:szCs w:val="24"/>
        </w:rPr>
      </w:pPr>
    </w:p>
    <w:p w14:paraId="45CB75E1" w14:textId="77777777" w:rsidR="00A50BA4" w:rsidRPr="00175E32" w:rsidRDefault="00A50BA4" w:rsidP="00C32856">
      <w:pPr>
        <w:pStyle w:val="3"/>
      </w:pPr>
      <w:r w:rsidRPr="00175E32">
        <w:t>Транспорт</w:t>
      </w:r>
      <w:bookmarkStart w:id="4" w:name="транспорт"/>
      <w:bookmarkEnd w:id="4"/>
    </w:p>
    <w:p w14:paraId="29760864" w14:textId="77777777" w:rsidR="00B6276C" w:rsidRPr="00175E32" w:rsidRDefault="00B6276C" w:rsidP="00B6276C"/>
    <w:p w14:paraId="302C9B07" w14:textId="77777777" w:rsidR="00B6276C" w:rsidRPr="00175E32" w:rsidRDefault="00B6276C" w:rsidP="00B6276C">
      <w:pPr>
        <w:widowControl w:val="0"/>
        <w:suppressAutoHyphens w:val="0"/>
        <w:autoSpaceDE w:val="0"/>
        <w:autoSpaceDN w:val="0"/>
        <w:adjustRightInd w:val="0"/>
        <w:spacing w:line="276" w:lineRule="auto"/>
        <w:rPr>
          <w:rFonts w:eastAsiaTheme="minorEastAsia"/>
          <w:szCs w:val="24"/>
          <w:lang w:eastAsia="ru-RU"/>
        </w:rPr>
      </w:pPr>
      <w:r w:rsidRPr="00175E32">
        <w:rPr>
          <w:rFonts w:eastAsiaTheme="minorEastAsia"/>
          <w:szCs w:val="24"/>
          <w:lang w:eastAsia="ru-RU"/>
        </w:rPr>
        <w:t xml:space="preserve">По данным органов статистики за 1 полугодие 2020 года наблюдается снижение показателей работы грузового и пассажирского транспорта. </w:t>
      </w:r>
    </w:p>
    <w:p w14:paraId="3A4425F3" w14:textId="77777777" w:rsidR="00B6276C" w:rsidRPr="00175E32" w:rsidRDefault="00B6276C" w:rsidP="00B6276C">
      <w:pPr>
        <w:suppressAutoHyphens w:val="0"/>
        <w:autoSpaceDE w:val="0"/>
        <w:autoSpaceDN w:val="0"/>
        <w:adjustRightInd w:val="0"/>
        <w:spacing w:line="276" w:lineRule="auto"/>
        <w:rPr>
          <w:rFonts w:eastAsiaTheme="minorEastAsia"/>
          <w:szCs w:val="24"/>
          <w:lang w:eastAsia="ru-RU"/>
        </w:rPr>
      </w:pPr>
      <w:r w:rsidRPr="00175E32">
        <w:rPr>
          <w:rFonts w:eastAsiaTheme="minorEastAsia"/>
          <w:szCs w:val="24"/>
          <w:lang w:eastAsia="ru-RU"/>
        </w:rPr>
        <w:t xml:space="preserve">Грузооборот на коммерческой основе (без трубопроводного транспорта) в январе–июне 2020 года снизился на 5,0% и составил 89,2 млн. т. км. Снижение грузооборота обусловлено сокращением средней дальности перевозок транспортных предприятий </w:t>
      </w:r>
      <w:r w:rsidR="007D5F6C">
        <w:rPr>
          <w:szCs w:val="24"/>
        </w:rPr>
        <w:t>городского округа Тольятти</w:t>
      </w:r>
      <w:r w:rsidRPr="00175E32">
        <w:rPr>
          <w:rFonts w:eastAsiaTheme="minorEastAsia"/>
          <w:szCs w:val="24"/>
          <w:lang w:eastAsia="ru-RU"/>
        </w:rPr>
        <w:t xml:space="preserve"> (на 61,3 % к соответствующему периоду прошлого года)</w:t>
      </w:r>
      <w:r w:rsidR="00E17EEF">
        <w:rPr>
          <w:rFonts w:eastAsiaTheme="minorEastAsia"/>
          <w:szCs w:val="24"/>
          <w:lang w:eastAsia="ru-RU"/>
        </w:rPr>
        <w:t xml:space="preserve"> и сложной экономической ситуацией</w:t>
      </w:r>
      <w:r w:rsidRPr="00175E32">
        <w:rPr>
          <w:rFonts w:eastAsiaTheme="minorEastAsia"/>
          <w:szCs w:val="24"/>
          <w:lang w:eastAsia="ru-RU"/>
        </w:rPr>
        <w:t>.</w:t>
      </w:r>
    </w:p>
    <w:p w14:paraId="63709CEA" w14:textId="77777777" w:rsidR="00B6276C" w:rsidRPr="00175E32" w:rsidRDefault="00B6276C" w:rsidP="00B6276C">
      <w:pPr>
        <w:suppressAutoHyphens w:val="0"/>
        <w:autoSpaceDE w:val="0"/>
        <w:autoSpaceDN w:val="0"/>
        <w:adjustRightInd w:val="0"/>
        <w:spacing w:line="276" w:lineRule="auto"/>
        <w:rPr>
          <w:rFonts w:eastAsiaTheme="minorEastAsia"/>
          <w:color w:val="000000"/>
          <w:szCs w:val="24"/>
          <w:lang w:eastAsia="ru-RU"/>
        </w:rPr>
      </w:pPr>
      <w:r w:rsidRPr="00175E32">
        <w:rPr>
          <w:rFonts w:eastAsiaTheme="minorEastAsia"/>
          <w:color w:val="000000"/>
          <w:szCs w:val="24"/>
          <w:lang w:eastAsia="ru-RU"/>
        </w:rPr>
        <w:t>В 2020 году регулярные пассажирские перевозки в городском округе Тольятти осуществляю</w:t>
      </w:r>
      <w:r w:rsidR="008A1EBE">
        <w:rPr>
          <w:rFonts w:eastAsiaTheme="minorEastAsia"/>
          <w:color w:val="000000"/>
          <w:szCs w:val="24"/>
          <w:lang w:eastAsia="ru-RU"/>
        </w:rPr>
        <w:t>т 13 предприятий транспорта: МП </w:t>
      </w:r>
      <w:r w:rsidR="00915495" w:rsidRPr="00175E32">
        <w:rPr>
          <w:rFonts w:eastAsiaTheme="minorEastAsia"/>
          <w:color w:val="000000"/>
          <w:szCs w:val="24"/>
          <w:lang w:eastAsia="ru-RU"/>
        </w:rPr>
        <w:t>«</w:t>
      </w:r>
      <w:r w:rsidRPr="00175E32">
        <w:rPr>
          <w:rFonts w:eastAsiaTheme="minorEastAsia"/>
          <w:color w:val="000000"/>
          <w:szCs w:val="24"/>
          <w:lang w:eastAsia="ru-RU"/>
        </w:rPr>
        <w:t>ТТУ</w:t>
      </w:r>
      <w:r w:rsidR="00915495" w:rsidRPr="00175E32">
        <w:rPr>
          <w:rFonts w:eastAsiaTheme="minorEastAsia"/>
          <w:color w:val="000000"/>
          <w:szCs w:val="24"/>
          <w:lang w:eastAsia="ru-RU"/>
        </w:rPr>
        <w:t>»</w:t>
      </w:r>
      <w:r w:rsidR="008A1EBE">
        <w:rPr>
          <w:rFonts w:eastAsiaTheme="minorEastAsia"/>
          <w:color w:val="000000"/>
          <w:szCs w:val="24"/>
          <w:lang w:eastAsia="ru-RU"/>
        </w:rPr>
        <w:t xml:space="preserve"> - 11 маршрутов, МП </w:t>
      </w:r>
      <w:r w:rsidR="00915495" w:rsidRPr="00175E32">
        <w:rPr>
          <w:rFonts w:eastAsiaTheme="minorEastAsia"/>
          <w:color w:val="000000"/>
          <w:szCs w:val="24"/>
          <w:lang w:eastAsia="ru-RU"/>
        </w:rPr>
        <w:t>«</w:t>
      </w:r>
      <w:r w:rsidR="008A1EBE">
        <w:rPr>
          <w:rFonts w:eastAsiaTheme="minorEastAsia"/>
          <w:color w:val="000000"/>
          <w:szCs w:val="24"/>
          <w:lang w:eastAsia="ru-RU"/>
        </w:rPr>
        <w:t>ТПАТП </w:t>
      </w:r>
      <w:r w:rsidRPr="00175E32">
        <w:rPr>
          <w:rFonts w:eastAsiaTheme="minorEastAsia"/>
          <w:color w:val="000000"/>
          <w:szCs w:val="24"/>
          <w:lang w:eastAsia="ru-RU"/>
        </w:rPr>
        <w:t>№</w:t>
      </w:r>
      <w:r w:rsidR="008A1EBE">
        <w:rPr>
          <w:rFonts w:eastAsiaTheme="minorEastAsia"/>
          <w:color w:val="000000"/>
          <w:szCs w:val="24"/>
          <w:lang w:eastAsia="ru-RU"/>
        </w:rPr>
        <w:t> </w:t>
      </w:r>
      <w:r w:rsidRPr="00175E32">
        <w:rPr>
          <w:rFonts w:eastAsiaTheme="minorEastAsia"/>
          <w:color w:val="000000"/>
          <w:szCs w:val="24"/>
          <w:lang w:eastAsia="ru-RU"/>
        </w:rPr>
        <w:t>3</w:t>
      </w:r>
      <w:r w:rsidR="00915495" w:rsidRPr="00175E32">
        <w:rPr>
          <w:rFonts w:eastAsiaTheme="minorEastAsia"/>
          <w:color w:val="000000"/>
          <w:szCs w:val="24"/>
          <w:lang w:eastAsia="ru-RU"/>
        </w:rPr>
        <w:t>»</w:t>
      </w:r>
      <w:r w:rsidRPr="00175E32">
        <w:rPr>
          <w:rFonts w:eastAsiaTheme="minorEastAsia"/>
          <w:color w:val="000000"/>
          <w:szCs w:val="24"/>
          <w:lang w:eastAsia="ru-RU"/>
        </w:rPr>
        <w:t xml:space="preserve"> - 63 маршрута, общества с ограниченной ответственностью (11 фирм) - 29 маршрутов. Перевозки по </w:t>
      </w:r>
      <w:proofErr w:type="spellStart"/>
      <w:r w:rsidRPr="00175E32">
        <w:rPr>
          <w:rFonts w:eastAsiaTheme="minorEastAsia"/>
          <w:color w:val="000000"/>
          <w:szCs w:val="24"/>
          <w:lang w:eastAsia="ru-RU"/>
        </w:rPr>
        <w:t>внутримуниципальным</w:t>
      </w:r>
      <w:proofErr w:type="spellEnd"/>
      <w:r w:rsidRPr="00175E32">
        <w:rPr>
          <w:rFonts w:eastAsiaTheme="minorEastAsia"/>
          <w:color w:val="000000"/>
          <w:szCs w:val="24"/>
          <w:lang w:eastAsia="ru-RU"/>
        </w:rPr>
        <w:t xml:space="preserve"> маршрутам осуществляются по договорам об осуществлении регулярных перевозок по </w:t>
      </w:r>
      <w:proofErr w:type="spellStart"/>
      <w:r w:rsidRPr="00175E32">
        <w:rPr>
          <w:rFonts w:eastAsiaTheme="minorEastAsia"/>
          <w:color w:val="000000"/>
          <w:szCs w:val="24"/>
          <w:lang w:eastAsia="ru-RU"/>
        </w:rPr>
        <w:t>внутримуниципальным</w:t>
      </w:r>
      <w:proofErr w:type="spellEnd"/>
      <w:r w:rsidRPr="00175E32">
        <w:rPr>
          <w:rFonts w:eastAsiaTheme="minorEastAsia"/>
          <w:color w:val="000000"/>
          <w:szCs w:val="24"/>
          <w:lang w:eastAsia="ru-RU"/>
        </w:rPr>
        <w:t xml:space="preserve"> маршрутам городского округа Тольятти, заключенным до 31.12.2021.</w:t>
      </w:r>
    </w:p>
    <w:p w14:paraId="72409B57" w14:textId="77777777" w:rsidR="00B6276C" w:rsidRPr="00175E32" w:rsidRDefault="00B6276C" w:rsidP="00B6276C">
      <w:pPr>
        <w:widowControl w:val="0"/>
        <w:suppressAutoHyphens w:val="0"/>
        <w:autoSpaceDE w:val="0"/>
        <w:autoSpaceDN w:val="0"/>
        <w:adjustRightInd w:val="0"/>
        <w:spacing w:line="276" w:lineRule="auto"/>
        <w:rPr>
          <w:rFonts w:eastAsiaTheme="minorEastAsia"/>
          <w:color w:val="000000"/>
          <w:szCs w:val="24"/>
          <w:lang w:eastAsia="ru-RU"/>
        </w:rPr>
      </w:pPr>
      <w:r w:rsidRPr="00175E32">
        <w:rPr>
          <w:rFonts w:eastAsiaTheme="minorEastAsia"/>
          <w:color w:val="000000"/>
          <w:szCs w:val="24"/>
          <w:lang w:eastAsia="ru-RU"/>
        </w:rPr>
        <w:t xml:space="preserve">На 1 июля 2020 года на балансе муниципальных пассажирских предприятий находятся 296 автобусов и 80 троллейбусов, из них полностью начислена амортизация на </w:t>
      </w:r>
      <w:r w:rsidRPr="00175E32">
        <w:rPr>
          <w:rFonts w:eastAsiaTheme="minorEastAsia"/>
          <w:color w:val="000000"/>
          <w:szCs w:val="24"/>
          <w:lang w:eastAsia="ru-RU"/>
        </w:rPr>
        <w:lastRenderedPageBreak/>
        <w:t>230 автобусов и 18 троллейбусов.</w:t>
      </w:r>
    </w:p>
    <w:p w14:paraId="33944CBF" w14:textId="77777777" w:rsidR="00B6276C" w:rsidRPr="00175E32" w:rsidRDefault="00E17EEF" w:rsidP="00B6276C">
      <w:pPr>
        <w:widowControl w:val="0"/>
        <w:suppressAutoHyphens w:val="0"/>
        <w:autoSpaceDE w:val="0"/>
        <w:autoSpaceDN w:val="0"/>
        <w:adjustRightInd w:val="0"/>
        <w:spacing w:line="276" w:lineRule="auto"/>
        <w:rPr>
          <w:rFonts w:eastAsiaTheme="minorEastAsia"/>
          <w:szCs w:val="24"/>
          <w:lang w:eastAsia="ru-RU"/>
        </w:rPr>
      </w:pPr>
      <w:r>
        <w:rPr>
          <w:rFonts w:eastAsiaTheme="minorEastAsia"/>
          <w:szCs w:val="24"/>
          <w:lang w:eastAsia="ru-RU"/>
        </w:rPr>
        <w:t>В связи с введением ограничительных мер, связанных с распространением новой коронавирусной инфекцией (режим самоизоляции, простой предприятий и организаций), п</w:t>
      </w:r>
      <w:r w:rsidR="00B6276C" w:rsidRPr="00175E32">
        <w:rPr>
          <w:rFonts w:eastAsiaTheme="minorEastAsia"/>
          <w:szCs w:val="24"/>
          <w:lang w:eastAsia="ru-RU"/>
        </w:rPr>
        <w:t xml:space="preserve">ассажирооборот транспорта общего пользования в отчетном периоде снизился на 12,2% к январю – июню 2019 году до 496,7 млн. </w:t>
      </w:r>
      <w:proofErr w:type="spellStart"/>
      <w:r w:rsidR="00B6276C" w:rsidRPr="00175E32">
        <w:rPr>
          <w:rFonts w:eastAsiaTheme="minorEastAsia"/>
          <w:szCs w:val="24"/>
          <w:lang w:eastAsia="ru-RU"/>
        </w:rPr>
        <w:t>пассажиро</w:t>
      </w:r>
      <w:proofErr w:type="spellEnd"/>
      <w:r w:rsidR="00B6276C" w:rsidRPr="00175E32">
        <w:rPr>
          <w:rFonts w:eastAsiaTheme="minorEastAsia"/>
          <w:szCs w:val="24"/>
          <w:lang w:eastAsia="ru-RU"/>
        </w:rPr>
        <w:t>-километров.</w:t>
      </w:r>
    </w:p>
    <w:p w14:paraId="5B5103D7" w14:textId="77777777" w:rsidR="00D17780" w:rsidRPr="00175E32" w:rsidRDefault="00D17780" w:rsidP="00D17780">
      <w:pPr>
        <w:widowControl w:val="0"/>
        <w:suppressAutoHyphens w:val="0"/>
        <w:autoSpaceDE w:val="0"/>
        <w:autoSpaceDN w:val="0"/>
        <w:adjustRightInd w:val="0"/>
        <w:spacing w:line="276" w:lineRule="auto"/>
        <w:rPr>
          <w:rFonts w:eastAsiaTheme="minorEastAsia"/>
          <w:color w:val="000000"/>
          <w:szCs w:val="24"/>
          <w:lang w:eastAsia="ru-RU"/>
        </w:rPr>
      </w:pPr>
      <w:r w:rsidRPr="00175E32">
        <w:rPr>
          <w:szCs w:val="24"/>
          <w:lang w:eastAsia="ru-RU"/>
        </w:rPr>
        <w:t xml:space="preserve">В 1 полугодии 2020 года объем услуг предприятий транспорта составил 1 423,6 млн. </w:t>
      </w:r>
      <w:r w:rsidR="008D7A93" w:rsidRPr="00175E32">
        <w:rPr>
          <w:szCs w:val="24"/>
          <w:lang w:eastAsia="ru-RU"/>
        </w:rPr>
        <w:t>рублей</w:t>
      </w:r>
      <w:r w:rsidRPr="00175E32">
        <w:rPr>
          <w:szCs w:val="24"/>
          <w:lang w:eastAsia="ru-RU"/>
        </w:rPr>
        <w:t xml:space="preserve"> или 79,1 % к аналогичному периоду 2019 года.</w:t>
      </w:r>
    </w:p>
    <w:p w14:paraId="4E0D41BF" w14:textId="77777777" w:rsidR="00B6276C" w:rsidRPr="00175E32" w:rsidRDefault="00B6276C" w:rsidP="00B6276C">
      <w:pPr>
        <w:widowControl w:val="0"/>
        <w:suppressAutoHyphens w:val="0"/>
        <w:autoSpaceDE w:val="0"/>
        <w:autoSpaceDN w:val="0"/>
        <w:adjustRightInd w:val="0"/>
        <w:spacing w:line="276" w:lineRule="auto"/>
        <w:rPr>
          <w:rFonts w:eastAsiaTheme="minorEastAsia"/>
          <w:szCs w:val="24"/>
          <w:shd w:val="clear" w:color="auto" w:fill="FFFF00"/>
          <w:lang w:eastAsia="ru-RU"/>
        </w:rPr>
      </w:pPr>
      <w:r w:rsidRPr="00175E32">
        <w:rPr>
          <w:rFonts w:eastAsiaTheme="minorEastAsia"/>
          <w:szCs w:val="24"/>
          <w:lang w:eastAsia="ru-RU"/>
        </w:rPr>
        <w:t>В текущем периоде продолжена работа по обеспечению более комфортных условий перевозок пассажиров, в том числе работа по обновлению подвижного состава муниципальных предприятий пассажирского транспорта: в целях</w:t>
      </w:r>
      <w:r w:rsidRPr="00175E32">
        <w:rPr>
          <w:rFonts w:eastAsiaTheme="minorEastAsia"/>
          <w:color w:val="000000"/>
          <w:szCs w:val="24"/>
          <w:lang w:eastAsia="ru-RU"/>
        </w:rPr>
        <w:t xml:space="preserve"> реализации мероприятий по обновлению подвижного состава наземного общественного пассажирского транспорта, предусмотренного национальным проектом «Безопасные и качественные автомобильные дороги», до конца текущего года поступят 50 </w:t>
      </w:r>
      <w:r w:rsidRPr="00175E32">
        <w:rPr>
          <w:rFonts w:eastAsiaTheme="minorEastAsia"/>
          <w:szCs w:val="24"/>
          <w:lang w:eastAsia="ru-RU"/>
        </w:rPr>
        <w:t>автобусов большой вместимости, работающие на газомоторном топливе.</w:t>
      </w:r>
    </w:p>
    <w:p w14:paraId="6DA012C7" w14:textId="77777777" w:rsidR="00B6276C" w:rsidRPr="00175E32" w:rsidRDefault="00B6276C" w:rsidP="00B6276C">
      <w:pPr>
        <w:pStyle w:val="aff0"/>
        <w:spacing w:line="276" w:lineRule="auto"/>
        <w:jc w:val="center"/>
        <w:rPr>
          <w:sz w:val="24"/>
          <w:szCs w:val="24"/>
        </w:rPr>
      </w:pPr>
    </w:p>
    <w:p w14:paraId="30FD46B1" w14:textId="77777777" w:rsidR="00B6276C" w:rsidRPr="00175E32" w:rsidRDefault="00B6276C" w:rsidP="008A1EBE">
      <w:pPr>
        <w:pStyle w:val="aff0"/>
        <w:spacing w:line="276" w:lineRule="auto"/>
        <w:ind w:firstLine="0"/>
        <w:jc w:val="center"/>
        <w:rPr>
          <w:sz w:val="24"/>
          <w:szCs w:val="24"/>
        </w:rPr>
      </w:pPr>
      <w:r w:rsidRPr="00175E32">
        <w:rPr>
          <w:sz w:val="24"/>
          <w:szCs w:val="24"/>
        </w:rPr>
        <w:t xml:space="preserve">Ожидаемое выполнение прогнозных показателей </w:t>
      </w:r>
    </w:p>
    <w:p w14:paraId="7F8DCB70" w14:textId="77777777" w:rsidR="00B6276C" w:rsidRPr="00175E32" w:rsidRDefault="00B6276C" w:rsidP="008A1EBE">
      <w:pPr>
        <w:pStyle w:val="aff0"/>
        <w:spacing w:line="276" w:lineRule="auto"/>
        <w:ind w:firstLine="0"/>
        <w:jc w:val="center"/>
        <w:rPr>
          <w:sz w:val="24"/>
          <w:szCs w:val="24"/>
        </w:rPr>
      </w:pPr>
      <w:r w:rsidRPr="00175E32">
        <w:rPr>
          <w:sz w:val="24"/>
          <w:szCs w:val="24"/>
        </w:rPr>
        <w:t>по разделу «Транспорт» на 2020 год</w:t>
      </w:r>
    </w:p>
    <w:tbl>
      <w:tblPr>
        <w:tblW w:w="9325" w:type="dxa"/>
        <w:tblInd w:w="108" w:type="dxa"/>
        <w:tblLayout w:type="fixed"/>
        <w:tblLook w:val="0000" w:firstRow="0" w:lastRow="0" w:firstColumn="0" w:lastColumn="0" w:noHBand="0" w:noVBand="0"/>
      </w:tblPr>
      <w:tblGrid>
        <w:gridCol w:w="3039"/>
        <w:gridCol w:w="1599"/>
        <w:gridCol w:w="1600"/>
        <w:gridCol w:w="1600"/>
        <w:gridCol w:w="1487"/>
      </w:tblGrid>
      <w:tr w:rsidR="00B6276C" w:rsidRPr="00175E32" w14:paraId="1DFBDE00" w14:textId="77777777" w:rsidTr="008A1EBE">
        <w:trPr>
          <w:trHeight w:val="331"/>
        </w:trPr>
        <w:tc>
          <w:tcPr>
            <w:tcW w:w="3039" w:type="dxa"/>
            <w:vMerge w:val="restart"/>
            <w:tcBorders>
              <w:top w:val="single" w:sz="4" w:space="0" w:color="000000"/>
              <w:left w:val="single" w:sz="4" w:space="0" w:color="000000"/>
              <w:bottom w:val="single" w:sz="4" w:space="0" w:color="000000"/>
            </w:tcBorders>
            <w:vAlign w:val="center"/>
          </w:tcPr>
          <w:p w14:paraId="7DC29167" w14:textId="77777777" w:rsidR="00B6276C" w:rsidRPr="00175E32" w:rsidRDefault="00B6276C" w:rsidP="008A1EBE">
            <w:pPr>
              <w:pStyle w:val="aff0"/>
              <w:spacing w:line="240" w:lineRule="auto"/>
              <w:ind w:firstLine="0"/>
              <w:jc w:val="center"/>
              <w:rPr>
                <w:sz w:val="24"/>
                <w:szCs w:val="24"/>
              </w:rPr>
            </w:pPr>
            <w:r w:rsidRPr="00175E32">
              <w:rPr>
                <w:sz w:val="24"/>
                <w:szCs w:val="24"/>
              </w:rPr>
              <w:t>Показатели</w:t>
            </w:r>
          </w:p>
        </w:tc>
        <w:tc>
          <w:tcPr>
            <w:tcW w:w="1599" w:type="dxa"/>
            <w:vMerge w:val="restart"/>
            <w:tcBorders>
              <w:top w:val="single" w:sz="4" w:space="0" w:color="000000"/>
              <w:left w:val="single" w:sz="4" w:space="0" w:color="000000"/>
              <w:bottom w:val="single" w:sz="4" w:space="0" w:color="000000"/>
            </w:tcBorders>
            <w:vAlign w:val="center"/>
          </w:tcPr>
          <w:p w14:paraId="2C51173A" w14:textId="77777777" w:rsidR="00B6276C" w:rsidRPr="00175E32" w:rsidRDefault="00B6276C" w:rsidP="008A1EBE">
            <w:pPr>
              <w:pStyle w:val="aff0"/>
              <w:spacing w:line="240" w:lineRule="auto"/>
              <w:ind w:firstLine="0"/>
              <w:jc w:val="center"/>
              <w:rPr>
                <w:sz w:val="24"/>
                <w:szCs w:val="24"/>
              </w:rPr>
            </w:pPr>
            <w:r w:rsidRPr="00175E32">
              <w:rPr>
                <w:sz w:val="24"/>
                <w:szCs w:val="24"/>
              </w:rPr>
              <w:t>Единица измерения</w:t>
            </w:r>
          </w:p>
        </w:tc>
        <w:tc>
          <w:tcPr>
            <w:tcW w:w="3200" w:type="dxa"/>
            <w:gridSpan w:val="2"/>
            <w:tcBorders>
              <w:top w:val="single" w:sz="4" w:space="0" w:color="000000"/>
              <w:left w:val="single" w:sz="4" w:space="0" w:color="000000"/>
              <w:bottom w:val="single" w:sz="4" w:space="0" w:color="000000"/>
            </w:tcBorders>
            <w:vAlign w:val="center"/>
          </w:tcPr>
          <w:p w14:paraId="3DF4DAD2" w14:textId="77777777" w:rsidR="00B6276C" w:rsidRPr="00175E32" w:rsidRDefault="00B6276C" w:rsidP="008A1EBE">
            <w:pPr>
              <w:pStyle w:val="aff0"/>
              <w:spacing w:line="240" w:lineRule="auto"/>
              <w:ind w:firstLine="0"/>
              <w:jc w:val="center"/>
              <w:rPr>
                <w:sz w:val="24"/>
                <w:szCs w:val="24"/>
              </w:rPr>
            </w:pPr>
            <w:r w:rsidRPr="00175E32">
              <w:rPr>
                <w:sz w:val="24"/>
                <w:szCs w:val="24"/>
              </w:rPr>
              <w:t>Прогноз на 2020 год</w:t>
            </w:r>
          </w:p>
        </w:tc>
        <w:tc>
          <w:tcPr>
            <w:tcW w:w="1487" w:type="dxa"/>
            <w:vMerge w:val="restart"/>
            <w:tcBorders>
              <w:top w:val="single" w:sz="4" w:space="0" w:color="000000"/>
              <w:left w:val="single" w:sz="4" w:space="0" w:color="000000"/>
              <w:bottom w:val="single" w:sz="4" w:space="0" w:color="000000"/>
              <w:right w:val="single" w:sz="4" w:space="0" w:color="000000"/>
            </w:tcBorders>
            <w:vAlign w:val="center"/>
          </w:tcPr>
          <w:p w14:paraId="757B8074" w14:textId="77777777" w:rsidR="00B6276C" w:rsidRPr="00175E32" w:rsidRDefault="00B6276C" w:rsidP="008A1EBE">
            <w:pPr>
              <w:pStyle w:val="aff0"/>
              <w:spacing w:line="240" w:lineRule="auto"/>
              <w:ind w:firstLine="0"/>
              <w:jc w:val="center"/>
              <w:rPr>
                <w:sz w:val="24"/>
                <w:szCs w:val="24"/>
              </w:rPr>
            </w:pPr>
            <w:r w:rsidRPr="00175E32">
              <w:rPr>
                <w:sz w:val="24"/>
                <w:szCs w:val="24"/>
              </w:rPr>
              <w:t>2020 год (оценка)</w:t>
            </w:r>
          </w:p>
        </w:tc>
      </w:tr>
      <w:tr w:rsidR="00B6276C" w:rsidRPr="00175E32" w14:paraId="4D04C6AD" w14:textId="77777777" w:rsidTr="008A1EBE">
        <w:trPr>
          <w:trHeight w:val="249"/>
        </w:trPr>
        <w:tc>
          <w:tcPr>
            <w:tcW w:w="3039" w:type="dxa"/>
            <w:vMerge/>
            <w:tcBorders>
              <w:top w:val="single" w:sz="4" w:space="0" w:color="000000"/>
              <w:left w:val="single" w:sz="4" w:space="0" w:color="000000"/>
              <w:bottom w:val="single" w:sz="4" w:space="0" w:color="000000"/>
            </w:tcBorders>
          </w:tcPr>
          <w:p w14:paraId="62806337" w14:textId="77777777" w:rsidR="00B6276C" w:rsidRPr="00175E32" w:rsidRDefault="00B6276C" w:rsidP="00923023">
            <w:pPr>
              <w:pStyle w:val="aff0"/>
              <w:spacing w:line="300" w:lineRule="auto"/>
              <w:rPr>
                <w:sz w:val="24"/>
                <w:szCs w:val="24"/>
              </w:rPr>
            </w:pPr>
          </w:p>
        </w:tc>
        <w:tc>
          <w:tcPr>
            <w:tcW w:w="1599" w:type="dxa"/>
            <w:vMerge/>
            <w:tcBorders>
              <w:top w:val="single" w:sz="4" w:space="0" w:color="000000"/>
              <w:left w:val="single" w:sz="4" w:space="0" w:color="000000"/>
              <w:bottom w:val="single" w:sz="4" w:space="0" w:color="000000"/>
            </w:tcBorders>
          </w:tcPr>
          <w:p w14:paraId="726B1E2D" w14:textId="77777777" w:rsidR="00B6276C" w:rsidRPr="00175E32" w:rsidRDefault="00B6276C" w:rsidP="00923023">
            <w:pPr>
              <w:pStyle w:val="aff0"/>
              <w:spacing w:line="300" w:lineRule="auto"/>
              <w:rPr>
                <w:sz w:val="24"/>
                <w:szCs w:val="24"/>
              </w:rPr>
            </w:pPr>
          </w:p>
        </w:tc>
        <w:tc>
          <w:tcPr>
            <w:tcW w:w="1600" w:type="dxa"/>
            <w:tcBorders>
              <w:top w:val="single" w:sz="4" w:space="0" w:color="000000"/>
              <w:left w:val="single" w:sz="4" w:space="0" w:color="000000"/>
              <w:bottom w:val="single" w:sz="4" w:space="0" w:color="000000"/>
            </w:tcBorders>
            <w:vAlign w:val="center"/>
          </w:tcPr>
          <w:p w14:paraId="1271A574" w14:textId="77777777" w:rsidR="00B6276C" w:rsidRPr="00175E32" w:rsidRDefault="00B6276C" w:rsidP="008A1EBE">
            <w:pPr>
              <w:pStyle w:val="aff0"/>
              <w:spacing w:line="300" w:lineRule="auto"/>
              <w:ind w:firstLine="0"/>
              <w:jc w:val="center"/>
              <w:rPr>
                <w:sz w:val="24"/>
                <w:szCs w:val="24"/>
              </w:rPr>
            </w:pPr>
            <w:r w:rsidRPr="00175E32">
              <w:rPr>
                <w:sz w:val="24"/>
                <w:szCs w:val="24"/>
              </w:rPr>
              <w:t>1 вариант</w:t>
            </w:r>
          </w:p>
        </w:tc>
        <w:tc>
          <w:tcPr>
            <w:tcW w:w="1600" w:type="dxa"/>
            <w:tcBorders>
              <w:top w:val="single" w:sz="4" w:space="0" w:color="000000"/>
              <w:left w:val="single" w:sz="4" w:space="0" w:color="000000"/>
              <w:bottom w:val="single" w:sz="4" w:space="0" w:color="000000"/>
            </w:tcBorders>
            <w:vAlign w:val="center"/>
          </w:tcPr>
          <w:p w14:paraId="2CE5056B" w14:textId="77777777" w:rsidR="00B6276C" w:rsidRPr="00175E32" w:rsidRDefault="00B6276C" w:rsidP="008A1EBE">
            <w:pPr>
              <w:pStyle w:val="aff0"/>
              <w:spacing w:line="300" w:lineRule="auto"/>
              <w:ind w:firstLine="0"/>
              <w:jc w:val="center"/>
              <w:rPr>
                <w:sz w:val="24"/>
                <w:szCs w:val="24"/>
              </w:rPr>
            </w:pPr>
            <w:r w:rsidRPr="00175E32">
              <w:rPr>
                <w:sz w:val="24"/>
                <w:szCs w:val="24"/>
              </w:rPr>
              <w:t>2 вариант</w:t>
            </w:r>
          </w:p>
        </w:tc>
        <w:tc>
          <w:tcPr>
            <w:tcW w:w="1487" w:type="dxa"/>
            <w:vMerge/>
            <w:tcBorders>
              <w:top w:val="single" w:sz="4" w:space="0" w:color="000000"/>
              <w:left w:val="single" w:sz="4" w:space="0" w:color="000000"/>
              <w:bottom w:val="single" w:sz="4" w:space="0" w:color="000000"/>
              <w:right w:val="single" w:sz="4" w:space="0" w:color="000000"/>
            </w:tcBorders>
          </w:tcPr>
          <w:p w14:paraId="690DAF23" w14:textId="77777777" w:rsidR="00B6276C" w:rsidRPr="00175E32" w:rsidRDefault="00B6276C" w:rsidP="00923023">
            <w:pPr>
              <w:pStyle w:val="aff0"/>
              <w:spacing w:line="300" w:lineRule="auto"/>
              <w:rPr>
                <w:sz w:val="24"/>
                <w:szCs w:val="24"/>
              </w:rPr>
            </w:pPr>
          </w:p>
        </w:tc>
      </w:tr>
      <w:tr w:rsidR="00B6276C" w:rsidRPr="00175E32" w14:paraId="2D55B4CF" w14:textId="77777777" w:rsidTr="00915495">
        <w:trPr>
          <w:trHeight w:val="765"/>
        </w:trPr>
        <w:tc>
          <w:tcPr>
            <w:tcW w:w="3039" w:type="dxa"/>
            <w:tcBorders>
              <w:top w:val="single" w:sz="4" w:space="0" w:color="000000"/>
              <w:left w:val="single" w:sz="4" w:space="0" w:color="000000"/>
              <w:bottom w:val="single" w:sz="4" w:space="0" w:color="000000"/>
            </w:tcBorders>
          </w:tcPr>
          <w:p w14:paraId="4B46C971" w14:textId="77777777" w:rsidR="00B6276C" w:rsidRPr="00175E32" w:rsidRDefault="00B6276C" w:rsidP="00923023">
            <w:pPr>
              <w:pStyle w:val="aff0"/>
              <w:spacing w:line="240" w:lineRule="auto"/>
              <w:ind w:firstLine="0"/>
              <w:rPr>
                <w:sz w:val="24"/>
                <w:szCs w:val="24"/>
              </w:rPr>
            </w:pPr>
            <w:r w:rsidRPr="00175E32">
              <w:rPr>
                <w:sz w:val="24"/>
                <w:szCs w:val="24"/>
              </w:rPr>
              <w:t>Грузооборот транспорта (без трубопроводного)</w:t>
            </w:r>
          </w:p>
        </w:tc>
        <w:tc>
          <w:tcPr>
            <w:tcW w:w="1599" w:type="dxa"/>
            <w:tcBorders>
              <w:top w:val="single" w:sz="4" w:space="0" w:color="000000"/>
              <w:left w:val="single" w:sz="4" w:space="0" w:color="000000"/>
              <w:bottom w:val="single" w:sz="4" w:space="0" w:color="000000"/>
            </w:tcBorders>
            <w:vAlign w:val="center"/>
          </w:tcPr>
          <w:p w14:paraId="75AAD1C8" w14:textId="77777777" w:rsidR="00B6276C" w:rsidRPr="00175E32" w:rsidRDefault="00B6276C" w:rsidP="008A1EBE">
            <w:pPr>
              <w:pStyle w:val="aff0"/>
              <w:spacing w:line="240" w:lineRule="auto"/>
              <w:ind w:firstLine="0"/>
              <w:jc w:val="center"/>
              <w:rPr>
                <w:sz w:val="24"/>
                <w:szCs w:val="24"/>
              </w:rPr>
            </w:pPr>
            <w:r w:rsidRPr="00175E32">
              <w:rPr>
                <w:sz w:val="24"/>
                <w:szCs w:val="24"/>
              </w:rPr>
              <w:t>млн. т. км</w:t>
            </w:r>
          </w:p>
        </w:tc>
        <w:tc>
          <w:tcPr>
            <w:tcW w:w="1600" w:type="dxa"/>
            <w:tcBorders>
              <w:top w:val="single" w:sz="4" w:space="0" w:color="000000"/>
              <w:left w:val="single" w:sz="4" w:space="0" w:color="000000"/>
              <w:bottom w:val="single" w:sz="4" w:space="0" w:color="000000"/>
            </w:tcBorders>
            <w:vAlign w:val="center"/>
          </w:tcPr>
          <w:p w14:paraId="353EEEC7" w14:textId="77777777" w:rsidR="00B6276C" w:rsidRPr="00175E32" w:rsidRDefault="00B6276C" w:rsidP="00923023">
            <w:pPr>
              <w:pStyle w:val="aff0"/>
              <w:spacing w:line="240" w:lineRule="auto"/>
              <w:ind w:firstLine="0"/>
              <w:jc w:val="center"/>
              <w:rPr>
                <w:sz w:val="24"/>
                <w:szCs w:val="24"/>
              </w:rPr>
            </w:pPr>
            <w:r w:rsidRPr="00175E32">
              <w:rPr>
                <w:sz w:val="24"/>
                <w:szCs w:val="24"/>
              </w:rPr>
              <w:t>346,1</w:t>
            </w:r>
          </w:p>
        </w:tc>
        <w:tc>
          <w:tcPr>
            <w:tcW w:w="1600" w:type="dxa"/>
            <w:tcBorders>
              <w:top w:val="single" w:sz="4" w:space="0" w:color="000000"/>
              <w:left w:val="single" w:sz="4" w:space="0" w:color="000000"/>
              <w:bottom w:val="single" w:sz="4" w:space="0" w:color="000000"/>
            </w:tcBorders>
            <w:vAlign w:val="center"/>
          </w:tcPr>
          <w:p w14:paraId="4A5B0B5A" w14:textId="77777777" w:rsidR="00B6276C" w:rsidRPr="00175E32" w:rsidRDefault="00B6276C" w:rsidP="00923023">
            <w:pPr>
              <w:pStyle w:val="aff0"/>
              <w:spacing w:line="240" w:lineRule="auto"/>
              <w:ind w:firstLine="0"/>
              <w:jc w:val="center"/>
              <w:rPr>
                <w:sz w:val="24"/>
                <w:szCs w:val="24"/>
              </w:rPr>
            </w:pPr>
            <w:r w:rsidRPr="00175E32">
              <w:rPr>
                <w:sz w:val="24"/>
                <w:szCs w:val="24"/>
              </w:rPr>
              <w:t>368,9</w:t>
            </w:r>
          </w:p>
        </w:tc>
        <w:tc>
          <w:tcPr>
            <w:tcW w:w="1487" w:type="dxa"/>
            <w:tcBorders>
              <w:top w:val="single" w:sz="4" w:space="0" w:color="000000"/>
              <w:left w:val="single" w:sz="4" w:space="0" w:color="000000"/>
              <w:bottom w:val="single" w:sz="4" w:space="0" w:color="000000"/>
              <w:right w:val="single" w:sz="4" w:space="0" w:color="000000"/>
            </w:tcBorders>
            <w:vAlign w:val="center"/>
          </w:tcPr>
          <w:p w14:paraId="21CF6B57" w14:textId="77777777" w:rsidR="00B6276C" w:rsidRPr="00175E32" w:rsidRDefault="00B6276C" w:rsidP="00923023">
            <w:pPr>
              <w:pStyle w:val="aff0"/>
              <w:spacing w:line="240" w:lineRule="auto"/>
              <w:ind w:firstLine="0"/>
              <w:jc w:val="center"/>
              <w:rPr>
                <w:sz w:val="24"/>
                <w:szCs w:val="24"/>
              </w:rPr>
            </w:pPr>
            <w:r w:rsidRPr="00175E32">
              <w:rPr>
                <w:sz w:val="24"/>
                <w:szCs w:val="24"/>
              </w:rPr>
              <w:t>200,0</w:t>
            </w:r>
          </w:p>
        </w:tc>
      </w:tr>
      <w:tr w:rsidR="00B6276C" w:rsidRPr="00175E32" w14:paraId="23ABE924" w14:textId="77777777" w:rsidTr="00915495">
        <w:trPr>
          <w:trHeight w:val="776"/>
        </w:trPr>
        <w:tc>
          <w:tcPr>
            <w:tcW w:w="3039" w:type="dxa"/>
            <w:tcBorders>
              <w:top w:val="single" w:sz="4" w:space="0" w:color="000000"/>
              <w:left w:val="single" w:sz="4" w:space="0" w:color="000000"/>
              <w:bottom w:val="single" w:sz="4" w:space="0" w:color="000000"/>
            </w:tcBorders>
          </w:tcPr>
          <w:p w14:paraId="4C06389F" w14:textId="77777777" w:rsidR="00B6276C" w:rsidRPr="00175E32" w:rsidRDefault="00B6276C" w:rsidP="00923023">
            <w:pPr>
              <w:pStyle w:val="aff0"/>
              <w:spacing w:line="240" w:lineRule="auto"/>
              <w:ind w:firstLine="0"/>
              <w:rPr>
                <w:sz w:val="24"/>
                <w:szCs w:val="24"/>
              </w:rPr>
            </w:pPr>
            <w:r w:rsidRPr="00175E32">
              <w:rPr>
                <w:sz w:val="24"/>
                <w:szCs w:val="24"/>
              </w:rPr>
              <w:t>Пассажирооборот транспорта общего пользования</w:t>
            </w:r>
          </w:p>
        </w:tc>
        <w:tc>
          <w:tcPr>
            <w:tcW w:w="1599" w:type="dxa"/>
            <w:tcBorders>
              <w:top w:val="single" w:sz="4" w:space="0" w:color="000000"/>
              <w:left w:val="single" w:sz="4" w:space="0" w:color="000000"/>
              <w:bottom w:val="single" w:sz="4" w:space="0" w:color="auto"/>
            </w:tcBorders>
            <w:vAlign w:val="center"/>
          </w:tcPr>
          <w:p w14:paraId="25B71A48" w14:textId="77777777" w:rsidR="00B6276C" w:rsidRPr="00175E32" w:rsidRDefault="00B6276C" w:rsidP="008A1EBE">
            <w:pPr>
              <w:pStyle w:val="aff0"/>
              <w:spacing w:line="240" w:lineRule="auto"/>
              <w:ind w:firstLine="0"/>
              <w:jc w:val="center"/>
              <w:rPr>
                <w:sz w:val="24"/>
                <w:szCs w:val="24"/>
              </w:rPr>
            </w:pPr>
            <w:r w:rsidRPr="00175E32">
              <w:rPr>
                <w:sz w:val="24"/>
                <w:szCs w:val="24"/>
              </w:rPr>
              <w:t>млн. пасс. км</w:t>
            </w:r>
          </w:p>
        </w:tc>
        <w:tc>
          <w:tcPr>
            <w:tcW w:w="1600" w:type="dxa"/>
            <w:tcBorders>
              <w:top w:val="single" w:sz="4" w:space="0" w:color="000000"/>
              <w:left w:val="single" w:sz="4" w:space="0" w:color="000000"/>
              <w:bottom w:val="single" w:sz="4" w:space="0" w:color="auto"/>
            </w:tcBorders>
            <w:vAlign w:val="center"/>
          </w:tcPr>
          <w:p w14:paraId="7C7812EB" w14:textId="77777777" w:rsidR="00B6276C" w:rsidRPr="00175E32" w:rsidRDefault="00B6276C" w:rsidP="00923023">
            <w:pPr>
              <w:pStyle w:val="aff0"/>
              <w:spacing w:line="240" w:lineRule="auto"/>
              <w:ind w:firstLine="0"/>
              <w:jc w:val="center"/>
              <w:rPr>
                <w:sz w:val="24"/>
                <w:szCs w:val="24"/>
              </w:rPr>
            </w:pPr>
            <w:r w:rsidRPr="00175E32">
              <w:rPr>
                <w:sz w:val="24"/>
                <w:szCs w:val="24"/>
              </w:rPr>
              <w:t>1 149,0</w:t>
            </w:r>
          </w:p>
        </w:tc>
        <w:tc>
          <w:tcPr>
            <w:tcW w:w="1600" w:type="dxa"/>
            <w:tcBorders>
              <w:top w:val="single" w:sz="4" w:space="0" w:color="000000"/>
              <w:left w:val="single" w:sz="4" w:space="0" w:color="000000"/>
              <w:bottom w:val="single" w:sz="4" w:space="0" w:color="auto"/>
            </w:tcBorders>
            <w:vAlign w:val="center"/>
          </w:tcPr>
          <w:p w14:paraId="257ACE9D" w14:textId="77777777" w:rsidR="00B6276C" w:rsidRPr="00175E32" w:rsidRDefault="00B6276C" w:rsidP="00923023">
            <w:pPr>
              <w:pStyle w:val="aff0"/>
              <w:spacing w:line="240" w:lineRule="auto"/>
              <w:ind w:firstLine="0"/>
              <w:jc w:val="center"/>
              <w:rPr>
                <w:sz w:val="24"/>
                <w:szCs w:val="24"/>
              </w:rPr>
            </w:pPr>
            <w:r w:rsidRPr="00175E32">
              <w:rPr>
                <w:sz w:val="24"/>
                <w:szCs w:val="24"/>
              </w:rPr>
              <w:t>1 152,4</w:t>
            </w:r>
          </w:p>
        </w:tc>
        <w:tc>
          <w:tcPr>
            <w:tcW w:w="1487" w:type="dxa"/>
            <w:tcBorders>
              <w:top w:val="single" w:sz="4" w:space="0" w:color="000000"/>
              <w:left w:val="single" w:sz="4" w:space="0" w:color="000000"/>
              <w:bottom w:val="single" w:sz="4" w:space="0" w:color="auto"/>
              <w:right w:val="single" w:sz="4" w:space="0" w:color="000000"/>
            </w:tcBorders>
            <w:vAlign w:val="center"/>
          </w:tcPr>
          <w:p w14:paraId="73551FA5" w14:textId="77777777" w:rsidR="00B6276C" w:rsidRPr="00175E32" w:rsidRDefault="00B6276C" w:rsidP="00923023">
            <w:pPr>
              <w:pStyle w:val="aff0"/>
              <w:spacing w:line="240" w:lineRule="auto"/>
              <w:ind w:firstLine="0"/>
              <w:jc w:val="center"/>
              <w:rPr>
                <w:sz w:val="24"/>
                <w:szCs w:val="24"/>
              </w:rPr>
            </w:pPr>
            <w:r w:rsidRPr="00175E32">
              <w:rPr>
                <w:sz w:val="24"/>
                <w:szCs w:val="24"/>
              </w:rPr>
              <w:t>1 035,1</w:t>
            </w:r>
          </w:p>
        </w:tc>
      </w:tr>
    </w:tbl>
    <w:p w14:paraId="151BC8A5" w14:textId="77777777" w:rsidR="00B6276C" w:rsidRPr="00175E32" w:rsidRDefault="00B6276C" w:rsidP="00B6276C">
      <w:pPr>
        <w:widowControl w:val="0"/>
        <w:spacing w:line="300" w:lineRule="auto"/>
        <w:rPr>
          <w:rFonts w:eastAsia="Calibri"/>
          <w:szCs w:val="24"/>
        </w:rPr>
      </w:pPr>
    </w:p>
    <w:p w14:paraId="65ED2F1E" w14:textId="77777777" w:rsidR="00D43676" w:rsidRPr="00175E32" w:rsidRDefault="00D43676" w:rsidP="00251693">
      <w:pPr>
        <w:pStyle w:val="aff0"/>
        <w:spacing w:line="276" w:lineRule="auto"/>
        <w:rPr>
          <w:sz w:val="24"/>
          <w:szCs w:val="24"/>
        </w:rPr>
      </w:pPr>
      <w:r w:rsidRPr="00175E32">
        <w:rPr>
          <w:sz w:val="24"/>
          <w:szCs w:val="24"/>
        </w:rPr>
        <w:t>С учетом сложившегося значения показателя за 1 полугодие 2020 года, исходя из оценки текущей ситуации на рынке транспортных услуг, оценочное значение показателя грузооборота транспорта на 2020 год скорректировано в</w:t>
      </w:r>
      <w:r w:rsidR="008A1EBE">
        <w:rPr>
          <w:sz w:val="24"/>
          <w:szCs w:val="24"/>
        </w:rPr>
        <w:t xml:space="preserve"> сторону снижения до 200,0 млн. </w:t>
      </w:r>
      <w:r w:rsidRPr="00175E32">
        <w:rPr>
          <w:sz w:val="24"/>
          <w:szCs w:val="24"/>
        </w:rPr>
        <w:t>т. км.</w:t>
      </w:r>
    </w:p>
    <w:p w14:paraId="57356F2F" w14:textId="77777777" w:rsidR="00B6276C" w:rsidRPr="00175E32" w:rsidRDefault="00B6276C" w:rsidP="00251693">
      <w:pPr>
        <w:widowControl w:val="0"/>
        <w:suppressAutoHyphens w:val="0"/>
        <w:autoSpaceDE w:val="0"/>
        <w:autoSpaceDN w:val="0"/>
        <w:adjustRightInd w:val="0"/>
        <w:spacing w:line="276" w:lineRule="auto"/>
        <w:rPr>
          <w:rFonts w:eastAsiaTheme="minorEastAsia"/>
          <w:szCs w:val="24"/>
          <w:lang w:eastAsia="ru-RU"/>
        </w:rPr>
      </w:pPr>
      <w:r w:rsidRPr="00175E32">
        <w:rPr>
          <w:rFonts w:eastAsiaTheme="minorEastAsia"/>
          <w:szCs w:val="24"/>
          <w:lang w:eastAsia="ru-RU"/>
        </w:rPr>
        <w:t>В 2020 году пассажирооборот транспорта общего пользования снизится на 7,0% к уровню 2019 года и по оценке составит 1035,1 млн. пасс. км</w:t>
      </w:r>
      <w:r w:rsidR="00915495" w:rsidRPr="00175E32">
        <w:rPr>
          <w:rFonts w:eastAsiaTheme="minorEastAsia"/>
          <w:szCs w:val="24"/>
          <w:lang w:eastAsia="ru-RU"/>
        </w:rPr>
        <w:t>, что также ниже значений, прогнозируемых ранее.</w:t>
      </w:r>
    </w:p>
    <w:p w14:paraId="37F73D62" w14:textId="77777777" w:rsidR="00B6276C" w:rsidRPr="00175E32" w:rsidRDefault="00B6276C" w:rsidP="00251693">
      <w:pPr>
        <w:widowControl w:val="0"/>
        <w:suppressAutoHyphens w:val="0"/>
        <w:autoSpaceDE w:val="0"/>
        <w:autoSpaceDN w:val="0"/>
        <w:adjustRightInd w:val="0"/>
        <w:spacing w:line="276" w:lineRule="auto"/>
        <w:rPr>
          <w:rFonts w:eastAsiaTheme="minorEastAsia"/>
          <w:szCs w:val="24"/>
          <w:lang w:eastAsia="ru-RU"/>
        </w:rPr>
      </w:pPr>
      <w:r w:rsidRPr="00175E32">
        <w:rPr>
          <w:rFonts w:eastAsiaTheme="minorEastAsia"/>
          <w:szCs w:val="24"/>
          <w:lang w:eastAsia="ru-RU"/>
        </w:rPr>
        <w:t>В городском округе Тольятти разработана и утверждена постановлением мэрии от 29.01.2014 № 233-п/1 муниципальная программа «Развитие транспортной системы и дорожного хозяйства городского округа Тольятти», которая включает в себя подпрограмму «Модернизация и развитие автомобильных дорог общего пользования местного значения городского округа Тольятти на 2014-2020 гг.».</w:t>
      </w:r>
    </w:p>
    <w:p w14:paraId="22FAB43E" w14:textId="77777777" w:rsidR="00B6276C" w:rsidRPr="00175E32" w:rsidRDefault="00B6276C" w:rsidP="00251693">
      <w:pPr>
        <w:widowControl w:val="0"/>
        <w:suppressAutoHyphens w:val="0"/>
        <w:autoSpaceDE w:val="0"/>
        <w:autoSpaceDN w:val="0"/>
        <w:adjustRightInd w:val="0"/>
        <w:spacing w:line="276" w:lineRule="auto"/>
        <w:rPr>
          <w:rFonts w:eastAsiaTheme="minorEastAsia"/>
          <w:szCs w:val="24"/>
          <w:lang w:eastAsia="ru-RU"/>
        </w:rPr>
      </w:pPr>
      <w:r w:rsidRPr="00175E32">
        <w:rPr>
          <w:rFonts w:eastAsiaTheme="minorEastAsia"/>
          <w:szCs w:val="24"/>
          <w:lang w:eastAsia="ru-RU"/>
        </w:rPr>
        <w:t>В 2020 году в рамках национального проекта «Безопасные качественные автомобильные дороги» предусмотрено выполнение ремонта автомобильных дорог общего пользования местного значения протяженностью 17,2 км.</w:t>
      </w:r>
    </w:p>
    <w:p w14:paraId="06E1679F" w14:textId="77777777" w:rsidR="00B6276C" w:rsidRPr="00175E32" w:rsidRDefault="00B6276C" w:rsidP="00251693">
      <w:pPr>
        <w:widowControl w:val="0"/>
        <w:suppressAutoHyphens w:val="0"/>
        <w:autoSpaceDE w:val="0"/>
        <w:autoSpaceDN w:val="0"/>
        <w:adjustRightInd w:val="0"/>
        <w:spacing w:line="276" w:lineRule="auto"/>
        <w:rPr>
          <w:rFonts w:eastAsiaTheme="minorEastAsia"/>
          <w:szCs w:val="24"/>
          <w:lang w:eastAsia="ru-RU"/>
        </w:rPr>
      </w:pPr>
      <w:r w:rsidRPr="00175E32">
        <w:rPr>
          <w:rFonts w:eastAsiaTheme="minorEastAsia"/>
          <w:szCs w:val="24"/>
          <w:lang w:eastAsia="ru-RU"/>
        </w:rPr>
        <w:t>Также, в рамках ремонта автомобильных дорог запланированы мероприятия по приведению в нормативное состояние автомобильных дорог, снижению уровня перегрузки и ликвидации мест концентрации дорожно-транспортных проис</w:t>
      </w:r>
      <w:r w:rsidR="008A1EBE">
        <w:rPr>
          <w:rFonts w:eastAsiaTheme="minorEastAsia"/>
          <w:szCs w:val="24"/>
          <w:lang w:eastAsia="ru-RU"/>
        </w:rPr>
        <w:t>шествий.</w:t>
      </w:r>
    </w:p>
    <w:p w14:paraId="105101FA" w14:textId="77777777" w:rsidR="00B6276C" w:rsidRPr="00175E32" w:rsidRDefault="00B6276C" w:rsidP="00251693">
      <w:pPr>
        <w:widowControl w:val="0"/>
        <w:suppressAutoHyphens w:val="0"/>
        <w:autoSpaceDE w:val="0"/>
        <w:autoSpaceDN w:val="0"/>
        <w:adjustRightInd w:val="0"/>
        <w:spacing w:line="276" w:lineRule="auto"/>
        <w:rPr>
          <w:rFonts w:eastAsiaTheme="minorEastAsia"/>
          <w:szCs w:val="24"/>
          <w:lang w:eastAsia="ru-RU"/>
        </w:rPr>
      </w:pPr>
      <w:r w:rsidRPr="00175E32">
        <w:rPr>
          <w:rFonts w:eastAsiaTheme="minorEastAsia"/>
          <w:szCs w:val="24"/>
          <w:lang w:eastAsia="ru-RU"/>
        </w:rPr>
        <w:t xml:space="preserve">Планом мероприятий, связанных с празднованием 50-летия производства первого легкового автомобиля ВАЗ в городском округе Тольятти продолжены работы по </w:t>
      </w:r>
      <w:r w:rsidRPr="00175E32">
        <w:rPr>
          <w:rFonts w:eastAsiaTheme="minorEastAsia"/>
          <w:szCs w:val="24"/>
          <w:lang w:eastAsia="ru-RU"/>
        </w:rPr>
        <w:lastRenderedPageBreak/>
        <w:t>строительству магистральной улицы общегородского значения регулируемого движения ул. Офицерской от Полякова до Южного шоссе (0,32 км) и ул. Офицерской (0,58 км).</w:t>
      </w:r>
    </w:p>
    <w:p w14:paraId="0EC584AD" w14:textId="77777777" w:rsidR="00F2765D" w:rsidRPr="00175E32" w:rsidRDefault="00F2765D" w:rsidP="00251693">
      <w:pPr>
        <w:pStyle w:val="aff0"/>
        <w:spacing w:line="276" w:lineRule="auto"/>
        <w:rPr>
          <w:sz w:val="24"/>
          <w:szCs w:val="24"/>
        </w:rPr>
      </w:pPr>
    </w:p>
    <w:p w14:paraId="4A7FA4CF" w14:textId="77777777" w:rsidR="00A50BA4" w:rsidRPr="00175E32" w:rsidRDefault="00A50BA4" w:rsidP="008A1EBE">
      <w:pPr>
        <w:pStyle w:val="3"/>
        <w:ind w:left="0" w:firstLine="0"/>
      </w:pPr>
      <w:r w:rsidRPr="00175E32">
        <w:t>Связь</w:t>
      </w:r>
      <w:bookmarkStart w:id="5" w:name="связь"/>
      <w:bookmarkEnd w:id="5"/>
    </w:p>
    <w:p w14:paraId="1DE26960" w14:textId="77777777" w:rsidR="00A50BA4" w:rsidRPr="00175E32" w:rsidRDefault="00A50BA4" w:rsidP="00443EE9">
      <w:pPr>
        <w:spacing w:line="276" w:lineRule="auto"/>
        <w:jc w:val="center"/>
        <w:rPr>
          <w:b/>
          <w:szCs w:val="24"/>
        </w:rPr>
      </w:pPr>
    </w:p>
    <w:p w14:paraId="11F148FE" w14:textId="77777777" w:rsidR="00B6276C" w:rsidRPr="00175E32" w:rsidRDefault="00B6276C" w:rsidP="00251693">
      <w:pPr>
        <w:widowControl w:val="0"/>
        <w:suppressAutoHyphens w:val="0"/>
        <w:autoSpaceDE w:val="0"/>
        <w:autoSpaceDN w:val="0"/>
        <w:adjustRightInd w:val="0"/>
        <w:spacing w:line="276" w:lineRule="auto"/>
        <w:rPr>
          <w:rFonts w:eastAsiaTheme="minorEastAsia"/>
          <w:szCs w:val="24"/>
          <w:shd w:val="clear" w:color="auto" w:fill="FFFF00"/>
          <w:lang w:eastAsia="ru-RU"/>
        </w:rPr>
      </w:pPr>
      <w:r w:rsidRPr="00175E32">
        <w:rPr>
          <w:rFonts w:eastAsiaTheme="minorEastAsia"/>
          <w:szCs w:val="24"/>
          <w:lang w:eastAsia="ru-RU"/>
        </w:rPr>
        <w:t>В 2020 году услуги почтовой и курьерской связи, телевизионного и радиовещания, а также услуги в сфере телекоммуникаций оказыв</w:t>
      </w:r>
      <w:r w:rsidR="008A1EBE">
        <w:rPr>
          <w:rFonts w:eastAsiaTheme="minorEastAsia"/>
          <w:szCs w:val="24"/>
          <w:lang w:eastAsia="ru-RU"/>
        </w:rPr>
        <w:t>ают 15 организаций. По итогам 1 </w:t>
      </w:r>
      <w:r w:rsidRPr="00175E32">
        <w:rPr>
          <w:rFonts w:eastAsiaTheme="minorEastAsia"/>
          <w:szCs w:val="24"/>
          <w:lang w:eastAsia="ru-RU"/>
        </w:rPr>
        <w:t>полугодия 2020 года объем услуг, оказанных предпр</w:t>
      </w:r>
      <w:r w:rsidR="008A1EBE">
        <w:rPr>
          <w:rFonts w:eastAsiaTheme="minorEastAsia"/>
          <w:szCs w:val="24"/>
          <w:lang w:eastAsia="ru-RU"/>
        </w:rPr>
        <w:t>иятиями связи, составил 1 653,1 </w:t>
      </w:r>
      <w:r w:rsidRPr="00175E32">
        <w:rPr>
          <w:rFonts w:eastAsiaTheme="minorEastAsia"/>
          <w:szCs w:val="24"/>
          <w:lang w:eastAsia="ru-RU"/>
        </w:rPr>
        <w:t>млн. рублей (101,5% в действующих ценах к уровню аналогичного периода предыдущего года).</w:t>
      </w:r>
      <w:r w:rsidRPr="00175E32">
        <w:rPr>
          <w:rFonts w:eastAsiaTheme="minorEastAsia"/>
          <w:szCs w:val="24"/>
          <w:shd w:val="clear" w:color="auto" w:fill="FFFF00"/>
          <w:lang w:eastAsia="ru-RU"/>
        </w:rPr>
        <w:t xml:space="preserve"> </w:t>
      </w:r>
    </w:p>
    <w:p w14:paraId="7089E5D4" w14:textId="77777777" w:rsidR="00B6276C" w:rsidRPr="00175E32" w:rsidRDefault="00B6276C" w:rsidP="00251693">
      <w:pPr>
        <w:widowControl w:val="0"/>
        <w:suppressAutoHyphens w:val="0"/>
        <w:autoSpaceDE w:val="0"/>
        <w:autoSpaceDN w:val="0"/>
        <w:adjustRightInd w:val="0"/>
        <w:spacing w:line="276" w:lineRule="auto"/>
        <w:ind w:firstLine="708"/>
        <w:rPr>
          <w:rFonts w:eastAsiaTheme="minorEastAsia"/>
          <w:szCs w:val="24"/>
          <w:lang w:eastAsia="ru-RU"/>
        </w:rPr>
      </w:pPr>
      <w:r w:rsidRPr="00175E32">
        <w:rPr>
          <w:rFonts w:eastAsiaTheme="minorEastAsia"/>
          <w:szCs w:val="24"/>
          <w:lang w:eastAsia="ru-RU"/>
        </w:rPr>
        <w:t xml:space="preserve">Объем услуг почтовой связи и курьерской деятельности в 1 полугодии 2020 года увеличился на 14,3% к соответствующему периоду </w:t>
      </w:r>
      <w:r w:rsidR="008A1EBE">
        <w:rPr>
          <w:rFonts w:eastAsiaTheme="minorEastAsia"/>
          <w:szCs w:val="24"/>
          <w:lang w:eastAsia="ru-RU"/>
        </w:rPr>
        <w:t>2019 года и составил 340,5 млн. </w:t>
      </w:r>
      <w:r w:rsidRPr="00175E32">
        <w:rPr>
          <w:rFonts w:eastAsiaTheme="minorEastAsia"/>
          <w:szCs w:val="24"/>
          <w:lang w:eastAsia="ru-RU"/>
        </w:rPr>
        <w:t xml:space="preserve">рублей. </w:t>
      </w:r>
    </w:p>
    <w:p w14:paraId="7542E0A3" w14:textId="77777777" w:rsidR="00B6276C" w:rsidRPr="00175E32" w:rsidRDefault="00B6276C" w:rsidP="00251693">
      <w:pPr>
        <w:widowControl w:val="0"/>
        <w:suppressAutoHyphens w:val="0"/>
        <w:autoSpaceDE w:val="0"/>
        <w:autoSpaceDN w:val="0"/>
        <w:adjustRightInd w:val="0"/>
        <w:spacing w:line="276" w:lineRule="auto"/>
        <w:rPr>
          <w:rFonts w:eastAsiaTheme="minorEastAsia"/>
          <w:szCs w:val="24"/>
          <w:lang w:eastAsia="ru-RU"/>
        </w:rPr>
      </w:pPr>
      <w:r w:rsidRPr="00175E32">
        <w:rPr>
          <w:rFonts w:eastAsiaTheme="minorEastAsia"/>
          <w:szCs w:val="24"/>
          <w:lang w:eastAsia="ru-RU"/>
        </w:rPr>
        <w:t>Объем услуг в области телевизионного и радиовещания, а также в сфере телекоммуникаций составил 1 312,5 млн. рублей, что на 2,1% ниже соответствующего периода 2019 года. На территории городского округа Тольятти в данной сфере осуществляют деятельность такие операторы, как О</w:t>
      </w:r>
      <w:r w:rsidR="008A1EBE">
        <w:rPr>
          <w:rFonts w:eastAsiaTheme="minorEastAsia"/>
          <w:szCs w:val="24"/>
          <w:lang w:eastAsia="ru-RU"/>
        </w:rPr>
        <w:t>АО «Лада Медиа», ООО «ЛИК», ПАО </w:t>
      </w:r>
      <w:r w:rsidRPr="00175E32">
        <w:rPr>
          <w:rFonts w:eastAsiaTheme="minorEastAsia"/>
          <w:szCs w:val="24"/>
          <w:lang w:eastAsia="ru-RU"/>
        </w:rPr>
        <w:t>«Мегафон», ООО «</w:t>
      </w:r>
      <w:proofErr w:type="spellStart"/>
      <w:r w:rsidRPr="00175E32">
        <w:rPr>
          <w:rFonts w:eastAsiaTheme="minorEastAsia"/>
          <w:szCs w:val="24"/>
          <w:lang w:eastAsia="ru-RU"/>
        </w:rPr>
        <w:t>ИнфоЛада</w:t>
      </w:r>
      <w:proofErr w:type="spellEnd"/>
      <w:r w:rsidRPr="00175E32">
        <w:rPr>
          <w:rFonts w:eastAsiaTheme="minorEastAsia"/>
          <w:szCs w:val="24"/>
          <w:lang w:eastAsia="ru-RU"/>
        </w:rPr>
        <w:t xml:space="preserve">», ПАО «МТС» и другие. </w:t>
      </w:r>
    </w:p>
    <w:p w14:paraId="21B0B957" w14:textId="77777777" w:rsidR="0032558C" w:rsidRPr="00175E32" w:rsidRDefault="0032558C" w:rsidP="00251693">
      <w:pPr>
        <w:widowControl w:val="0"/>
        <w:suppressAutoHyphens w:val="0"/>
        <w:autoSpaceDE w:val="0"/>
        <w:autoSpaceDN w:val="0"/>
        <w:adjustRightInd w:val="0"/>
        <w:spacing w:line="276" w:lineRule="auto"/>
        <w:rPr>
          <w:rFonts w:eastAsiaTheme="minorEastAsia"/>
          <w:szCs w:val="24"/>
          <w:lang w:eastAsia="ru-RU"/>
        </w:rPr>
      </w:pPr>
      <w:r w:rsidRPr="00175E32">
        <w:rPr>
          <w:rFonts w:eastAsiaTheme="minorEastAsia"/>
          <w:szCs w:val="24"/>
          <w:lang w:eastAsia="ru-RU"/>
        </w:rPr>
        <w:t>Несмотря на</w:t>
      </w:r>
      <w:r w:rsidRPr="00175E32">
        <w:rPr>
          <w:bCs/>
        </w:rPr>
        <w:t xml:space="preserve"> негативное влияние на экономику событий, связанных с распространением новой коронавирусной инфекции COVID-</w:t>
      </w:r>
      <w:r w:rsidRPr="00175E32">
        <w:t>19, ожидается,</w:t>
      </w:r>
      <w:r w:rsidRPr="00175E32">
        <w:rPr>
          <w:bCs/>
        </w:rPr>
        <w:t xml:space="preserve"> </w:t>
      </w:r>
      <w:r w:rsidRPr="00175E32">
        <w:rPr>
          <w:rFonts w:eastAsiaTheme="minorEastAsia"/>
          <w:szCs w:val="24"/>
          <w:lang w:eastAsia="ru-RU"/>
        </w:rPr>
        <w:t xml:space="preserve">что до конца 2020 года </w:t>
      </w:r>
      <w:r w:rsidR="00B6276C" w:rsidRPr="00175E32">
        <w:rPr>
          <w:rFonts w:eastAsiaTheme="minorEastAsia"/>
          <w:szCs w:val="24"/>
          <w:lang w:eastAsia="ru-RU"/>
        </w:rPr>
        <w:t>динамика показателя</w:t>
      </w:r>
      <w:r w:rsidRPr="00175E32">
        <w:rPr>
          <w:rFonts w:eastAsiaTheme="minorEastAsia"/>
          <w:szCs w:val="24"/>
          <w:lang w:eastAsia="ru-RU"/>
        </w:rPr>
        <w:t xml:space="preserve"> </w:t>
      </w:r>
      <w:r w:rsidR="006C6372" w:rsidRPr="00175E32">
        <w:rPr>
          <w:rFonts w:eastAsiaTheme="minorEastAsia"/>
          <w:szCs w:val="24"/>
          <w:lang w:eastAsia="ru-RU"/>
        </w:rPr>
        <w:t>стабилизируется</w:t>
      </w:r>
      <w:r w:rsidR="00B6276C" w:rsidRPr="00175E32">
        <w:rPr>
          <w:rFonts w:eastAsiaTheme="minorEastAsia"/>
          <w:szCs w:val="24"/>
          <w:lang w:eastAsia="ru-RU"/>
        </w:rPr>
        <w:t xml:space="preserve">, что связано с постоянным спросом на услуги </w:t>
      </w:r>
      <w:r w:rsidRPr="00175E32">
        <w:rPr>
          <w:rFonts w:eastAsiaTheme="minorEastAsia"/>
          <w:szCs w:val="24"/>
          <w:lang w:eastAsia="ru-RU"/>
        </w:rPr>
        <w:t>связи.</w:t>
      </w:r>
    </w:p>
    <w:p w14:paraId="13C2F648" w14:textId="77777777" w:rsidR="00B6276C" w:rsidRPr="00175E32" w:rsidRDefault="00B6276C" w:rsidP="008A1EBE">
      <w:pPr>
        <w:pStyle w:val="aff0"/>
        <w:spacing w:before="120" w:after="120" w:line="276" w:lineRule="auto"/>
        <w:rPr>
          <w:bCs/>
          <w:sz w:val="24"/>
          <w:szCs w:val="24"/>
        </w:rPr>
      </w:pPr>
      <w:r w:rsidRPr="00175E32">
        <w:rPr>
          <w:bCs/>
          <w:sz w:val="24"/>
          <w:szCs w:val="24"/>
        </w:rPr>
        <w:t>Ожидаемое выполнение прогнозных показателей по разделу «Связь» на 2020 год</w:t>
      </w:r>
    </w:p>
    <w:tbl>
      <w:tblPr>
        <w:tblW w:w="9274" w:type="dxa"/>
        <w:jc w:val="center"/>
        <w:tblLayout w:type="fixed"/>
        <w:tblLook w:val="00A0" w:firstRow="1" w:lastRow="0" w:firstColumn="1" w:lastColumn="0" w:noHBand="0" w:noVBand="0"/>
      </w:tblPr>
      <w:tblGrid>
        <w:gridCol w:w="3426"/>
        <w:gridCol w:w="1420"/>
        <w:gridCol w:w="1556"/>
        <w:gridCol w:w="1475"/>
        <w:gridCol w:w="1397"/>
      </w:tblGrid>
      <w:tr w:rsidR="00B6276C" w:rsidRPr="00175E32" w14:paraId="08422136" w14:textId="77777777" w:rsidTr="00923023">
        <w:trPr>
          <w:cantSplit/>
          <w:trHeight w:val="256"/>
          <w:jc w:val="center"/>
        </w:trPr>
        <w:tc>
          <w:tcPr>
            <w:tcW w:w="3426" w:type="dxa"/>
            <w:vMerge w:val="restart"/>
            <w:tcBorders>
              <w:top w:val="single" w:sz="4" w:space="0" w:color="000000"/>
              <w:left w:val="single" w:sz="4" w:space="0" w:color="000000"/>
              <w:bottom w:val="single" w:sz="4" w:space="0" w:color="000000"/>
              <w:right w:val="nil"/>
            </w:tcBorders>
            <w:vAlign w:val="center"/>
          </w:tcPr>
          <w:p w14:paraId="396EDA0F" w14:textId="77777777" w:rsidR="00B6276C" w:rsidRPr="00175E32" w:rsidRDefault="00B6276C" w:rsidP="00923023">
            <w:pPr>
              <w:pStyle w:val="230"/>
              <w:keepNext/>
              <w:keepLines/>
              <w:spacing w:after="0" w:line="240" w:lineRule="auto"/>
              <w:ind w:left="0" w:firstLine="0"/>
              <w:jc w:val="center"/>
              <w:rPr>
                <w:szCs w:val="24"/>
              </w:rPr>
            </w:pPr>
            <w:r w:rsidRPr="00175E32">
              <w:rPr>
                <w:szCs w:val="24"/>
              </w:rPr>
              <w:t>Показатели</w:t>
            </w:r>
          </w:p>
        </w:tc>
        <w:tc>
          <w:tcPr>
            <w:tcW w:w="1420" w:type="dxa"/>
            <w:vMerge w:val="restart"/>
            <w:tcBorders>
              <w:top w:val="single" w:sz="4" w:space="0" w:color="000000"/>
              <w:left w:val="single" w:sz="4" w:space="0" w:color="000000"/>
              <w:bottom w:val="single" w:sz="4" w:space="0" w:color="000000"/>
              <w:right w:val="nil"/>
            </w:tcBorders>
            <w:vAlign w:val="center"/>
          </w:tcPr>
          <w:p w14:paraId="6CB04A3D" w14:textId="77777777" w:rsidR="00B6276C" w:rsidRPr="00175E32" w:rsidRDefault="00B6276C" w:rsidP="00923023">
            <w:pPr>
              <w:pStyle w:val="230"/>
              <w:keepNext/>
              <w:keepLines/>
              <w:spacing w:after="0" w:line="240" w:lineRule="auto"/>
              <w:ind w:left="0" w:firstLine="0"/>
              <w:jc w:val="center"/>
              <w:rPr>
                <w:szCs w:val="24"/>
              </w:rPr>
            </w:pPr>
            <w:r w:rsidRPr="00175E32">
              <w:rPr>
                <w:szCs w:val="24"/>
              </w:rPr>
              <w:t>Ед. изм.</w:t>
            </w:r>
          </w:p>
        </w:tc>
        <w:tc>
          <w:tcPr>
            <w:tcW w:w="3031" w:type="dxa"/>
            <w:gridSpan w:val="2"/>
            <w:tcBorders>
              <w:top w:val="single" w:sz="4" w:space="0" w:color="000000"/>
              <w:left w:val="single" w:sz="4" w:space="0" w:color="000000"/>
              <w:bottom w:val="single" w:sz="4" w:space="0" w:color="000000"/>
              <w:right w:val="single" w:sz="4" w:space="0" w:color="000000"/>
            </w:tcBorders>
          </w:tcPr>
          <w:p w14:paraId="421CE95E" w14:textId="77777777" w:rsidR="00B6276C" w:rsidRPr="00175E32" w:rsidRDefault="00B6276C" w:rsidP="00923023">
            <w:pPr>
              <w:pStyle w:val="230"/>
              <w:keepNext/>
              <w:keepLines/>
              <w:spacing w:after="0" w:line="240" w:lineRule="auto"/>
              <w:ind w:left="0" w:firstLine="0"/>
              <w:jc w:val="center"/>
              <w:rPr>
                <w:szCs w:val="24"/>
              </w:rPr>
            </w:pPr>
            <w:r w:rsidRPr="00175E32">
              <w:rPr>
                <w:szCs w:val="24"/>
              </w:rPr>
              <w:t>Прогноз на 2020 год</w:t>
            </w:r>
          </w:p>
        </w:tc>
        <w:tc>
          <w:tcPr>
            <w:tcW w:w="1397" w:type="dxa"/>
            <w:vMerge w:val="restart"/>
            <w:tcBorders>
              <w:top w:val="single" w:sz="4" w:space="0" w:color="000000"/>
              <w:left w:val="single" w:sz="4" w:space="0" w:color="000000"/>
              <w:bottom w:val="single" w:sz="4" w:space="0" w:color="000000"/>
              <w:right w:val="single" w:sz="4" w:space="0" w:color="000000"/>
            </w:tcBorders>
          </w:tcPr>
          <w:p w14:paraId="6A318181" w14:textId="77777777" w:rsidR="00B6276C" w:rsidRPr="00175E32" w:rsidRDefault="00B6276C" w:rsidP="00923023">
            <w:pPr>
              <w:pStyle w:val="230"/>
              <w:keepNext/>
              <w:keepLines/>
              <w:spacing w:after="0" w:line="240" w:lineRule="auto"/>
              <w:ind w:left="0" w:firstLine="0"/>
              <w:jc w:val="center"/>
              <w:rPr>
                <w:szCs w:val="24"/>
              </w:rPr>
            </w:pPr>
            <w:r w:rsidRPr="00175E32">
              <w:rPr>
                <w:szCs w:val="24"/>
              </w:rPr>
              <w:t>2020 год (оценка)</w:t>
            </w:r>
          </w:p>
        </w:tc>
      </w:tr>
      <w:tr w:rsidR="00B6276C" w:rsidRPr="00175E32" w14:paraId="12D6430C" w14:textId="77777777" w:rsidTr="00923023">
        <w:trPr>
          <w:cantSplit/>
          <w:trHeight w:val="283"/>
          <w:jc w:val="center"/>
        </w:trPr>
        <w:tc>
          <w:tcPr>
            <w:tcW w:w="3426" w:type="dxa"/>
            <w:vMerge/>
            <w:tcBorders>
              <w:top w:val="single" w:sz="4" w:space="0" w:color="000000"/>
              <w:left w:val="single" w:sz="4" w:space="0" w:color="000000"/>
              <w:bottom w:val="single" w:sz="4" w:space="0" w:color="000000"/>
              <w:right w:val="nil"/>
            </w:tcBorders>
            <w:vAlign w:val="center"/>
          </w:tcPr>
          <w:p w14:paraId="6C00C4F2" w14:textId="77777777" w:rsidR="00B6276C" w:rsidRPr="00175E32" w:rsidRDefault="00B6276C" w:rsidP="00923023">
            <w:pPr>
              <w:suppressAutoHyphens w:val="0"/>
              <w:ind w:firstLine="0"/>
              <w:jc w:val="center"/>
            </w:pPr>
          </w:p>
        </w:tc>
        <w:tc>
          <w:tcPr>
            <w:tcW w:w="1420" w:type="dxa"/>
            <w:vMerge/>
            <w:tcBorders>
              <w:top w:val="single" w:sz="4" w:space="0" w:color="000000"/>
              <w:left w:val="single" w:sz="4" w:space="0" w:color="000000"/>
              <w:bottom w:val="single" w:sz="4" w:space="0" w:color="000000"/>
              <w:right w:val="nil"/>
            </w:tcBorders>
            <w:vAlign w:val="center"/>
          </w:tcPr>
          <w:p w14:paraId="749057D2" w14:textId="77777777" w:rsidR="00B6276C" w:rsidRPr="00175E32" w:rsidRDefault="00B6276C" w:rsidP="00923023">
            <w:pPr>
              <w:suppressAutoHyphens w:val="0"/>
              <w:ind w:firstLine="0"/>
              <w:jc w:val="center"/>
            </w:pPr>
          </w:p>
        </w:tc>
        <w:tc>
          <w:tcPr>
            <w:tcW w:w="1556" w:type="dxa"/>
            <w:tcBorders>
              <w:top w:val="single" w:sz="4" w:space="0" w:color="000000"/>
              <w:left w:val="single" w:sz="4" w:space="0" w:color="000000"/>
              <w:bottom w:val="single" w:sz="4" w:space="0" w:color="000000"/>
              <w:right w:val="nil"/>
            </w:tcBorders>
            <w:vAlign w:val="center"/>
          </w:tcPr>
          <w:p w14:paraId="6086004F" w14:textId="77777777" w:rsidR="00B6276C" w:rsidRPr="00175E32" w:rsidRDefault="00B6276C" w:rsidP="00923023">
            <w:pPr>
              <w:pStyle w:val="230"/>
              <w:keepNext/>
              <w:keepLines/>
              <w:spacing w:after="0" w:line="276" w:lineRule="auto"/>
              <w:ind w:left="0" w:firstLine="0"/>
              <w:jc w:val="center"/>
              <w:rPr>
                <w:szCs w:val="24"/>
              </w:rPr>
            </w:pPr>
            <w:r w:rsidRPr="00175E32">
              <w:rPr>
                <w:szCs w:val="24"/>
              </w:rPr>
              <w:t>1 вариант</w:t>
            </w:r>
          </w:p>
        </w:tc>
        <w:tc>
          <w:tcPr>
            <w:tcW w:w="1475" w:type="dxa"/>
            <w:tcBorders>
              <w:top w:val="single" w:sz="4" w:space="0" w:color="000000"/>
              <w:left w:val="single" w:sz="4" w:space="0" w:color="000000"/>
              <w:bottom w:val="single" w:sz="4" w:space="0" w:color="000000"/>
              <w:right w:val="nil"/>
            </w:tcBorders>
            <w:vAlign w:val="center"/>
          </w:tcPr>
          <w:p w14:paraId="0FC6BBA2" w14:textId="77777777" w:rsidR="00B6276C" w:rsidRPr="00175E32" w:rsidRDefault="00B6276C" w:rsidP="00923023">
            <w:pPr>
              <w:pStyle w:val="230"/>
              <w:keepNext/>
              <w:keepLines/>
              <w:spacing w:after="0" w:line="276" w:lineRule="auto"/>
              <w:ind w:left="0" w:firstLine="0"/>
              <w:jc w:val="center"/>
              <w:rPr>
                <w:szCs w:val="24"/>
              </w:rPr>
            </w:pPr>
            <w:r w:rsidRPr="00175E32">
              <w:rPr>
                <w:szCs w:val="24"/>
              </w:rPr>
              <w:t>2 вариант</w:t>
            </w:r>
          </w:p>
        </w:tc>
        <w:tc>
          <w:tcPr>
            <w:tcW w:w="1397" w:type="dxa"/>
            <w:vMerge/>
            <w:tcBorders>
              <w:top w:val="single" w:sz="4" w:space="0" w:color="000000"/>
              <w:left w:val="single" w:sz="4" w:space="0" w:color="000000"/>
              <w:bottom w:val="single" w:sz="4" w:space="0" w:color="000000"/>
              <w:right w:val="single" w:sz="4" w:space="0" w:color="000000"/>
            </w:tcBorders>
            <w:vAlign w:val="center"/>
          </w:tcPr>
          <w:p w14:paraId="5618DCAA" w14:textId="77777777" w:rsidR="00B6276C" w:rsidRPr="00175E32" w:rsidRDefault="00B6276C" w:rsidP="00923023">
            <w:pPr>
              <w:suppressAutoHyphens w:val="0"/>
              <w:ind w:firstLine="0"/>
              <w:jc w:val="center"/>
            </w:pPr>
          </w:p>
        </w:tc>
      </w:tr>
      <w:tr w:rsidR="00B6276C" w:rsidRPr="00175E32" w14:paraId="2AA3154B" w14:textId="77777777" w:rsidTr="00923023">
        <w:trPr>
          <w:trHeight w:val="400"/>
          <w:jc w:val="center"/>
        </w:trPr>
        <w:tc>
          <w:tcPr>
            <w:tcW w:w="3426" w:type="dxa"/>
            <w:tcBorders>
              <w:top w:val="single" w:sz="4" w:space="0" w:color="000000"/>
              <w:left w:val="single" w:sz="4" w:space="0" w:color="000000"/>
              <w:bottom w:val="single" w:sz="4" w:space="0" w:color="000000"/>
              <w:right w:val="nil"/>
            </w:tcBorders>
            <w:vAlign w:val="center"/>
          </w:tcPr>
          <w:p w14:paraId="40D6DC4E" w14:textId="77777777" w:rsidR="00B6276C" w:rsidRPr="00175E32" w:rsidRDefault="00B6276C" w:rsidP="00923023">
            <w:pPr>
              <w:pStyle w:val="230"/>
              <w:keepNext/>
              <w:keepLines/>
              <w:spacing w:after="0" w:line="276" w:lineRule="auto"/>
              <w:ind w:left="0" w:firstLine="0"/>
              <w:rPr>
                <w:szCs w:val="24"/>
              </w:rPr>
            </w:pPr>
            <w:r w:rsidRPr="00175E32">
              <w:rPr>
                <w:szCs w:val="24"/>
              </w:rPr>
              <w:t>Объем услуг связи</w:t>
            </w:r>
          </w:p>
        </w:tc>
        <w:tc>
          <w:tcPr>
            <w:tcW w:w="1420" w:type="dxa"/>
            <w:tcBorders>
              <w:top w:val="single" w:sz="4" w:space="0" w:color="000000"/>
              <w:left w:val="single" w:sz="4" w:space="0" w:color="000000"/>
              <w:bottom w:val="single" w:sz="4" w:space="0" w:color="000000"/>
              <w:right w:val="nil"/>
            </w:tcBorders>
            <w:vAlign w:val="center"/>
          </w:tcPr>
          <w:p w14:paraId="0DCE77FA" w14:textId="77777777" w:rsidR="00B6276C" w:rsidRPr="00175E32" w:rsidRDefault="00B6276C" w:rsidP="00923023">
            <w:pPr>
              <w:pStyle w:val="230"/>
              <w:keepNext/>
              <w:keepLines/>
              <w:spacing w:after="0" w:line="276" w:lineRule="auto"/>
              <w:ind w:left="0" w:firstLine="0"/>
              <w:jc w:val="center"/>
              <w:rPr>
                <w:szCs w:val="24"/>
              </w:rPr>
            </w:pPr>
            <w:r w:rsidRPr="00175E32">
              <w:rPr>
                <w:szCs w:val="24"/>
              </w:rPr>
              <w:t>млн. рублей</w:t>
            </w:r>
          </w:p>
        </w:tc>
        <w:tc>
          <w:tcPr>
            <w:tcW w:w="1556" w:type="dxa"/>
            <w:tcBorders>
              <w:top w:val="single" w:sz="4" w:space="0" w:color="000000"/>
              <w:left w:val="single" w:sz="4" w:space="0" w:color="000000"/>
              <w:bottom w:val="single" w:sz="4" w:space="0" w:color="000000"/>
              <w:right w:val="nil"/>
            </w:tcBorders>
            <w:vAlign w:val="center"/>
          </w:tcPr>
          <w:p w14:paraId="44DD6AEA" w14:textId="77777777" w:rsidR="00B6276C" w:rsidRPr="00175E32" w:rsidRDefault="00B6276C" w:rsidP="00923023">
            <w:pPr>
              <w:pStyle w:val="230"/>
              <w:keepNext/>
              <w:keepLines/>
              <w:spacing w:after="0" w:line="240" w:lineRule="auto"/>
              <w:ind w:left="0" w:firstLine="0"/>
              <w:jc w:val="center"/>
              <w:rPr>
                <w:szCs w:val="24"/>
              </w:rPr>
            </w:pPr>
            <w:r w:rsidRPr="00175E32">
              <w:rPr>
                <w:szCs w:val="24"/>
              </w:rPr>
              <w:t>3 367,5</w:t>
            </w:r>
          </w:p>
        </w:tc>
        <w:tc>
          <w:tcPr>
            <w:tcW w:w="1475" w:type="dxa"/>
            <w:tcBorders>
              <w:top w:val="single" w:sz="4" w:space="0" w:color="000000"/>
              <w:left w:val="single" w:sz="4" w:space="0" w:color="000000"/>
              <w:bottom w:val="single" w:sz="4" w:space="0" w:color="000000"/>
              <w:right w:val="nil"/>
            </w:tcBorders>
            <w:vAlign w:val="center"/>
          </w:tcPr>
          <w:p w14:paraId="7D5B7C94" w14:textId="77777777" w:rsidR="00B6276C" w:rsidRPr="00175E32" w:rsidRDefault="00B6276C" w:rsidP="00923023">
            <w:pPr>
              <w:pStyle w:val="230"/>
              <w:keepNext/>
              <w:keepLines/>
              <w:spacing w:after="0" w:line="240" w:lineRule="auto"/>
              <w:ind w:left="0" w:firstLine="0"/>
              <w:jc w:val="center"/>
              <w:rPr>
                <w:szCs w:val="24"/>
              </w:rPr>
            </w:pPr>
            <w:r w:rsidRPr="00175E32">
              <w:rPr>
                <w:szCs w:val="24"/>
              </w:rPr>
              <w:t>3 546,7</w:t>
            </w:r>
          </w:p>
        </w:tc>
        <w:tc>
          <w:tcPr>
            <w:tcW w:w="1397" w:type="dxa"/>
            <w:tcBorders>
              <w:top w:val="single" w:sz="4" w:space="0" w:color="000000"/>
              <w:left w:val="single" w:sz="4" w:space="0" w:color="000000"/>
              <w:bottom w:val="single" w:sz="4" w:space="0" w:color="000000"/>
              <w:right w:val="single" w:sz="4" w:space="0" w:color="000000"/>
            </w:tcBorders>
            <w:vAlign w:val="center"/>
          </w:tcPr>
          <w:p w14:paraId="39C73759" w14:textId="77777777" w:rsidR="00B6276C" w:rsidRPr="00175E32" w:rsidRDefault="00B6276C" w:rsidP="00923023">
            <w:pPr>
              <w:pStyle w:val="230"/>
              <w:keepNext/>
              <w:keepLines/>
              <w:spacing w:after="0" w:line="240" w:lineRule="auto"/>
              <w:ind w:left="0" w:firstLine="0"/>
              <w:jc w:val="center"/>
              <w:rPr>
                <w:szCs w:val="24"/>
              </w:rPr>
            </w:pPr>
            <w:r w:rsidRPr="00175E32">
              <w:rPr>
                <w:szCs w:val="24"/>
              </w:rPr>
              <w:t>3 446,2</w:t>
            </w:r>
          </w:p>
        </w:tc>
      </w:tr>
    </w:tbl>
    <w:p w14:paraId="4D74AE6B" w14:textId="77777777" w:rsidR="00B6276C" w:rsidRPr="00175E32" w:rsidRDefault="00B6276C" w:rsidP="00B6276C">
      <w:pPr>
        <w:pStyle w:val="112"/>
        <w:spacing w:line="276" w:lineRule="auto"/>
        <w:ind w:firstLine="0"/>
        <w:jc w:val="center"/>
        <w:rPr>
          <w:rFonts w:ascii="Times New Roman" w:hAnsi="Times New Roman" w:cs="Times New Roman"/>
          <w:b/>
          <w:sz w:val="24"/>
          <w:szCs w:val="24"/>
        </w:rPr>
      </w:pPr>
    </w:p>
    <w:p w14:paraId="1054265A" w14:textId="77777777" w:rsidR="00B6276C" w:rsidRPr="00175E32" w:rsidRDefault="00B6276C" w:rsidP="00B6276C">
      <w:pPr>
        <w:widowControl w:val="0"/>
        <w:suppressAutoHyphens w:val="0"/>
        <w:autoSpaceDE w:val="0"/>
        <w:autoSpaceDN w:val="0"/>
        <w:adjustRightInd w:val="0"/>
        <w:spacing w:line="276" w:lineRule="auto"/>
        <w:rPr>
          <w:rFonts w:eastAsiaTheme="minorEastAsia"/>
          <w:szCs w:val="24"/>
          <w:lang w:eastAsia="ru-RU"/>
        </w:rPr>
      </w:pPr>
      <w:r w:rsidRPr="00175E32">
        <w:rPr>
          <w:rFonts w:eastAsiaTheme="minorEastAsia"/>
          <w:szCs w:val="24"/>
          <w:lang w:eastAsia="ru-RU"/>
        </w:rPr>
        <w:t>В итоге, исходя из оценки текущей ситуации на рынке услуг связи, оценочное значение объема услуг, оказанных предприятиями связи по городскому округу Тольятти в 2020 году</w:t>
      </w:r>
      <w:r w:rsidR="00203520" w:rsidRPr="00175E32">
        <w:rPr>
          <w:rFonts w:eastAsiaTheme="minorEastAsia"/>
          <w:szCs w:val="24"/>
          <w:lang w:eastAsia="ru-RU"/>
        </w:rPr>
        <w:t xml:space="preserve"> составит</w:t>
      </w:r>
      <w:r w:rsidRPr="00175E32">
        <w:rPr>
          <w:rFonts w:eastAsiaTheme="minorEastAsia"/>
          <w:szCs w:val="24"/>
          <w:lang w:eastAsia="ru-RU"/>
        </w:rPr>
        <w:t xml:space="preserve"> 3 446,2 млн. рублей</w:t>
      </w:r>
      <w:r w:rsidR="00203520" w:rsidRPr="00175E32">
        <w:rPr>
          <w:rFonts w:eastAsiaTheme="minorEastAsia"/>
          <w:szCs w:val="24"/>
          <w:lang w:eastAsia="ru-RU"/>
        </w:rPr>
        <w:t xml:space="preserve">, что на 2,7% </w:t>
      </w:r>
      <w:r w:rsidR="00E17EEF">
        <w:rPr>
          <w:rFonts w:eastAsiaTheme="minorEastAsia"/>
          <w:szCs w:val="24"/>
          <w:lang w:eastAsia="ru-RU"/>
        </w:rPr>
        <w:t>выше</w:t>
      </w:r>
      <w:r w:rsidR="00203520" w:rsidRPr="00175E32">
        <w:rPr>
          <w:rFonts w:eastAsiaTheme="minorEastAsia"/>
          <w:szCs w:val="24"/>
          <w:lang w:eastAsia="ru-RU"/>
        </w:rPr>
        <w:t xml:space="preserve"> уровня прошлого года</w:t>
      </w:r>
      <w:r w:rsidRPr="00175E32">
        <w:rPr>
          <w:rFonts w:eastAsiaTheme="minorEastAsia"/>
          <w:szCs w:val="24"/>
          <w:lang w:eastAsia="ru-RU"/>
        </w:rPr>
        <w:t xml:space="preserve">.   </w:t>
      </w:r>
    </w:p>
    <w:p w14:paraId="074FF841" w14:textId="77777777" w:rsidR="00B6276C" w:rsidRPr="00175E32" w:rsidRDefault="00B6276C" w:rsidP="00B6276C">
      <w:pPr>
        <w:widowControl w:val="0"/>
        <w:suppressAutoHyphens w:val="0"/>
        <w:autoSpaceDE w:val="0"/>
        <w:autoSpaceDN w:val="0"/>
        <w:adjustRightInd w:val="0"/>
        <w:spacing w:line="276" w:lineRule="auto"/>
        <w:rPr>
          <w:rFonts w:eastAsiaTheme="minorEastAsia"/>
          <w:szCs w:val="24"/>
          <w:lang w:eastAsia="ru-RU"/>
        </w:rPr>
      </w:pPr>
      <w:r w:rsidRPr="00175E32">
        <w:rPr>
          <w:rFonts w:eastAsiaTheme="minorEastAsia"/>
          <w:szCs w:val="24"/>
          <w:lang w:eastAsia="ru-RU"/>
        </w:rPr>
        <w:t>Приоритетными направлениями деятельности операторов сотовой связи в 2020 году останутся: расширение зоны покрытия с целью улучшения качества сотовой связи, разработка новых тарифных предложений, ориентированных на различные целевые группы населения, поддержание конкурентных цен на услуги связи; активизация работы по привлечению корпоративных клиентов, расширение сети офисов продаж, экспресс обслуживания, организация услуг самообслуживания и др.</w:t>
      </w:r>
    </w:p>
    <w:p w14:paraId="21F399E0" w14:textId="77777777" w:rsidR="009B6BAA" w:rsidRDefault="009B6BAA" w:rsidP="00443EE9">
      <w:pPr>
        <w:pStyle w:val="112"/>
        <w:spacing w:line="276" w:lineRule="auto"/>
        <w:ind w:firstLine="0"/>
        <w:jc w:val="center"/>
        <w:rPr>
          <w:rFonts w:ascii="Times New Roman" w:hAnsi="Times New Roman" w:cs="Times New Roman"/>
          <w:b/>
          <w:sz w:val="24"/>
          <w:szCs w:val="24"/>
        </w:rPr>
      </w:pPr>
    </w:p>
    <w:p w14:paraId="1962EC10" w14:textId="77777777" w:rsidR="00186591" w:rsidRPr="00175E32" w:rsidRDefault="00186591" w:rsidP="00C32856">
      <w:pPr>
        <w:pStyle w:val="3"/>
      </w:pPr>
      <w:r w:rsidRPr="00175E32">
        <w:t>Образование</w:t>
      </w:r>
    </w:p>
    <w:p w14:paraId="0306D272" w14:textId="77777777" w:rsidR="00B6276C" w:rsidRPr="00175E32" w:rsidRDefault="00B6276C" w:rsidP="00B6276C"/>
    <w:p w14:paraId="37C40E78" w14:textId="77777777" w:rsidR="007A05CC" w:rsidRPr="00175E32" w:rsidRDefault="007A05CC" w:rsidP="00E17EEF">
      <w:pPr>
        <w:spacing w:line="276" w:lineRule="auto"/>
        <w:rPr>
          <w:szCs w:val="24"/>
        </w:rPr>
      </w:pPr>
      <w:r w:rsidRPr="00175E32">
        <w:rPr>
          <w:szCs w:val="24"/>
        </w:rPr>
        <w:t>В городском округе Тольятти услуги дошкольно</w:t>
      </w:r>
      <w:r w:rsidR="008A1EBE">
        <w:rPr>
          <w:szCs w:val="24"/>
        </w:rPr>
        <w:t>го образования предоставляют 73 </w:t>
      </w:r>
      <w:r w:rsidRPr="00175E32">
        <w:rPr>
          <w:szCs w:val="24"/>
        </w:rPr>
        <w:t>образовательные организации разных форм собственности, реализующие образовательные программы дошкольного образования: 52 муниципальных дошкольных образовательных учреждения (</w:t>
      </w:r>
      <w:r w:rsidR="001B16BB" w:rsidRPr="00175E32">
        <w:rPr>
          <w:szCs w:val="24"/>
        </w:rPr>
        <w:t xml:space="preserve">далее </w:t>
      </w:r>
      <w:r w:rsidR="001B16BB">
        <w:rPr>
          <w:szCs w:val="24"/>
        </w:rPr>
        <w:t>по разделу</w:t>
      </w:r>
      <w:r w:rsidRPr="00175E32">
        <w:rPr>
          <w:szCs w:val="24"/>
        </w:rPr>
        <w:t xml:space="preserve"> - МОУ), 12 детских садов структурных подразделений муниципальных общеобразовательных учреждений.</w:t>
      </w:r>
    </w:p>
    <w:p w14:paraId="776BEE21" w14:textId="77777777" w:rsidR="007A05CC" w:rsidRPr="00175E32" w:rsidRDefault="007A05CC" w:rsidP="00E17EEF">
      <w:pPr>
        <w:spacing w:line="276" w:lineRule="auto"/>
        <w:rPr>
          <w:szCs w:val="24"/>
        </w:rPr>
      </w:pPr>
      <w:r w:rsidRPr="00175E32">
        <w:rPr>
          <w:szCs w:val="24"/>
        </w:rPr>
        <w:lastRenderedPageBreak/>
        <w:t>Кроме того, функционируют 9 образовательных организаций и учреждений, реализующих образовательные программы дошкольного образования, и 1 ведомственный детский сад.</w:t>
      </w:r>
    </w:p>
    <w:p w14:paraId="029B6559" w14:textId="77777777" w:rsidR="007A05CC" w:rsidRPr="00175E32" w:rsidRDefault="007A05CC" w:rsidP="00E17EEF">
      <w:pPr>
        <w:spacing w:line="276" w:lineRule="auto"/>
        <w:ind w:firstLine="889"/>
        <w:rPr>
          <w:szCs w:val="24"/>
        </w:rPr>
      </w:pPr>
      <w:r w:rsidRPr="00175E32">
        <w:rPr>
          <w:szCs w:val="24"/>
        </w:rPr>
        <w:t>Услугами дошкольного образования в первом полугодии 2020 года охвачено</w:t>
      </w:r>
      <w:r w:rsidRPr="00175E32">
        <w:rPr>
          <w:color w:val="8DB3E2"/>
          <w:szCs w:val="24"/>
        </w:rPr>
        <w:t xml:space="preserve"> </w:t>
      </w:r>
      <w:r w:rsidR="008A1EBE">
        <w:rPr>
          <w:szCs w:val="24"/>
        </w:rPr>
        <w:t>39 528 </w:t>
      </w:r>
      <w:r w:rsidRPr="00175E32">
        <w:rPr>
          <w:szCs w:val="24"/>
        </w:rPr>
        <w:t>детей в возрасте от 9 месяцев до 7 лет, что на 954 ребенка меньше по сравнению с тем</w:t>
      </w:r>
      <w:r w:rsidR="00923023" w:rsidRPr="00175E32">
        <w:rPr>
          <w:szCs w:val="24"/>
        </w:rPr>
        <w:t xml:space="preserve"> же</w:t>
      </w:r>
      <w:r w:rsidRPr="00175E32">
        <w:rPr>
          <w:szCs w:val="24"/>
        </w:rPr>
        <w:t xml:space="preserve"> </w:t>
      </w:r>
      <w:r w:rsidR="00923023" w:rsidRPr="00175E32">
        <w:rPr>
          <w:szCs w:val="24"/>
        </w:rPr>
        <w:t>периодом 2019</w:t>
      </w:r>
      <w:r w:rsidRPr="00175E32">
        <w:rPr>
          <w:szCs w:val="24"/>
        </w:rPr>
        <w:t xml:space="preserve"> года, в связи со снижением численности детей в возрасте 1-6 лет, а </w:t>
      </w:r>
      <w:r w:rsidR="00923023" w:rsidRPr="00175E32">
        <w:rPr>
          <w:szCs w:val="24"/>
        </w:rPr>
        <w:t>также за</w:t>
      </w:r>
      <w:r w:rsidRPr="00175E32">
        <w:rPr>
          <w:szCs w:val="24"/>
        </w:rPr>
        <w:t xml:space="preserve"> счет, перепрофилирования групп общеразвивающей направленности в группы компенсирующей и комбинированной направленности с меньшей наполняемостью. Из общего количества организован</w:t>
      </w:r>
      <w:r w:rsidR="00370A1A">
        <w:rPr>
          <w:szCs w:val="24"/>
        </w:rPr>
        <w:t>ных детей дошкольного возраста:</w:t>
      </w:r>
    </w:p>
    <w:p w14:paraId="1E8BB677" w14:textId="77777777" w:rsidR="007A05CC" w:rsidRPr="00175E32" w:rsidRDefault="007A05CC" w:rsidP="00E17EEF">
      <w:pPr>
        <w:tabs>
          <w:tab w:val="left" w:pos="567"/>
        </w:tabs>
        <w:spacing w:line="276" w:lineRule="auto"/>
        <w:rPr>
          <w:szCs w:val="24"/>
        </w:rPr>
      </w:pPr>
      <w:r w:rsidRPr="00175E32">
        <w:rPr>
          <w:szCs w:val="24"/>
        </w:rPr>
        <w:t>- 24481 ребенок</w:t>
      </w:r>
      <w:r w:rsidRPr="00175E32">
        <w:rPr>
          <w:color w:val="8DB3E2"/>
          <w:szCs w:val="24"/>
        </w:rPr>
        <w:t xml:space="preserve"> </w:t>
      </w:r>
      <w:r w:rsidRPr="00175E32">
        <w:rPr>
          <w:szCs w:val="24"/>
        </w:rPr>
        <w:t>(61,8%) посещает муниципальные образовательные учреждения, реализующие образовательные программы дошкольного образования, в т.ч. 12 детей - группы кратковременного пребывания;</w:t>
      </w:r>
    </w:p>
    <w:p w14:paraId="70E3B05F" w14:textId="77777777" w:rsidR="007A05CC" w:rsidRPr="00175E32" w:rsidRDefault="007A05CC" w:rsidP="00E17EEF">
      <w:pPr>
        <w:tabs>
          <w:tab w:val="left" w:pos="567"/>
          <w:tab w:val="left" w:pos="709"/>
        </w:tabs>
        <w:spacing w:line="276" w:lineRule="auto"/>
        <w:rPr>
          <w:szCs w:val="24"/>
        </w:rPr>
      </w:pPr>
      <w:r w:rsidRPr="00175E32">
        <w:rPr>
          <w:szCs w:val="24"/>
        </w:rPr>
        <w:t xml:space="preserve">- 14491 ребенок (36,6%) посещает детские сады АНО ДО «Планета детства «Лада»; </w:t>
      </w:r>
    </w:p>
    <w:p w14:paraId="69F225BE" w14:textId="77777777" w:rsidR="007A05CC" w:rsidRPr="00175E32" w:rsidRDefault="00FB71FD" w:rsidP="00E17EEF">
      <w:pPr>
        <w:tabs>
          <w:tab w:val="left" w:pos="426"/>
        </w:tabs>
        <w:spacing w:line="276" w:lineRule="auto"/>
        <w:rPr>
          <w:szCs w:val="24"/>
        </w:rPr>
      </w:pPr>
      <w:r w:rsidRPr="00175E32">
        <w:rPr>
          <w:szCs w:val="24"/>
        </w:rPr>
        <w:t>- </w:t>
      </w:r>
      <w:r w:rsidR="007A05CC" w:rsidRPr="00175E32">
        <w:rPr>
          <w:szCs w:val="24"/>
        </w:rPr>
        <w:t>556 детей (1,4%) получает образовательные услуги, посещая частные образовательные учрежден</w:t>
      </w:r>
      <w:r w:rsidR="00370A1A">
        <w:rPr>
          <w:szCs w:val="24"/>
        </w:rPr>
        <w:t>ия, ведомственный детский сад.</w:t>
      </w:r>
    </w:p>
    <w:p w14:paraId="099EE655" w14:textId="77777777" w:rsidR="007A05CC" w:rsidRPr="00175E32" w:rsidRDefault="007A05CC" w:rsidP="00E17EEF">
      <w:pPr>
        <w:tabs>
          <w:tab w:val="left" w:pos="567"/>
        </w:tabs>
        <w:spacing w:line="276" w:lineRule="auto"/>
        <w:rPr>
          <w:szCs w:val="24"/>
        </w:rPr>
      </w:pPr>
      <w:r w:rsidRPr="00175E32">
        <w:rPr>
          <w:szCs w:val="24"/>
        </w:rPr>
        <w:t>Кроме того, 80 детей (0,2%) получают образовательные услуги в государственном образовательном учреждении (ГАОУ СПО ТКСТП).</w:t>
      </w:r>
    </w:p>
    <w:p w14:paraId="2FF70B78" w14:textId="77777777" w:rsidR="007A05CC" w:rsidRPr="00175E32" w:rsidRDefault="007A05CC" w:rsidP="00E17EEF">
      <w:pPr>
        <w:tabs>
          <w:tab w:val="left" w:pos="709"/>
        </w:tabs>
        <w:spacing w:line="276" w:lineRule="auto"/>
        <w:rPr>
          <w:szCs w:val="24"/>
        </w:rPr>
      </w:pPr>
      <w:r w:rsidRPr="00175E32">
        <w:rPr>
          <w:szCs w:val="24"/>
        </w:rPr>
        <w:t xml:space="preserve">Охват детей дошкольным образованием в городском округе Тольятти </w:t>
      </w:r>
      <w:r w:rsidR="00923023" w:rsidRPr="00175E32">
        <w:rPr>
          <w:szCs w:val="24"/>
        </w:rPr>
        <w:t>составляет 76</w:t>
      </w:r>
      <w:r w:rsidRPr="00175E32">
        <w:rPr>
          <w:szCs w:val="24"/>
        </w:rPr>
        <w:t xml:space="preserve">,4% (51849 человек - всего </w:t>
      </w:r>
      <w:proofErr w:type="gramStart"/>
      <w:r w:rsidRPr="00175E32">
        <w:rPr>
          <w:szCs w:val="24"/>
        </w:rPr>
        <w:t>детей  в</w:t>
      </w:r>
      <w:proofErr w:type="gramEnd"/>
      <w:r w:rsidRPr="00175E32">
        <w:rPr>
          <w:szCs w:val="24"/>
        </w:rPr>
        <w:t xml:space="preserve"> возрасте от 1 года до 6 лет по данны</w:t>
      </w:r>
      <w:r w:rsidR="00370A1A">
        <w:rPr>
          <w:szCs w:val="24"/>
        </w:rPr>
        <w:t xml:space="preserve">м </w:t>
      </w:r>
      <w:r w:rsidR="00E17EEF">
        <w:rPr>
          <w:szCs w:val="24"/>
        </w:rPr>
        <w:t xml:space="preserve">органов </w:t>
      </w:r>
      <w:proofErr w:type="spellStart"/>
      <w:r w:rsidR="00E17EEF">
        <w:rPr>
          <w:szCs w:val="24"/>
        </w:rPr>
        <w:t>статситики</w:t>
      </w:r>
      <w:proofErr w:type="spellEnd"/>
      <w:r w:rsidR="00370A1A">
        <w:rPr>
          <w:szCs w:val="24"/>
        </w:rPr>
        <w:t xml:space="preserve"> на 01.01.2019).</w:t>
      </w:r>
    </w:p>
    <w:p w14:paraId="337FC419" w14:textId="77777777" w:rsidR="007A05CC" w:rsidRPr="00175E32" w:rsidRDefault="007A05CC" w:rsidP="00E17EEF">
      <w:pPr>
        <w:spacing w:line="276" w:lineRule="auto"/>
        <w:ind w:right="-138" w:firstLine="708"/>
        <w:rPr>
          <w:szCs w:val="24"/>
        </w:rPr>
      </w:pPr>
      <w:r w:rsidRPr="00175E32">
        <w:rPr>
          <w:szCs w:val="24"/>
        </w:rPr>
        <w:t xml:space="preserve">Для детей в возрасте 3 года и старше создано достаточное количество мест в детских садах для 100% охвата, но без гарантии предоставления места в конкретном детском саду. </w:t>
      </w:r>
    </w:p>
    <w:p w14:paraId="4792D430" w14:textId="77777777" w:rsidR="007A05CC" w:rsidRPr="00175E32" w:rsidRDefault="007A05CC" w:rsidP="00E17EEF">
      <w:pPr>
        <w:spacing w:line="276" w:lineRule="auto"/>
        <w:ind w:right="-138"/>
        <w:rPr>
          <w:szCs w:val="24"/>
        </w:rPr>
      </w:pPr>
      <w:r w:rsidRPr="00175E32">
        <w:rPr>
          <w:szCs w:val="24"/>
        </w:rPr>
        <w:t>Потребность в местах для детей в возрасте от 1,5 до 3-х лет удовлетворена на 99,1%. В 2019 году в рамках федерального проекта</w:t>
      </w:r>
      <w:r w:rsidRPr="00175E32">
        <w:rPr>
          <w:b/>
          <w:szCs w:val="24"/>
        </w:rPr>
        <w:t xml:space="preserve"> </w:t>
      </w:r>
      <w:r w:rsidRPr="00175E32">
        <w:rPr>
          <w:szCs w:val="24"/>
        </w:rPr>
        <w:t xml:space="preserve">«Содействие занятости женщин – создание условий дошкольного образования для детей в возрасте до трех лет», национального проекта «Демография» плановое значение </w:t>
      </w:r>
      <w:r w:rsidR="00370A1A">
        <w:rPr>
          <w:szCs w:val="24"/>
        </w:rPr>
        <w:t>показателя (91,1%) достигнуто.</w:t>
      </w:r>
    </w:p>
    <w:p w14:paraId="66E31EDC" w14:textId="77777777" w:rsidR="007A05CC" w:rsidRPr="00175E32" w:rsidRDefault="007A05CC" w:rsidP="00E17EEF">
      <w:pPr>
        <w:pStyle w:val="af9"/>
        <w:spacing w:after="0" w:line="276" w:lineRule="auto"/>
      </w:pPr>
      <w:r w:rsidRPr="00175E32">
        <w:t>По оценке 2020 года численность детей 1-6 лет составит 49 871 человек, что на 1</w:t>
      </w:r>
      <w:r w:rsidR="00370A1A">
        <w:t> </w:t>
      </w:r>
      <w:r w:rsidRPr="00175E32">
        <w:t>978 человек меньше прошлого года (расчет произведен по данным органов статистики о количестве детей в разбивке по возрастным группам). При этом численность детей 3-6 лет увеличится в 2020 году на 164 человека и составит 35 805 человек.</w:t>
      </w:r>
    </w:p>
    <w:p w14:paraId="3223CD91" w14:textId="77777777" w:rsidR="007A05CC" w:rsidRPr="00175E32" w:rsidRDefault="007A05CC" w:rsidP="00E17EEF">
      <w:pPr>
        <w:pStyle w:val="af9"/>
        <w:spacing w:after="0" w:line="276" w:lineRule="auto"/>
      </w:pPr>
      <w:r w:rsidRPr="00175E32">
        <w:t>Численность детей в дошкольных образо</w:t>
      </w:r>
      <w:r w:rsidR="005F1AF0" w:rsidRPr="00175E32">
        <w:t>вательных учреждениях снизится</w:t>
      </w:r>
      <w:r w:rsidRPr="00175E32">
        <w:t xml:space="preserve"> к прошлому году </w:t>
      </w:r>
      <w:r w:rsidR="00370A1A">
        <w:t>на 400 человек и составит 39 </w:t>
      </w:r>
      <w:r w:rsidR="005F1AF0" w:rsidRPr="00175E32">
        <w:t>208 человек, в связи со снижением численности детей в возрасте 1-6 лет, а также за счет, перепрофилирования групп общеразвивающей направленности в группы компенсирующей и комбинированной направленности с меньшей наполняемостью.</w:t>
      </w:r>
    </w:p>
    <w:p w14:paraId="2291FFE1" w14:textId="77777777" w:rsidR="007A05CC" w:rsidRPr="00175E32" w:rsidRDefault="007A05CC" w:rsidP="00E17EEF">
      <w:pPr>
        <w:pStyle w:val="af9"/>
        <w:spacing w:after="0" w:line="276" w:lineRule="auto"/>
      </w:pPr>
      <w:r w:rsidRPr="00175E32">
        <w:t xml:space="preserve">В связи с высокой рождаемостью, наблюдаемой в </w:t>
      </w:r>
      <w:r w:rsidR="007D5F6C">
        <w:t>городском округе Тольятти</w:t>
      </w:r>
      <w:r w:rsidRPr="00175E32">
        <w:t xml:space="preserve"> после 2000-х годов (пик рождаемости за последние 20 лет пришелся на 2012-2015 годы), темпы роста общего количества детей в возрасте 3-6 лет в городском округе Тольятти значительно опережа</w:t>
      </w:r>
      <w:r w:rsidR="00FB71FD" w:rsidRPr="00175E32">
        <w:t>ли</w:t>
      </w:r>
      <w:r w:rsidRPr="00175E32">
        <w:t xml:space="preserve"> темпы увеличения количества мест в муниципальных дошкольных образовательных учреждениях (ДОУ).</w:t>
      </w:r>
    </w:p>
    <w:p w14:paraId="56122A29" w14:textId="77777777" w:rsidR="007A05CC" w:rsidRPr="00175E32" w:rsidRDefault="007A05CC" w:rsidP="00E17EEF">
      <w:pPr>
        <w:pStyle w:val="af9"/>
        <w:spacing w:after="0" w:line="276" w:lineRule="auto"/>
      </w:pPr>
      <w:r w:rsidRPr="00175E32">
        <w:t>В 2020 году количество мест для детей 3-6 лет в дошкольных учреждениях увеличится на 445 единицы к 2019 году и составит 32 595 единиц в результате ввода в эксплуатацию 3-х детских садов.</w:t>
      </w:r>
    </w:p>
    <w:p w14:paraId="11E8556B" w14:textId="77777777" w:rsidR="007A05CC" w:rsidRPr="00175E32" w:rsidRDefault="007A05CC" w:rsidP="00E17EEF">
      <w:pPr>
        <w:pStyle w:val="af9"/>
        <w:spacing w:after="0" w:line="276" w:lineRule="auto"/>
      </w:pPr>
      <w:r w:rsidRPr="00175E32">
        <w:lastRenderedPageBreak/>
        <w:t>Таким образом, показатель «Обеспеченность дошкольными образовательными учреждениями» по итогам 2020 года увеличится и составит 910 мест на 1000 детей в возрасте 3-6 лет (в 2019 году – 902).</w:t>
      </w:r>
    </w:p>
    <w:p w14:paraId="19219A47" w14:textId="77777777" w:rsidR="007A05CC" w:rsidRPr="00175E32" w:rsidRDefault="007A05CC" w:rsidP="00E17EEF">
      <w:pPr>
        <w:pStyle w:val="ConsPlusTitle"/>
        <w:tabs>
          <w:tab w:val="left" w:pos="317"/>
        </w:tabs>
        <w:spacing w:line="276" w:lineRule="auto"/>
        <w:ind w:firstLine="709"/>
        <w:jc w:val="both"/>
        <w:rPr>
          <w:rFonts w:ascii="Times New Roman" w:hAnsi="Times New Roman" w:cs="Times New Roman"/>
          <w:b w:val="0"/>
          <w:sz w:val="24"/>
          <w:szCs w:val="24"/>
        </w:rPr>
      </w:pPr>
      <w:r w:rsidRPr="00175E32">
        <w:rPr>
          <w:rFonts w:ascii="Times New Roman" w:hAnsi="Times New Roman" w:cs="Times New Roman"/>
          <w:b w:val="0"/>
          <w:sz w:val="24"/>
          <w:szCs w:val="24"/>
        </w:rPr>
        <w:t>Для детей в возрасте 3 года и старше создано достаточное количество мест в детских садах для 100% охвата, но без гарантии предоставления м</w:t>
      </w:r>
      <w:r w:rsidR="00370A1A">
        <w:rPr>
          <w:rFonts w:ascii="Times New Roman" w:hAnsi="Times New Roman" w:cs="Times New Roman"/>
          <w:b w:val="0"/>
          <w:sz w:val="24"/>
          <w:szCs w:val="24"/>
        </w:rPr>
        <w:t>еста в конкретном детском саду.</w:t>
      </w:r>
    </w:p>
    <w:p w14:paraId="3928564F" w14:textId="77777777" w:rsidR="007A05CC" w:rsidRPr="00175E32" w:rsidRDefault="007A05CC" w:rsidP="00E17EEF">
      <w:pPr>
        <w:pStyle w:val="ConsPlusTitle"/>
        <w:tabs>
          <w:tab w:val="left" w:pos="317"/>
        </w:tabs>
        <w:spacing w:line="276" w:lineRule="auto"/>
        <w:ind w:firstLine="709"/>
        <w:jc w:val="both"/>
        <w:rPr>
          <w:rFonts w:ascii="Times New Roman" w:hAnsi="Times New Roman" w:cs="Times New Roman"/>
          <w:b w:val="0"/>
          <w:sz w:val="24"/>
          <w:szCs w:val="24"/>
        </w:rPr>
      </w:pPr>
      <w:r w:rsidRPr="00175E32">
        <w:rPr>
          <w:rFonts w:ascii="Times New Roman" w:hAnsi="Times New Roman" w:cs="Times New Roman"/>
          <w:b w:val="0"/>
          <w:sz w:val="24"/>
          <w:szCs w:val="24"/>
        </w:rPr>
        <w:t xml:space="preserve">Остается актуальной проблема нехватки мест для детей на территориях новостроек и </w:t>
      </w:r>
      <w:r w:rsidR="00370A1A">
        <w:rPr>
          <w:rFonts w:ascii="Times New Roman" w:hAnsi="Times New Roman" w:cs="Times New Roman"/>
          <w:b w:val="0"/>
          <w:sz w:val="24"/>
          <w:szCs w:val="24"/>
        </w:rPr>
        <w:t>в приближенных к ним кварталах.</w:t>
      </w:r>
    </w:p>
    <w:p w14:paraId="5B83D73C" w14:textId="77777777" w:rsidR="007A05CC" w:rsidRPr="00175E32" w:rsidRDefault="007A05CC" w:rsidP="00E17EEF">
      <w:pPr>
        <w:spacing w:line="276" w:lineRule="auto"/>
        <w:ind w:right="-138"/>
        <w:rPr>
          <w:szCs w:val="24"/>
        </w:rPr>
      </w:pPr>
      <w:r w:rsidRPr="00175E32">
        <w:rPr>
          <w:szCs w:val="24"/>
        </w:rPr>
        <w:t xml:space="preserve">Во вновь введенные в микрорайонах «Калина» и «Жигулевское море» детские </w:t>
      </w:r>
      <w:r w:rsidR="00923023" w:rsidRPr="00175E32">
        <w:rPr>
          <w:szCs w:val="24"/>
        </w:rPr>
        <w:t>сады направлено</w:t>
      </w:r>
      <w:r w:rsidRPr="00175E32">
        <w:rPr>
          <w:szCs w:val="24"/>
        </w:rPr>
        <w:t xml:space="preserve"> </w:t>
      </w:r>
      <w:r w:rsidR="00370A1A">
        <w:rPr>
          <w:szCs w:val="24"/>
        </w:rPr>
        <w:t>240 детей дошкольного возраста.</w:t>
      </w:r>
    </w:p>
    <w:p w14:paraId="6BE4FE06" w14:textId="77777777" w:rsidR="007A05CC" w:rsidRPr="00175E32" w:rsidRDefault="007A05CC" w:rsidP="00E17EEF">
      <w:pPr>
        <w:spacing w:line="276" w:lineRule="auto"/>
        <w:rPr>
          <w:szCs w:val="24"/>
        </w:rPr>
      </w:pPr>
      <w:r w:rsidRPr="00175E32">
        <w:rPr>
          <w:bCs/>
          <w:szCs w:val="24"/>
        </w:rPr>
        <w:t xml:space="preserve">Во вновь построенный детский сад </w:t>
      </w:r>
      <w:r w:rsidRPr="00175E32">
        <w:rPr>
          <w:szCs w:val="24"/>
        </w:rPr>
        <w:t>№ 210 «Ладушки» в 20 квартале Автозаводского района в июне 2020 года направлены 350 детей.</w:t>
      </w:r>
    </w:p>
    <w:p w14:paraId="4AF2153B" w14:textId="77777777" w:rsidR="007A05CC" w:rsidRPr="00175E32" w:rsidRDefault="007A05CC" w:rsidP="00E17EEF">
      <w:pPr>
        <w:pStyle w:val="aff3"/>
        <w:suppressLineNumbers w:val="0"/>
        <w:snapToGrid w:val="0"/>
        <w:spacing w:line="276" w:lineRule="auto"/>
        <w:ind w:firstLine="708"/>
        <w:jc w:val="both"/>
        <w:rPr>
          <w:rFonts w:eastAsia="Calibri"/>
          <w:b w:val="0"/>
          <w:szCs w:val="24"/>
          <w:lang w:eastAsia="ru-RU"/>
        </w:rPr>
      </w:pPr>
      <w:r w:rsidRPr="00175E32">
        <w:rPr>
          <w:rFonts w:eastAsia="Calibri"/>
          <w:b w:val="0"/>
          <w:szCs w:val="24"/>
          <w:lang w:eastAsia="ru-RU"/>
        </w:rPr>
        <w:t xml:space="preserve">Количество учащихся в муниципальных бюджетных общеобразовательных учреждениях по состоянию на 31.05.2020 составляет 73062 человек, это на 2,1% больше, </w:t>
      </w:r>
      <w:r w:rsidR="00923023" w:rsidRPr="00175E32">
        <w:rPr>
          <w:rFonts w:eastAsia="Calibri"/>
          <w:b w:val="0"/>
          <w:szCs w:val="24"/>
          <w:lang w:eastAsia="ru-RU"/>
        </w:rPr>
        <w:t>чем количество</w:t>
      </w:r>
      <w:r w:rsidRPr="00175E32">
        <w:rPr>
          <w:rFonts w:eastAsia="Calibri"/>
          <w:b w:val="0"/>
          <w:szCs w:val="24"/>
          <w:lang w:eastAsia="ru-RU"/>
        </w:rPr>
        <w:t xml:space="preserve"> учащихся по состоянию на 31.05.2019 (71547 человек).</w:t>
      </w:r>
    </w:p>
    <w:p w14:paraId="44254563" w14:textId="77777777" w:rsidR="007A05CC" w:rsidRPr="00175E32" w:rsidRDefault="007A05CC" w:rsidP="00E17EEF">
      <w:pPr>
        <w:spacing w:line="276" w:lineRule="auto"/>
        <w:ind w:firstLine="720"/>
        <w:rPr>
          <w:szCs w:val="24"/>
        </w:rPr>
      </w:pPr>
      <w:r w:rsidRPr="00175E32">
        <w:rPr>
          <w:rFonts w:eastAsia="Calibri"/>
          <w:szCs w:val="24"/>
          <w:lang w:eastAsia="ru-RU"/>
        </w:rPr>
        <w:t xml:space="preserve">Увеличение количества детей в ОУ </w:t>
      </w:r>
      <w:r w:rsidR="007D5F6C">
        <w:rPr>
          <w:szCs w:val="24"/>
        </w:rPr>
        <w:t>городского округа Тольятти</w:t>
      </w:r>
      <w:r w:rsidRPr="00175E32">
        <w:rPr>
          <w:rFonts w:eastAsia="Calibri"/>
          <w:szCs w:val="24"/>
          <w:lang w:eastAsia="ru-RU"/>
        </w:rPr>
        <w:t xml:space="preserve"> связано с </w:t>
      </w:r>
      <w:r w:rsidRPr="00175E32">
        <w:rPr>
          <w:szCs w:val="24"/>
        </w:rPr>
        <w:t xml:space="preserve">высокой рождаемостью, наблюдаемой ранее в </w:t>
      </w:r>
      <w:r w:rsidR="007D5F6C">
        <w:rPr>
          <w:szCs w:val="24"/>
        </w:rPr>
        <w:t>городском округе Тольятти</w:t>
      </w:r>
      <w:r w:rsidRPr="00175E32">
        <w:rPr>
          <w:szCs w:val="24"/>
        </w:rPr>
        <w:t xml:space="preserve">, что привело к увеличению численности детей в первых классах </w:t>
      </w:r>
      <w:r w:rsidR="00370A1A">
        <w:rPr>
          <w:szCs w:val="24"/>
        </w:rPr>
        <w:t>и соответственно в целом по ОУ.</w:t>
      </w:r>
    </w:p>
    <w:p w14:paraId="64E3AF58" w14:textId="77777777" w:rsidR="007A05CC" w:rsidRPr="00175E32" w:rsidRDefault="007A05CC" w:rsidP="00E17EEF">
      <w:pPr>
        <w:pStyle w:val="ConsPlusTitle"/>
        <w:tabs>
          <w:tab w:val="left" w:pos="317"/>
        </w:tabs>
        <w:spacing w:line="276" w:lineRule="auto"/>
        <w:ind w:firstLine="709"/>
        <w:jc w:val="both"/>
        <w:rPr>
          <w:rFonts w:ascii="Times New Roman" w:hAnsi="Times New Roman" w:cs="Times New Roman"/>
          <w:b w:val="0"/>
          <w:sz w:val="24"/>
          <w:szCs w:val="24"/>
        </w:rPr>
      </w:pPr>
      <w:r w:rsidRPr="00175E32">
        <w:rPr>
          <w:rFonts w:ascii="Times New Roman" w:hAnsi="Times New Roman" w:cs="Times New Roman"/>
          <w:b w:val="0"/>
          <w:sz w:val="24"/>
          <w:szCs w:val="24"/>
        </w:rPr>
        <w:t xml:space="preserve">Численность детей 7-17 лет в 2020 году увеличится на 2 619 человек и составит </w:t>
      </w:r>
      <w:r w:rsidR="00370A1A">
        <w:rPr>
          <w:rFonts w:ascii="Times New Roman" w:hAnsi="Times New Roman" w:cs="Times New Roman"/>
          <w:b w:val="0"/>
          <w:sz w:val="24"/>
          <w:szCs w:val="24"/>
        </w:rPr>
        <w:t>82 </w:t>
      </w:r>
      <w:r w:rsidRPr="00175E32">
        <w:rPr>
          <w:rFonts w:ascii="Times New Roman" w:hAnsi="Times New Roman" w:cs="Times New Roman"/>
          <w:b w:val="0"/>
          <w:sz w:val="24"/>
          <w:szCs w:val="24"/>
        </w:rPr>
        <w:t>534 человек. Доля обучающихся в первую смену школьников, по оценке, в 2020 году составит 96,7% (в 2019 году – 96,8%).</w:t>
      </w:r>
    </w:p>
    <w:p w14:paraId="0DCAAEA5" w14:textId="77777777" w:rsidR="007A05CC" w:rsidRPr="00175E32" w:rsidRDefault="007A05CC" w:rsidP="00E17EEF">
      <w:pPr>
        <w:spacing w:line="276" w:lineRule="auto"/>
        <w:rPr>
          <w:rFonts w:eastAsia="Calibri"/>
          <w:szCs w:val="24"/>
          <w:lang w:eastAsia="ru-RU"/>
        </w:rPr>
      </w:pPr>
      <w:r w:rsidRPr="00175E32">
        <w:rPr>
          <w:szCs w:val="24"/>
        </w:rPr>
        <w:t xml:space="preserve">Количество учащихся в муниципальных бюджетных образовательных учреждениях дополнительного образования в </w:t>
      </w:r>
      <w:r w:rsidRPr="00175E32">
        <w:rPr>
          <w:rFonts w:eastAsia="Calibri"/>
          <w:szCs w:val="24"/>
          <w:lang w:eastAsia="ru-RU"/>
        </w:rPr>
        <w:t>2020 году составляет 47728 человек, кроме того, в структурных подразделениях дополнительного образования на базе муниципальных общеобразовательных учреж</w:t>
      </w:r>
      <w:r w:rsidR="00370A1A">
        <w:rPr>
          <w:rFonts w:eastAsia="Calibri"/>
          <w:szCs w:val="24"/>
          <w:lang w:eastAsia="ru-RU"/>
        </w:rPr>
        <w:t>дений занято 11055 школьников.</w:t>
      </w:r>
    </w:p>
    <w:p w14:paraId="339AA418" w14:textId="77777777" w:rsidR="007A05CC" w:rsidRPr="00175E32" w:rsidRDefault="007A05CC" w:rsidP="00E17EEF">
      <w:pPr>
        <w:spacing w:line="276" w:lineRule="auto"/>
        <w:rPr>
          <w:szCs w:val="24"/>
        </w:rPr>
      </w:pPr>
      <w:r w:rsidRPr="00175E32">
        <w:rPr>
          <w:szCs w:val="24"/>
        </w:rPr>
        <w:t>В тольяттинском детском технопарке «</w:t>
      </w:r>
      <w:proofErr w:type="spellStart"/>
      <w:r w:rsidRPr="00175E32">
        <w:rPr>
          <w:szCs w:val="24"/>
        </w:rPr>
        <w:t>Кванториум</w:t>
      </w:r>
      <w:proofErr w:type="spellEnd"/>
      <w:r w:rsidRPr="00175E32">
        <w:rPr>
          <w:szCs w:val="24"/>
        </w:rPr>
        <w:t xml:space="preserve"> - 63 регион» обучается </w:t>
      </w:r>
      <w:r w:rsidRPr="00175E32">
        <w:rPr>
          <w:szCs w:val="24"/>
        </w:rPr>
        <w:br/>
        <w:t>1000 человек. К концу 2020 года планир</w:t>
      </w:r>
      <w:r w:rsidR="00370A1A">
        <w:rPr>
          <w:szCs w:val="24"/>
        </w:rPr>
        <w:t>уется охватить 1500 школьников.</w:t>
      </w:r>
    </w:p>
    <w:p w14:paraId="4E95F061" w14:textId="77777777" w:rsidR="007A05CC" w:rsidRPr="00175E32" w:rsidRDefault="007A05CC" w:rsidP="00E17EEF">
      <w:pPr>
        <w:spacing w:line="276" w:lineRule="auto"/>
        <w:rPr>
          <w:szCs w:val="24"/>
        </w:rPr>
      </w:pPr>
      <w:r w:rsidRPr="00175E32">
        <w:rPr>
          <w:szCs w:val="24"/>
        </w:rPr>
        <w:t xml:space="preserve">К основным проблемам, сдерживающим развитие </w:t>
      </w:r>
      <w:r w:rsidR="00370A1A">
        <w:rPr>
          <w:szCs w:val="24"/>
        </w:rPr>
        <w:t>отрасли образования, относятся:</w:t>
      </w:r>
    </w:p>
    <w:p w14:paraId="693393E6" w14:textId="77777777" w:rsidR="007A05CC" w:rsidRPr="00175E32" w:rsidRDefault="007A05CC" w:rsidP="00E17EEF">
      <w:pPr>
        <w:spacing w:line="276" w:lineRule="auto"/>
        <w:rPr>
          <w:szCs w:val="24"/>
        </w:rPr>
      </w:pPr>
      <w:r w:rsidRPr="00175E32">
        <w:rPr>
          <w:szCs w:val="24"/>
        </w:rPr>
        <w:t>- в сфере дошкольного образования: нехватка мест в детских садах для детей раннего возраста (от 1,5 до 3 лет), отсутствие детских садов в кварталах-новостройках Автозаводского района (14 А, 17 А, 18 А, 19, 20, 21), в микрорайоне «Северный» Центрального района, необеспеченность детских садов необходимым оборудованием для создания доступной среды (пандусы, лифты и т.д.) для детей с ограниченными возможностями здоровья, недостаточное материально-техническое обеспечение дошкольных учреждений в соответствии с требованиями ФГОС ДО;</w:t>
      </w:r>
    </w:p>
    <w:p w14:paraId="7ABDD683" w14:textId="77777777" w:rsidR="007A05CC" w:rsidRPr="00175E32" w:rsidRDefault="007A05CC" w:rsidP="00E17EEF">
      <w:pPr>
        <w:tabs>
          <w:tab w:val="left" w:pos="0"/>
          <w:tab w:val="left" w:pos="993"/>
        </w:tabs>
        <w:spacing w:line="276" w:lineRule="auto"/>
        <w:rPr>
          <w:szCs w:val="24"/>
        </w:rPr>
      </w:pPr>
      <w:r w:rsidRPr="00175E32">
        <w:rPr>
          <w:szCs w:val="24"/>
        </w:rPr>
        <w:t>- в сфере общего и дополнительного образования: осуществление образовательного процесса в общеобразовательных учреждениях в две смены; устаревшая материально-техническая база.</w:t>
      </w:r>
    </w:p>
    <w:p w14:paraId="5FDB585F" w14:textId="77777777" w:rsidR="007A05CC" w:rsidRPr="00175E32" w:rsidRDefault="007A05CC" w:rsidP="00E17EEF">
      <w:pPr>
        <w:spacing w:line="276" w:lineRule="auto"/>
        <w:rPr>
          <w:szCs w:val="24"/>
        </w:rPr>
      </w:pPr>
      <w:r w:rsidRPr="00175E32">
        <w:rPr>
          <w:szCs w:val="24"/>
        </w:rPr>
        <w:t xml:space="preserve">Ключевыми проблемами, ограничивающими доступность получения качественных услуг системы образования, являются: недостаточное развитие дополнительных образовательных услуг; территориальная (шаговая) доступность учреждений </w:t>
      </w:r>
      <w:r w:rsidR="00923023" w:rsidRPr="00175E32">
        <w:rPr>
          <w:szCs w:val="24"/>
        </w:rPr>
        <w:t>общего образования</w:t>
      </w:r>
      <w:r w:rsidRPr="00175E32">
        <w:rPr>
          <w:szCs w:val="24"/>
        </w:rPr>
        <w:t>; старение материально-технической базы учреждений отрасли «Образование»; недостаточная материально-техническая оснащенность дошкольных образовательных учреждений.</w:t>
      </w:r>
    </w:p>
    <w:p w14:paraId="7CDA2D38" w14:textId="77777777" w:rsidR="007A05CC" w:rsidRPr="00175E32" w:rsidRDefault="007A05CC" w:rsidP="00E17EEF">
      <w:pPr>
        <w:spacing w:line="276" w:lineRule="auto"/>
        <w:rPr>
          <w:bCs/>
          <w:snapToGrid w:val="0"/>
          <w:color w:val="000000"/>
          <w:szCs w:val="24"/>
          <w:shd w:val="clear" w:color="auto" w:fill="FFFFFF"/>
        </w:rPr>
      </w:pPr>
      <w:r w:rsidRPr="00175E32">
        <w:rPr>
          <w:bCs/>
          <w:snapToGrid w:val="0"/>
          <w:color w:val="000000"/>
          <w:szCs w:val="24"/>
          <w:shd w:val="clear" w:color="auto" w:fill="FFFFFF"/>
        </w:rPr>
        <w:lastRenderedPageBreak/>
        <w:t>Генпланом, утвержденным решением Думы городского округа Тольятти от 25.05.2018 № 1756 на период до 2038 года в городском округе Тольятти определена потребность в строительстве и реконструкции зданий детских садов, школ, учреждений дополнительного образования.</w:t>
      </w:r>
    </w:p>
    <w:p w14:paraId="5905AF15" w14:textId="77777777" w:rsidR="007A05CC" w:rsidRPr="00175E32" w:rsidRDefault="007A05CC" w:rsidP="00E17EEF">
      <w:pPr>
        <w:spacing w:line="276" w:lineRule="auto"/>
        <w:contextualSpacing/>
        <w:rPr>
          <w:color w:val="000000"/>
          <w:szCs w:val="24"/>
        </w:rPr>
      </w:pPr>
      <w:r w:rsidRPr="00175E32">
        <w:rPr>
          <w:rFonts w:eastAsia="SimSun"/>
          <w:szCs w:val="24"/>
          <w:lang w:eastAsia="ar-SA"/>
        </w:rPr>
        <w:t xml:space="preserve">Участием в программах федерального и регионального значения решаются проблемы, связанные как с соблюдением в зданиях требований пожарной безопасности, так и с улучшением инфраструктуры. </w:t>
      </w:r>
      <w:r w:rsidRPr="00175E32">
        <w:rPr>
          <w:color w:val="000000"/>
          <w:szCs w:val="24"/>
        </w:rPr>
        <w:t>В общеобразовательных учреждениях ведется работа по подготовке необходимого пакета документов на капитальный ремонт АПС и СОУЭ:</w:t>
      </w:r>
    </w:p>
    <w:p w14:paraId="4A1AAEA4" w14:textId="77777777" w:rsidR="007A05CC" w:rsidRPr="00175E32" w:rsidRDefault="007A05CC" w:rsidP="00E17EEF">
      <w:pPr>
        <w:tabs>
          <w:tab w:val="left" w:pos="851"/>
          <w:tab w:val="left" w:pos="10076"/>
          <w:tab w:val="left" w:pos="10992"/>
          <w:tab w:val="left" w:pos="11908"/>
          <w:tab w:val="left" w:pos="12824"/>
          <w:tab w:val="left" w:pos="13740"/>
          <w:tab w:val="left" w:pos="14656"/>
        </w:tabs>
        <w:spacing w:line="276" w:lineRule="auto"/>
        <w:contextualSpacing/>
        <w:rPr>
          <w:noProof/>
          <w:szCs w:val="24"/>
        </w:rPr>
      </w:pPr>
      <w:r w:rsidRPr="00175E32">
        <w:rPr>
          <w:color w:val="000000"/>
          <w:szCs w:val="24"/>
        </w:rPr>
        <w:t xml:space="preserve">- МБУ №№ 4, 35, 58, 66, 69, 70, 79 подготовлены в полном объеме и направлены в министерство образования и науки Самарской области пакеты документов; </w:t>
      </w:r>
    </w:p>
    <w:p w14:paraId="7CAAA6A3" w14:textId="77777777" w:rsidR="007A05CC" w:rsidRPr="00175E32" w:rsidRDefault="007A05CC" w:rsidP="00E17EEF">
      <w:pPr>
        <w:spacing w:line="276" w:lineRule="auto"/>
        <w:contextualSpacing/>
        <w:rPr>
          <w:color w:val="000000"/>
          <w:szCs w:val="24"/>
        </w:rPr>
      </w:pPr>
      <w:r w:rsidRPr="00175E32">
        <w:rPr>
          <w:color w:val="000000"/>
          <w:szCs w:val="24"/>
        </w:rPr>
        <w:t>- МБУ №№ 1, 11, 13, 14, 19, 20, 21, 26, 28, 37, 38, 41, 43, 44, 46, 48, 57, 59, 61, 74, 75, 77, 82, 86, 90, 93 - документы в стадии подготовки;</w:t>
      </w:r>
    </w:p>
    <w:p w14:paraId="39C7ABFC" w14:textId="77777777" w:rsidR="007A05CC" w:rsidRPr="00175E32" w:rsidRDefault="007A05CC" w:rsidP="00E17EEF">
      <w:pPr>
        <w:spacing w:line="276" w:lineRule="auto"/>
        <w:contextualSpacing/>
        <w:rPr>
          <w:color w:val="000000"/>
          <w:szCs w:val="24"/>
        </w:rPr>
      </w:pPr>
      <w:r w:rsidRPr="00175E32">
        <w:rPr>
          <w:color w:val="000000"/>
          <w:szCs w:val="24"/>
        </w:rPr>
        <w:t xml:space="preserve"> - МБУ №№ 6, 10, 45, 60, 71, 76 - планируют начать подготовку документов.</w:t>
      </w:r>
    </w:p>
    <w:p w14:paraId="3C1DA442" w14:textId="77777777" w:rsidR="007A05CC" w:rsidRPr="00175E32" w:rsidRDefault="007A05CC" w:rsidP="00E17EEF">
      <w:pPr>
        <w:spacing w:line="276" w:lineRule="auto"/>
        <w:rPr>
          <w:color w:val="000000"/>
          <w:szCs w:val="24"/>
        </w:rPr>
      </w:pPr>
      <w:r w:rsidRPr="00175E32">
        <w:rPr>
          <w:color w:val="000000"/>
          <w:szCs w:val="24"/>
        </w:rPr>
        <w:t>Примером такого соучастия является Губернаторский проект «Содействие». В прошедшем учебном году 6 общеобразовательных учреждений приняли участие в конкурсном отборе (МБУ №№ 9, 26, 51, 89, 93, 31). Победителями признаны общественные проекты МБУ №№ 31, 51, 89 по устр</w:t>
      </w:r>
      <w:r w:rsidR="00370A1A">
        <w:rPr>
          <w:color w:val="000000"/>
          <w:szCs w:val="24"/>
        </w:rPr>
        <w:t>ойству спортивных площадок.</w:t>
      </w:r>
    </w:p>
    <w:p w14:paraId="58335D47" w14:textId="77777777" w:rsidR="007A05CC" w:rsidRPr="00175E32" w:rsidRDefault="007A05CC" w:rsidP="00E17EEF">
      <w:pPr>
        <w:tabs>
          <w:tab w:val="left" w:pos="570"/>
          <w:tab w:val="left" w:pos="10076"/>
          <w:tab w:val="left" w:pos="10992"/>
          <w:tab w:val="left" w:pos="11908"/>
          <w:tab w:val="left" w:pos="12824"/>
          <w:tab w:val="left" w:pos="13740"/>
          <w:tab w:val="left" w:pos="14656"/>
        </w:tabs>
        <w:spacing w:line="276" w:lineRule="auto"/>
        <w:contextualSpacing/>
        <w:rPr>
          <w:color w:val="000000"/>
          <w:szCs w:val="24"/>
        </w:rPr>
      </w:pPr>
      <w:r w:rsidRPr="00175E32">
        <w:rPr>
          <w:color w:val="000000"/>
          <w:szCs w:val="24"/>
        </w:rPr>
        <w:t>Запланировано на 2020 год устройство спорти</w:t>
      </w:r>
      <w:r w:rsidR="00370A1A">
        <w:rPr>
          <w:color w:val="000000"/>
          <w:szCs w:val="24"/>
        </w:rPr>
        <w:t>вных площадок на территории МБУ </w:t>
      </w:r>
      <w:r w:rsidRPr="00175E32">
        <w:rPr>
          <w:color w:val="000000"/>
          <w:szCs w:val="24"/>
        </w:rPr>
        <w:t>«Лицей № 51», МБУ «Школа № 31», МБУ «Школа № 89».</w:t>
      </w:r>
    </w:p>
    <w:p w14:paraId="458E5CD0" w14:textId="77777777" w:rsidR="007A05CC" w:rsidRPr="00175E32" w:rsidRDefault="007A05CC" w:rsidP="00E17EEF">
      <w:pPr>
        <w:pStyle w:val="ConsPlusNormal"/>
        <w:spacing w:line="276" w:lineRule="auto"/>
        <w:ind w:firstLine="709"/>
        <w:jc w:val="both"/>
        <w:rPr>
          <w:rFonts w:ascii="Times New Roman" w:eastAsia="Calibri" w:hAnsi="Times New Roman" w:cs="Times New Roman"/>
          <w:sz w:val="24"/>
          <w:szCs w:val="24"/>
          <w:lang w:eastAsia="en-US"/>
        </w:rPr>
      </w:pPr>
      <w:r w:rsidRPr="00175E32">
        <w:rPr>
          <w:rFonts w:ascii="Times New Roman" w:eastAsia="Calibri" w:hAnsi="Times New Roman" w:cs="Times New Roman"/>
          <w:sz w:val="24"/>
          <w:szCs w:val="24"/>
          <w:lang w:eastAsia="en-US"/>
        </w:rPr>
        <w:t xml:space="preserve">В рамках реализации государственной программы Самарской области «Строительство, реконструкция и капитальный ремонт образовательных учреждений Самарской области» до 2025 года» в 2019 году </w:t>
      </w:r>
      <w:r w:rsidRPr="00175E32">
        <w:rPr>
          <w:rFonts w:ascii="Times New Roman" w:hAnsi="Times New Roman" w:cs="Times New Roman"/>
          <w:sz w:val="24"/>
          <w:szCs w:val="24"/>
        </w:rPr>
        <w:t>и в период март-апрель 2020 года </w:t>
      </w:r>
      <w:r w:rsidRPr="00175E32">
        <w:rPr>
          <w:rFonts w:ascii="Times New Roman" w:eastAsia="Calibri" w:hAnsi="Times New Roman" w:cs="Times New Roman"/>
          <w:sz w:val="24"/>
          <w:szCs w:val="24"/>
          <w:lang w:eastAsia="en-US"/>
        </w:rPr>
        <w:t>была выполнена поставка:</w:t>
      </w:r>
    </w:p>
    <w:p w14:paraId="018B603F" w14:textId="77777777" w:rsidR="007A05CC" w:rsidRPr="00175E32" w:rsidRDefault="007A05CC" w:rsidP="00E17EEF">
      <w:pPr>
        <w:pStyle w:val="ConsPlusNormal"/>
        <w:spacing w:line="276" w:lineRule="auto"/>
        <w:ind w:firstLine="709"/>
        <w:jc w:val="both"/>
        <w:rPr>
          <w:rFonts w:ascii="Times New Roman" w:eastAsia="Calibri" w:hAnsi="Times New Roman" w:cs="Times New Roman"/>
          <w:sz w:val="24"/>
          <w:szCs w:val="24"/>
          <w:lang w:eastAsia="en-US"/>
        </w:rPr>
      </w:pPr>
      <w:r w:rsidRPr="00175E32">
        <w:rPr>
          <w:rFonts w:ascii="Times New Roman" w:eastAsia="Calibri" w:hAnsi="Times New Roman" w:cs="Times New Roman"/>
          <w:sz w:val="24"/>
          <w:szCs w:val="24"/>
          <w:lang w:eastAsia="en-US"/>
        </w:rPr>
        <w:t xml:space="preserve">-  72 комплектов оборудования для кабинетов физики в 70 </w:t>
      </w:r>
      <w:r w:rsidR="00923023" w:rsidRPr="00175E32">
        <w:rPr>
          <w:rFonts w:ascii="Times New Roman" w:eastAsia="Calibri" w:hAnsi="Times New Roman" w:cs="Times New Roman"/>
          <w:sz w:val="24"/>
          <w:szCs w:val="24"/>
          <w:lang w:eastAsia="en-US"/>
        </w:rPr>
        <w:t>школ,</w:t>
      </w:r>
      <w:r w:rsidRPr="00175E32">
        <w:rPr>
          <w:rFonts w:ascii="Times New Roman" w:eastAsia="Calibri" w:hAnsi="Times New Roman" w:cs="Times New Roman"/>
          <w:sz w:val="24"/>
          <w:szCs w:val="24"/>
          <w:lang w:eastAsia="en-US"/>
        </w:rPr>
        <w:t xml:space="preserve"> и </w:t>
      </w:r>
      <w:r w:rsidRPr="00175E32">
        <w:rPr>
          <w:rFonts w:ascii="Times New Roman" w:hAnsi="Times New Roman" w:cs="Times New Roman"/>
          <w:sz w:val="24"/>
          <w:szCs w:val="24"/>
        </w:rPr>
        <w:t>поставка комплектов компьютерной техники в 41 школу;</w:t>
      </w:r>
    </w:p>
    <w:p w14:paraId="5AF80BB4" w14:textId="77777777" w:rsidR="007A05CC" w:rsidRPr="00175E32" w:rsidRDefault="007A05CC" w:rsidP="00E17EEF">
      <w:pPr>
        <w:tabs>
          <w:tab w:val="left" w:pos="0"/>
          <w:tab w:val="left" w:pos="10076"/>
          <w:tab w:val="left" w:pos="10992"/>
          <w:tab w:val="left" w:pos="11908"/>
          <w:tab w:val="left" w:pos="12824"/>
          <w:tab w:val="left" w:pos="13740"/>
          <w:tab w:val="left" w:pos="14656"/>
        </w:tabs>
        <w:spacing w:line="276" w:lineRule="auto"/>
        <w:contextualSpacing/>
        <w:rPr>
          <w:szCs w:val="24"/>
        </w:rPr>
      </w:pPr>
      <w:r w:rsidRPr="00175E32">
        <w:rPr>
          <w:szCs w:val="24"/>
        </w:rPr>
        <w:t>- министерством образования и науки Самарской области комплектов компьютерной техники в 41 школу в целях технического обеспечения внедрения ФГОС среднего общего образования, проектного подхода в обучении обучающихся общеобразовательных организаций Самарской области.</w:t>
      </w:r>
    </w:p>
    <w:p w14:paraId="78E5E8C8" w14:textId="77777777" w:rsidR="007A05CC" w:rsidRPr="00175E32" w:rsidRDefault="007A05CC" w:rsidP="00E17EEF">
      <w:pPr>
        <w:tabs>
          <w:tab w:val="left" w:pos="0"/>
          <w:tab w:val="left" w:pos="10076"/>
          <w:tab w:val="left" w:pos="10992"/>
          <w:tab w:val="left" w:pos="11908"/>
          <w:tab w:val="left" w:pos="12824"/>
          <w:tab w:val="left" w:pos="13740"/>
          <w:tab w:val="left" w:pos="14656"/>
        </w:tabs>
        <w:spacing w:line="276" w:lineRule="auto"/>
        <w:contextualSpacing/>
        <w:rPr>
          <w:color w:val="000000"/>
          <w:szCs w:val="24"/>
        </w:rPr>
      </w:pPr>
      <w:r w:rsidRPr="00175E32">
        <w:rPr>
          <w:szCs w:val="24"/>
        </w:rPr>
        <w:t>В рамках реализации мероприятий НП «Современная школа» региональной составляющей «Цифровая образовательная среда» планируется поставка оборудования в 21 учреждение.</w:t>
      </w:r>
    </w:p>
    <w:p w14:paraId="272037A5" w14:textId="77777777" w:rsidR="00732F84" w:rsidRPr="00175E32" w:rsidRDefault="00732F84" w:rsidP="00E17EEF">
      <w:pPr>
        <w:tabs>
          <w:tab w:val="left" w:pos="7485"/>
        </w:tabs>
        <w:jc w:val="center"/>
        <w:rPr>
          <w:szCs w:val="24"/>
        </w:rPr>
      </w:pPr>
    </w:p>
    <w:p w14:paraId="1A037981" w14:textId="77777777" w:rsidR="007A05CC" w:rsidRPr="00175E32" w:rsidRDefault="007A05CC" w:rsidP="00E17EEF">
      <w:pPr>
        <w:tabs>
          <w:tab w:val="left" w:pos="7485"/>
        </w:tabs>
        <w:ind w:firstLine="0"/>
        <w:jc w:val="center"/>
        <w:rPr>
          <w:szCs w:val="24"/>
        </w:rPr>
      </w:pPr>
      <w:r w:rsidRPr="00175E32">
        <w:rPr>
          <w:szCs w:val="24"/>
        </w:rPr>
        <w:t>Ожидаемое выполнение прогнозных показателей по разделу «Образование» на 2020 год</w:t>
      </w:r>
    </w:p>
    <w:p w14:paraId="1259050F" w14:textId="77777777" w:rsidR="007A05CC" w:rsidRPr="00175E32" w:rsidRDefault="007A05CC" w:rsidP="00E17EEF">
      <w:pPr>
        <w:tabs>
          <w:tab w:val="left" w:pos="7485"/>
        </w:tabs>
        <w:jc w:val="center"/>
        <w:rPr>
          <w:szCs w:val="24"/>
        </w:rPr>
      </w:pPr>
    </w:p>
    <w:tbl>
      <w:tblPr>
        <w:tblW w:w="4949" w:type="pct"/>
        <w:tblLook w:val="0000" w:firstRow="0" w:lastRow="0" w:firstColumn="0" w:lastColumn="0" w:noHBand="0" w:noVBand="0"/>
      </w:tblPr>
      <w:tblGrid>
        <w:gridCol w:w="3343"/>
        <w:gridCol w:w="1584"/>
        <w:gridCol w:w="1567"/>
        <w:gridCol w:w="1563"/>
        <w:gridCol w:w="1415"/>
      </w:tblGrid>
      <w:tr w:rsidR="007A05CC" w:rsidRPr="00175E32" w14:paraId="1D114E10" w14:textId="77777777" w:rsidTr="00370A1A">
        <w:trPr>
          <w:trHeight w:val="216"/>
          <w:tblHeader/>
        </w:trPr>
        <w:tc>
          <w:tcPr>
            <w:tcW w:w="1765" w:type="pct"/>
            <w:vMerge w:val="restart"/>
            <w:tcBorders>
              <w:top w:val="single" w:sz="4" w:space="0" w:color="000000"/>
              <w:left w:val="single" w:sz="4" w:space="0" w:color="000000"/>
              <w:bottom w:val="single" w:sz="4" w:space="0" w:color="000000"/>
            </w:tcBorders>
            <w:vAlign w:val="center"/>
          </w:tcPr>
          <w:p w14:paraId="7C23D6F4" w14:textId="77777777" w:rsidR="007A05CC" w:rsidRPr="00175E32" w:rsidRDefault="007A05CC" w:rsidP="00E17EEF">
            <w:pPr>
              <w:ind w:firstLine="0"/>
              <w:jc w:val="center"/>
              <w:rPr>
                <w:szCs w:val="24"/>
              </w:rPr>
            </w:pPr>
            <w:r w:rsidRPr="00175E32">
              <w:rPr>
                <w:szCs w:val="24"/>
              </w:rPr>
              <w:t>Показатели</w:t>
            </w:r>
          </w:p>
        </w:tc>
        <w:tc>
          <w:tcPr>
            <w:tcW w:w="836" w:type="pct"/>
            <w:vMerge w:val="restart"/>
            <w:tcBorders>
              <w:top w:val="single" w:sz="4" w:space="0" w:color="000000"/>
              <w:left w:val="single" w:sz="4" w:space="0" w:color="000000"/>
              <w:right w:val="single" w:sz="4" w:space="0" w:color="000000"/>
            </w:tcBorders>
            <w:vAlign w:val="center"/>
          </w:tcPr>
          <w:p w14:paraId="05FA4BED" w14:textId="77777777" w:rsidR="007A05CC" w:rsidRPr="00175E32" w:rsidRDefault="007A05CC" w:rsidP="00E17EEF">
            <w:pPr>
              <w:ind w:firstLine="0"/>
              <w:jc w:val="center"/>
              <w:rPr>
                <w:szCs w:val="24"/>
              </w:rPr>
            </w:pPr>
            <w:r w:rsidRPr="00175E32">
              <w:rPr>
                <w:szCs w:val="24"/>
              </w:rPr>
              <w:t>Единица измерения</w:t>
            </w:r>
          </w:p>
        </w:tc>
        <w:tc>
          <w:tcPr>
            <w:tcW w:w="1651" w:type="pct"/>
            <w:gridSpan w:val="2"/>
            <w:tcBorders>
              <w:top w:val="single" w:sz="4" w:space="0" w:color="000000"/>
              <w:left w:val="single" w:sz="4" w:space="0" w:color="000000"/>
              <w:bottom w:val="single" w:sz="4" w:space="0" w:color="000000"/>
            </w:tcBorders>
            <w:vAlign w:val="center"/>
          </w:tcPr>
          <w:p w14:paraId="6E3F6B2F" w14:textId="77777777" w:rsidR="007A05CC" w:rsidRPr="00175E32" w:rsidRDefault="007A05CC" w:rsidP="00E17EEF">
            <w:pPr>
              <w:ind w:firstLine="0"/>
              <w:jc w:val="center"/>
              <w:rPr>
                <w:szCs w:val="24"/>
              </w:rPr>
            </w:pPr>
            <w:r w:rsidRPr="00175E32">
              <w:rPr>
                <w:szCs w:val="24"/>
              </w:rPr>
              <w:t>Прогноз на 2020 год</w:t>
            </w:r>
          </w:p>
        </w:tc>
        <w:tc>
          <w:tcPr>
            <w:tcW w:w="747" w:type="pct"/>
            <w:vMerge w:val="restart"/>
            <w:tcBorders>
              <w:top w:val="single" w:sz="4" w:space="0" w:color="000000"/>
              <w:left w:val="single" w:sz="4" w:space="0" w:color="000000"/>
              <w:bottom w:val="single" w:sz="4" w:space="0" w:color="000000"/>
              <w:right w:val="single" w:sz="4" w:space="0" w:color="auto"/>
            </w:tcBorders>
            <w:vAlign w:val="center"/>
          </w:tcPr>
          <w:p w14:paraId="11FFCABC" w14:textId="77777777" w:rsidR="007A05CC" w:rsidRPr="00175E32" w:rsidRDefault="007A05CC" w:rsidP="00E17EEF">
            <w:pPr>
              <w:ind w:firstLine="0"/>
              <w:jc w:val="center"/>
              <w:rPr>
                <w:szCs w:val="24"/>
              </w:rPr>
            </w:pPr>
            <w:r w:rsidRPr="00175E32">
              <w:rPr>
                <w:szCs w:val="24"/>
              </w:rPr>
              <w:t>2020 год (оценка)</w:t>
            </w:r>
          </w:p>
        </w:tc>
      </w:tr>
      <w:tr w:rsidR="007A05CC" w:rsidRPr="00175E32" w14:paraId="3C09B8FF" w14:textId="77777777" w:rsidTr="00370A1A">
        <w:trPr>
          <w:tblHeader/>
        </w:trPr>
        <w:tc>
          <w:tcPr>
            <w:tcW w:w="1765" w:type="pct"/>
            <w:vMerge/>
            <w:tcBorders>
              <w:top w:val="single" w:sz="4" w:space="0" w:color="000000"/>
              <w:left w:val="single" w:sz="4" w:space="0" w:color="000000"/>
              <w:bottom w:val="single" w:sz="4" w:space="0" w:color="000000"/>
            </w:tcBorders>
          </w:tcPr>
          <w:p w14:paraId="3BEC8565" w14:textId="77777777" w:rsidR="007A05CC" w:rsidRPr="00175E32" w:rsidRDefault="007A05CC" w:rsidP="00E17EEF">
            <w:pPr>
              <w:snapToGrid w:val="0"/>
              <w:ind w:firstLine="0"/>
              <w:jc w:val="center"/>
              <w:rPr>
                <w:szCs w:val="24"/>
              </w:rPr>
            </w:pPr>
          </w:p>
        </w:tc>
        <w:tc>
          <w:tcPr>
            <w:tcW w:w="836" w:type="pct"/>
            <w:vMerge/>
            <w:tcBorders>
              <w:left w:val="single" w:sz="4" w:space="0" w:color="000000"/>
              <w:bottom w:val="single" w:sz="4" w:space="0" w:color="000000"/>
              <w:right w:val="single" w:sz="4" w:space="0" w:color="000000"/>
            </w:tcBorders>
          </w:tcPr>
          <w:p w14:paraId="7BC63566" w14:textId="77777777" w:rsidR="007A05CC" w:rsidRPr="00175E32" w:rsidRDefault="007A05CC" w:rsidP="00E17EEF">
            <w:pPr>
              <w:ind w:firstLine="0"/>
              <w:jc w:val="center"/>
              <w:rPr>
                <w:szCs w:val="24"/>
              </w:rPr>
            </w:pPr>
          </w:p>
        </w:tc>
        <w:tc>
          <w:tcPr>
            <w:tcW w:w="827" w:type="pct"/>
            <w:tcBorders>
              <w:top w:val="single" w:sz="4" w:space="0" w:color="000000"/>
              <w:left w:val="single" w:sz="4" w:space="0" w:color="000000"/>
              <w:bottom w:val="single" w:sz="4" w:space="0" w:color="000000"/>
            </w:tcBorders>
            <w:vAlign w:val="center"/>
          </w:tcPr>
          <w:p w14:paraId="7DFB95B8" w14:textId="77777777" w:rsidR="007A05CC" w:rsidRPr="00175E32" w:rsidRDefault="007A05CC" w:rsidP="00E17EEF">
            <w:pPr>
              <w:ind w:firstLine="0"/>
              <w:jc w:val="center"/>
              <w:rPr>
                <w:szCs w:val="24"/>
              </w:rPr>
            </w:pPr>
            <w:r w:rsidRPr="00175E32">
              <w:rPr>
                <w:szCs w:val="24"/>
              </w:rPr>
              <w:t>1 вариант (консерва</w:t>
            </w:r>
          </w:p>
          <w:p w14:paraId="37ABA3DD" w14:textId="77777777" w:rsidR="007A05CC" w:rsidRPr="00175E32" w:rsidRDefault="007A05CC" w:rsidP="00E17EEF">
            <w:pPr>
              <w:ind w:firstLine="0"/>
              <w:jc w:val="center"/>
              <w:rPr>
                <w:szCs w:val="24"/>
              </w:rPr>
            </w:pPr>
            <w:proofErr w:type="spellStart"/>
            <w:r w:rsidRPr="00175E32">
              <w:rPr>
                <w:szCs w:val="24"/>
              </w:rPr>
              <w:t>тивный</w:t>
            </w:r>
            <w:proofErr w:type="spellEnd"/>
            <w:r w:rsidRPr="00175E32">
              <w:rPr>
                <w:szCs w:val="24"/>
              </w:rPr>
              <w:t>)</w:t>
            </w:r>
          </w:p>
        </w:tc>
        <w:tc>
          <w:tcPr>
            <w:tcW w:w="825" w:type="pct"/>
            <w:tcBorders>
              <w:top w:val="single" w:sz="4" w:space="0" w:color="000000"/>
              <w:left w:val="single" w:sz="4" w:space="0" w:color="000000"/>
              <w:bottom w:val="single" w:sz="4" w:space="0" w:color="000000"/>
            </w:tcBorders>
            <w:vAlign w:val="center"/>
          </w:tcPr>
          <w:p w14:paraId="4EBA1E0A" w14:textId="77777777" w:rsidR="007A05CC" w:rsidRPr="00175E32" w:rsidRDefault="007A05CC" w:rsidP="00E17EEF">
            <w:pPr>
              <w:ind w:firstLine="0"/>
              <w:jc w:val="center"/>
              <w:rPr>
                <w:szCs w:val="24"/>
              </w:rPr>
            </w:pPr>
            <w:r w:rsidRPr="00175E32">
              <w:rPr>
                <w:szCs w:val="24"/>
              </w:rPr>
              <w:t>2 вариант</w:t>
            </w:r>
          </w:p>
          <w:p w14:paraId="551F4DC8" w14:textId="77777777" w:rsidR="007A05CC" w:rsidRPr="00175E32" w:rsidRDefault="007A05CC" w:rsidP="00E17EEF">
            <w:pPr>
              <w:ind w:firstLine="0"/>
              <w:jc w:val="center"/>
              <w:rPr>
                <w:szCs w:val="24"/>
              </w:rPr>
            </w:pPr>
            <w:r w:rsidRPr="00175E32">
              <w:rPr>
                <w:szCs w:val="24"/>
              </w:rPr>
              <w:t>(базовый)</w:t>
            </w:r>
          </w:p>
        </w:tc>
        <w:tc>
          <w:tcPr>
            <w:tcW w:w="747" w:type="pct"/>
            <w:vMerge/>
            <w:tcBorders>
              <w:top w:val="single" w:sz="4" w:space="0" w:color="000000"/>
              <w:left w:val="single" w:sz="4" w:space="0" w:color="000000"/>
              <w:bottom w:val="single" w:sz="4" w:space="0" w:color="000000"/>
              <w:right w:val="single" w:sz="4" w:space="0" w:color="auto"/>
            </w:tcBorders>
          </w:tcPr>
          <w:p w14:paraId="2CF7DDEE" w14:textId="77777777" w:rsidR="007A05CC" w:rsidRPr="00175E32" w:rsidRDefault="007A05CC" w:rsidP="00E17EEF">
            <w:pPr>
              <w:snapToGrid w:val="0"/>
              <w:ind w:firstLine="0"/>
              <w:jc w:val="center"/>
              <w:rPr>
                <w:szCs w:val="24"/>
              </w:rPr>
            </w:pPr>
          </w:p>
        </w:tc>
      </w:tr>
      <w:tr w:rsidR="007A05CC" w:rsidRPr="00175E32" w14:paraId="39A03AE8" w14:textId="77777777" w:rsidTr="00370A1A">
        <w:trPr>
          <w:trHeight w:val="694"/>
        </w:trPr>
        <w:tc>
          <w:tcPr>
            <w:tcW w:w="1765" w:type="pct"/>
            <w:tcBorders>
              <w:top w:val="single" w:sz="4" w:space="0" w:color="000000"/>
              <w:left w:val="single" w:sz="4" w:space="0" w:color="000000"/>
              <w:bottom w:val="single" w:sz="4" w:space="0" w:color="000000"/>
            </w:tcBorders>
          </w:tcPr>
          <w:p w14:paraId="5C0AD7B1" w14:textId="77777777" w:rsidR="007A05CC" w:rsidRPr="00175E32" w:rsidRDefault="007A05CC" w:rsidP="00E17EEF">
            <w:pPr>
              <w:ind w:firstLine="0"/>
              <w:rPr>
                <w:szCs w:val="24"/>
              </w:rPr>
            </w:pPr>
            <w:r w:rsidRPr="00175E32">
              <w:rPr>
                <w:szCs w:val="24"/>
              </w:rPr>
              <w:t>Численность детей в возрасте 1-6 лет</w:t>
            </w:r>
          </w:p>
        </w:tc>
        <w:tc>
          <w:tcPr>
            <w:tcW w:w="836" w:type="pct"/>
            <w:tcBorders>
              <w:top w:val="single" w:sz="4" w:space="0" w:color="000000"/>
              <w:left w:val="single" w:sz="4" w:space="0" w:color="000000"/>
              <w:bottom w:val="single" w:sz="4" w:space="0" w:color="000000"/>
              <w:right w:val="single" w:sz="4" w:space="0" w:color="000000"/>
            </w:tcBorders>
            <w:vAlign w:val="center"/>
          </w:tcPr>
          <w:p w14:paraId="27017EF7" w14:textId="77777777" w:rsidR="007A05CC" w:rsidRPr="00175E32" w:rsidRDefault="007A05CC" w:rsidP="00E17EEF">
            <w:pPr>
              <w:ind w:firstLine="0"/>
              <w:jc w:val="center"/>
              <w:rPr>
                <w:szCs w:val="24"/>
              </w:rPr>
            </w:pPr>
            <w:r w:rsidRPr="00175E32">
              <w:rPr>
                <w:szCs w:val="24"/>
              </w:rPr>
              <w:t>человек</w:t>
            </w:r>
          </w:p>
        </w:tc>
        <w:tc>
          <w:tcPr>
            <w:tcW w:w="827" w:type="pct"/>
            <w:tcBorders>
              <w:top w:val="single" w:sz="4" w:space="0" w:color="auto"/>
              <w:left w:val="single" w:sz="4" w:space="0" w:color="auto"/>
              <w:bottom w:val="single" w:sz="4" w:space="0" w:color="auto"/>
              <w:right w:val="single" w:sz="4" w:space="0" w:color="auto"/>
            </w:tcBorders>
            <w:shd w:val="clear" w:color="auto" w:fill="auto"/>
            <w:vAlign w:val="center"/>
          </w:tcPr>
          <w:p w14:paraId="7F707F27" w14:textId="77777777" w:rsidR="007A05CC" w:rsidRPr="00175E32" w:rsidRDefault="007A05CC" w:rsidP="00E17EEF">
            <w:pPr>
              <w:suppressAutoHyphens w:val="0"/>
              <w:ind w:firstLine="0"/>
              <w:jc w:val="center"/>
              <w:rPr>
                <w:szCs w:val="24"/>
                <w:lang w:eastAsia="ru-RU"/>
              </w:rPr>
            </w:pPr>
            <w:r w:rsidRPr="00175E32">
              <w:rPr>
                <w:szCs w:val="24"/>
                <w:lang w:eastAsia="ru-RU"/>
              </w:rPr>
              <w:t>49 830</w:t>
            </w:r>
          </w:p>
        </w:tc>
        <w:tc>
          <w:tcPr>
            <w:tcW w:w="825" w:type="pct"/>
            <w:tcBorders>
              <w:top w:val="single" w:sz="4" w:space="0" w:color="auto"/>
              <w:left w:val="nil"/>
              <w:bottom w:val="single" w:sz="4" w:space="0" w:color="auto"/>
              <w:right w:val="single" w:sz="4" w:space="0" w:color="auto"/>
            </w:tcBorders>
            <w:shd w:val="clear" w:color="auto" w:fill="auto"/>
            <w:vAlign w:val="center"/>
          </w:tcPr>
          <w:p w14:paraId="19CAE891" w14:textId="77777777" w:rsidR="007A05CC" w:rsidRPr="00175E32" w:rsidRDefault="007A05CC" w:rsidP="00E17EEF">
            <w:pPr>
              <w:ind w:firstLine="0"/>
              <w:jc w:val="center"/>
              <w:rPr>
                <w:szCs w:val="24"/>
              </w:rPr>
            </w:pPr>
            <w:r w:rsidRPr="00175E32">
              <w:rPr>
                <w:szCs w:val="24"/>
              </w:rPr>
              <w:t>49 929</w:t>
            </w:r>
          </w:p>
        </w:tc>
        <w:tc>
          <w:tcPr>
            <w:tcW w:w="747" w:type="pct"/>
            <w:tcBorders>
              <w:top w:val="single" w:sz="4" w:space="0" w:color="000000"/>
              <w:left w:val="single" w:sz="4" w:space="0" w:color="000000"/>
              <w:bottom w:val="single" w:sz="4" w:space="0" w:color="000000"/>
              <w:right w:val="single" w:sz="4" w:space="0" w:color="auto"/>
            </w:tcBorders>
            <w:vAlign w:val="center"/>
          </w:tcPr>
          <w:p w14:paraId="1848BDA6" w14:textId="77777777" w:rsidR="007A05CC" w:rsidRPr="00175E32" w:rsidRDefault="007A05CC" w:rsidP="00E17EEF">
            <w:pPr>
              <w:shd w:val="clear" w:color="auto" w:fill="FFFFFF"/>
              <w:snapToGrid w:val="0"/>
              <w:ind w:firstLine="0"/>
              <w:jc w:val="center"/>
              <w:rPr>
                <w:szCs w:val="24"/>
                <w:shd w:val="clear" w:color="auto" w:fill="FFFFFF"/>
              </w:rPr>
            </w:pPr>
            <w:r w:rsidRPr="00175E32">
              <w:rPr>
                <w:szCs w:val="24"/>
                <w:shd w:val="clear" w:color="auto" w:fill="FFFFFF"/>
              </w:rPr>
              <w:t>49 871</w:t>
            </w:r>
          </w:p>
        </w:tc>
      </w:tr>
      <w:tr w:rsidR="007A05CC" w:rsidRPr="00175E32" w14:paraId="6CBCB3EA" w14:textId="77777777" w:rsidTr="00370A1A">
        <w:trPr>
          <w:trHeight w:val="694"/>
        </w:trPr>
        <w:tc>
          <w:tcPr>
            <w:tcW w:w="1765" w:type="pct"/>
            <w:tcBorders>
              <w:top w:val="single" w:sz="4" w:space="0" w:color="000000"/>
              <w:left w:val="single" w:sz="4" w:space="0" w:color="000000"/>
              <w:bottom w:val="single" w:sz="4" w:space="0" w:color="000000"/>
            </w:tcBorders>
          </w:tcPr>
          <w:p w14:paraId="5300B98F" w14:textId="77777777" w:rsidR="007A05CC" w:rsidRPr="00175E32" w:rsidRDefault="007A05CC" w:rsidP="00E17EEF">
            <w:pPr>
              <w:ind w:firstLine="0"/>
              <w:rPr>
                <w:szCs w:val="24"/>
              </w:rPr>
            </w:pPr>
            <w:r w:rsidRPr="00175E32">
              <w:rPr>
                <w:szCs w:val="24"/>
              </w:rPr>
              <w:t>Численность детей в дошкольных образовательных учреждениях</w:t>
            </w:r>
          </w:p>
        </w:tc>
        <w:tc>
          <w:tcPr>
            <w:tcW w:w="836" w:type="pct"/>
            <w:tcBorders>
              <w:top w:val="single" w:sz="4" w:space="0" w:color="000000"/>
              <w:left w:val="single" w:sz="4" w:space="0" w:color="000000"/>
              <w:bottom w:val="single" w:sz="4" w:space="0" w:color="000000"/>
              <w:right w:val="single" w:sz="4" w:space="0" w:color="000000"/>
            </w:tcBorders>
            <w:vAlign w:val="center"/>
          </w:tcPr>
          <w:p w14:paraId="5DDB96A3" w14:textId="77777777" w:rsidR="007A05CC" w:rsidRPr="00175E32" w:rsidRDefault="007A05CC" w:rsidP="00E17EEF">
            <w:pPr>
              <w:ind w:firstLine="0"/>
              <w:jc w:val="center"/>
              <w:rPr>
                <w:szCs w:val="24"/>
              </w:rPr>
            </w:pPr>
            <w:r w:rsidRPr="00175E32">
              <w:rPr>
                <w:szCs w:val="24"/>
              </w:rPr>
              <w:t>человек</w:t>
            </w:r>
          </w:p>
        </w:tc>
        <w:tc>
          <w:tcPr>
            <w:tcW w:w="827" w:type="pct"/>
            <w:tcBorders>
              <w:top w:val="nil"/>
              <w:left w:val="single" w:sz="4" w:space="0" w:color="auto"/>
              <w:bottom w:val="single" w:sz="4" w:space="0" w:color="auto"/>
              <w:right w:val="single" w:sz="4" w:space="0" w:color="auto"/>
            </w:tcBorders>
            <w:shd w:val="clear" w:color="auto" w:fill="auto"/>
            <w:vAlign w:val="center"/>
          </w:tcPr>
          <w:p w14:paraId="4C2ED670" w14:textId="77777777" w:rsidR="007A05CC" w:rsidRPr="00175E32" w:rsidRDefault="007A05CC" w:rsidP="00E17EEF">
            <w:pPr>
              <w:ind w:firstLine="0"/>
              <w:jc w:val="center"/>
              <w:rPr>
                <w:szCs w:val="24"/>
              </w:rPr>
            </w:pPr>
            <w:r w:rsidRPr="00175E32">
              <w:rPr>
                <w:szCs w:val="24"/>
              </w:rPr>
              <w:t>41 740</w:t>
            </w:r>
          </w:p>
        </w:tc>
        <w:tc>
          <w:tcPr>
            <w:tcW w:w="825" w:type="pct"/>
            <w:tcBorders>
              <w:top w:val="nil"/>
              <w:left w:val="nil"/>
              <w:bottom w:val="single" w:sz="4" w:space="0" w:color="auto"/>
              <w:right w:val="single" w:sz="4" w:space="0" w:color="auto"/>
            </w:tcBorders>
            <w:shd w:val="clear" w:color="auto" w:fill="auto"/>
            <w:vAlign w:val="center"/>
          </w:tcPr>
          <w:p w14:paraId="3BE55DC1" w14:textId="77777777" w:rsidR="007A05CC" w:rsidRPr="00175E32" w:rsidRDefault="007A05CC" w:rsidP="00E17EEF">
            <w:pPr>
              <w:ind w:firstLine="0"/>
              <w:jc w:val="center"/>
              <w:rPr>
                <w:szCs w:val="24"/>
              </w:rPr>
            </w:pPr>
            <w:r w:rsidRPr="00175E32">
              <w:rPr>
                <w:szCs w:val="24"/>
              </w:rPr>
              <w:t>42 222</w:t>
            </w:r>
          </w:p>
        </w:tc>
        <w:tc>
          <w:tcPr>
            <w:tcW w:w="747" w:type="pct"/>
            <w:tcBorders>
              <w:top w:val="single" w:sz="4" w:space="0" w:color="000000"/>
              <w:left w:val="single" w:sz="4" w:space="0" w:color="000000"/>
              <w:bottom w:val="single" w:sz="4" w:space="0" w:color="000000"/>
              <w:right w:val="single" w:sz="4" w:space="0" w:color="auto"/>
            </w:tcBorders>
            <w:vAlign w:val="center"/>
          </w:tcPr>
          <w:p w14:paraId="694A917F" w14:textId="77777777" w:rsidR="007A05CC" w:rsidRPr="00175E32" w:rsidRDefault="00CF6F12" w:rsidP="00E17EEF">
            <w:pPr>
              <w:ind w:firstLine="0"/>
              <w:jc w:val="center"/>
              <w:rPr>
                <w:szCs w:val="24"/>
              </w:rPr>
            </w:pPr>
            <w:r w:rsidRPr="00175E32">
              <w:rPr>
                <w:szCs w:val="24"/>
              </w:rPr>
              <w:t>39 208</w:t>
            </w:r>
          </w:p>
        </w:tc>
      </w:tr>
      <w:tr w:rsidR="007A05CC" w:rsidRPr="00175E32" w14:paraId="0BE1022E" w14:textId="77777777" w:rsidTr="00370A1A">
        <w:trPr>
          <w:trHeight w:val="703"/>
        </w:trPr>
        <w:tc>
          <w:tcPr>
            <w:tcW w:w="1765" w:type="pct"/>
            <w:tcBorders>
              <w:top w:val="single" w:sz="4" w:space="0" w:color="000000"/>
              <w:left w:val="single" w:sz="4" w:space="0" w:color="000000"/>
              <w:bottom w:val="single" w:sz="4" w:space="0" w:color="000000"/>
            </w:tcBorders>
          </w:tcPr>
          <w:p w14:paraId="1E4EFEBD" w14:textId="77777777" w:rsidR="007A05CC" w:rsidRPr="00175E32" w:rsidRDefault="007A05CC" w:rsidP="00E17EEF">
            <w:pPr>
              <w:ind w:firstLine="0"/>
              <w:rPr>
                <w:szCs w:val="24"/>
              </w:rPr>
            </w:pPr>
            <w:r w:rsidRPr="00175E32">
              <w:rPr>
                <w:szCs w:val="24"/>
              </w:rPr>
              <w:lastRenderedPageBreak/>
              <w:t>Численность детей, состоящих на учете для определения в дошкольные образовательные учреждения</w:t>
            </w:r>
          </w:p>
        </w:tc>
        <w:tc>
          <w:tcPr>
            <w:tcW w:w="836" w:type="pct"/>
            <w:tcBorders>
              <w:top w:val="single" w:sz="4" w:space="0" w:color="000000"/>
              <w:left w:val="single" w:sz="4" w:space="0" w:color="000000"/>
              <w:bottom w:val="single" w:sz="4" w:space="0" w:color="000000"/>
              <w:right w:val="single" w:sz="4" w:space="0" w:color="000000"/>
            </w:tcBorders>
            <w:vAlign w:val="center"/>
          </w:tcPr>
          <w:p w14:paraId="578F4D55" w14:textId="77777777" w:rsidR="007A05CC" w:rsidRPr="00175E32" w:rsidRDefault="007A05CC" w:rsidP="00E17EEF">
            <w:pPr>
              <w:ind w:firstLine="0"/>
              <w:jc w:val="center"/>
              <w:rPr>
                <w:szCs w:val="24"/>
              </w:rPr>
            </w:pPr>
            <w:r w:rsidRPr="00175E32">
              <w:rPr>
                <w:szCs w:val="24"/>
              </w:rPr>
              <w:t>человек</w:t>
            </w:r>
          </w:p>
        </w:tc>
        <w:tc>
          <w:tcPr>
            <w:tcW w:w="827" w:type="pct"/>
            <w:tcBorders>
              <w:top w:val="nil"/>
              <w:left w:val="single" w:sz="4" w:space="0" w:color="auto"/>
              <w:bottom w:val="single" w:sz="4" w:space="0" w:color="auto"/>
              <w:right w:val="single" w:sz="4" w:space="0" w:color="auto"/>
            </w:tcBorders>
            <w:shd w:val="clear" w:color="auto" w:fill="auto"/>
            <w:vAlign w:val="center"/>
          </w:tcPr>
          <w:p w14:paraId="2F96AA52" w14:textId="77777777" w:rsidR="007A05CC" w:rsidRPr="00175E32" w:rsidRDefault="007A05CC" w:rsidP="00E17EEF">
            <w:pPr>
              <w:ind w:firstLine="0"/>
              <w:jc w:val="center"/>
              <w:rPr>
                <w:szCs w:val="24"/>
              </w:rPr>
            </w:pPr>
            <w:r w:rsidRPr="00175E32">
              <w:rPr>
                <w:szCs w:val="24"/>
              </w:rPr>
              <w:t>8 661</w:t>
            </w:r>
          </w:p>
        </w:tc>
        <w:tc>
          <w:tcPr>
            <w:tcW w:w="825" w:type="pct"/>
            <w:tcBorders>
              <w:top w:val="nil"/>
              <w:left w:val="nil"/>
              <w:bottom w:val="single" w:sz="4" w:space="0" w:color="auto"/>
              <w:right w:val="single" w:sz="4" w:space="0" w:color="auto"/>
            </w:tcBorders>
            <w:shd w:val="clear" w:color="auto" w:fill="auto"/>
            <w:vAlign w:val="center"/>
          </w:tcPr>
          <w:p w14:paraId="4210C99B" w14:textId="77777777" w:rsidR="007A05CC" w:rsidRPr="00175E32" w:rsidRDefault="007A05CC" w:rsidP="00E17EEF">
            <w:pPr>
              <w:ind w:firstLine="0"/>
              <w:jc w:val="center"/>
              <w:rPr>
                <w:szCs w:val="24"/>
              </w:rPr>
            </w:pPr>
            <w:r w:rsidRPr="00175E32">
              <w:rPr>
                <w:szCs w:val="24"/>
              </w:rPr>
              <w:t>8 179</w:t>
            </w:r>
          </w:p>
        </w:tc>
        <w:tc>
          <w:tcPr>
            <w:tcW w:w="747" w:type="pct"/>
            <w:tcBorders>
              <w:top w:val="single" w:sz="4" w:space="0" w:color="000000"/>
              <w:left w:val="single" w:sz="4" w:space="0" w:color="000000"/>
              <w:bottom w:val="single" w:sz="4" w:space="0" w:color="000000"/>
              <w:right w:val="single" w:sz="4" w:space="0" w:color="auto"/>
            </w:tcBorders>
            <w:vAlign w:val="center"/>
          </w:tcPr>
          <w:p w14:paraId="19131388" w14:textId="77777777" w:rsidR="007A05CC" w:rsidRPr="00175E32" w:rsidRDefault="007A05CC" w:rsidP="00E17EEF">
            <w:pPr>
              <w:ind w:firstLine="0"/>
              <w:jc w:val="center"/>
              <w:rPr>
                <w:szCs w:val="24"/>
              </w:rPr>
            </w:pPr>
            <w:r w:rsidRPr="00175E32">
              <w:rPr>
                <w:szCs w:val="24"/>
              </w:rPr>
              <w:t>6 675</w:t>
            </w:r>
          </w:p>
        </w:tc>
      </w:tr>
      <w:tr w:rsidR="007A05CC" w:rsidRPr="00175E32" w14:paraId="78AC4E4A" w14:textId="77777777" w:rsidTr="00370A1A">
        <w:trPr>
          <w:trHeight w:val="347"/>
        </w:trPr>
        <w:tc>
          <w:tcPr>
            <w:tcW w:w="1765" w:type="pct"/>
            <w:tcBorders>
              <w:top w:val="single" w:sz="4" w:space="0" w:color="000000"/>
              <w:left w:val="single" w:sz="4" w:space="0" w:color="000000"/>
              <w:bottom w:val="single" w:sz="4" w:space="0" w:color="000000"/>
            </w:tcBorders>
          </w:tcPr>
          <w:p w14:paraId="521D53E9" w14:textId="77777777" w:rsidR="007A05CC" w:rsidRPr="00175E32" w:rsidRDefault="007A05CC" w:rsidP="00E17EEF">
            <w:pPr>
              <w:ind w:firstLine="0"/>
              <w:rPr>
                <w:szCs w:val="24"/>
              </w:rPr>
            </w:pPr>
            <w:r w:rsidRPr="00175E32">
              <w:rPr>
                <w:szCs w:val="24"/>
              </w:rPr>
              <w:t>в т.ч. в возрасте 3-6 лет</w:t>
            </w:r>
          </w:p>
        </w:tc>
        <w:tc>
          <w:tcPr>
            <w:tcW w:w="836" w:type="pct"/>
            <w:tcBorders>
              <w:top w:val="single" w:sz="4" w:space="0" w:color="000000"/>
              <w:left w:val="single" w:sz="4" w:space="0" w:color="000000"/>
              <w:bottom w:val="single" w:sz="4" w:space="0" w:color="000000"/>
              <w:right w:val="single" w:sz="4" w:space="0" w:color="000000"/>
            </w:tcBorders>
            <w:vAlign w:val="center"/>
          </w:tcPr>
          <w:p w14:paraId="4A28EA22" w14:textId="77777777" w:rsidR="007A05CC" w:rsidRPr="00175E32" w:rsidRDefault="007A05CC" w:rsidP="00E17EEF">
            <w:pPr>
              <w:ind w:firstLine="0"/>
              <w:jc w:val="center"/>
              <w:rPr>
                <w:szCs w:val="24"/>
              </w:rPr>
            </w:pPr>
            <w:r w:rsidRPr="00175E32">
              <w:rPr>
                <w:szCs w:val="24"/>
              </w:rPr>
              <w:t>человек</w:t>
            </w:r>
          </w:p>
        </w:tc>
        <w:tc>
          <w:tcPr>
            <w:tcW w:w="827" w:type="pct"/>
            <w:tcBorders>
              <w:top w:val="nil"/>
              <w:left w:val="single" w:sz="4" w:space="0" w:color="auto"/>
              <w:bottom w:val="single" w:sz="4" w:space="0" w:color="auto"/>
              <w:right w:val="single" w:sz="4" w:space="0" w:color="auto"/>
            </w:tcBorders>
            <w:shd w:val="clear" w:color="auto" w:fill="auto"/>
            <w:vAlign w:val="center"/>
          </w:tcPr>
          <w:p w14:paraId="1EAB080D" w14:textId="77777777" w:rsidR="007A05CC" w:rsidRPr="00175E32" w:rsidRDefault="007A05CC" w:rsidP="00E17EEF">
            <w:pPr>
              <w:ind w:firstLine="0"/>
              <w:jc w:val="center"/>
              <w:rPr>
                <w:szCs w:val="24"/>
              </w:rPr>
            </w:pPr>
            <w:r w:rsidRPr="00175E32">
              <w:rPr>
                <w:szCs w:val="24"/>
              </w:rPr>
              <w:t>0</w:t>
            </w:r>
          </w:p>
        </w:tc>
        <w:tc>
          <w:tcPr>
            <w:tcW w:w="825" w:type="pct"/>
            <w:tcBorders>
              <w:top w:val="nil"/>
              <w:left w:val="nil"/>
              <w:bottom w:val="single" w:sz="4" w:space="0" w:color="auto"/>
              <w:right w:val="single" w:sz="4" w:space="0" w:color="auto"/>
            </w:tcBorders>
            <w:shd w:val="clear" w:color="auto" w:fill="auto"/>
            <w:vAlign w:val="center"/>
          </w:tcPr>
          <w:p w14:paraId="22608B34" w14:textId="77777777" w:rsidR="007A05CC" w:rsidRPr="00175E32" w:rsidRDefault="007A05CC" w:rsidP="00E17EEF">
            <w:pPr>
              <w:ind w:firstLine="0"/>
              <w:jc w:val="center"/>
              <w:rPr>
                <w:szCs w:val="24"/>
              </w:rPr>
            </w:pPr>
            <w:r w:rsidRPr="00175E32">
              <w:rPr>
                <w:szCs w:val="24"/>
              </w:rPr>
              <w:t>0</w:t>
            </w:r>
          </w:p>
        </w:tc>
        <w:tc>
          <w:tcPr>
            <w:tcW w:w="747" w:type="pct"/>
            <w:tcBorders>
              <w:top w:val="single" w:sz="4" w:space="0" w:color="000000"/>
              <w:left w:val="single" w:sz="4" w:space="0" w:color="000000"/>
              <w:bottom w:val="single" w:sz="4" w:space="0" w:color="000000"/>
              <w:right w:val="single" w:sz="4" w:space="0" w:color="auto"/>
            </w:tcBorders>
            <w:vAlign w:val="center"/>
          </w:tcPr>
          <w:p w14:paraId="6CC9115F" w14:textId="77777777" w:rsidR="007A05CC" w:rsidRPr="00175E32" w:rsidRDefault="007A05CC" w:rsidP="00E17EEF">
            <w:pPr>
              <w:ind w:firstLine="0"/>
              <w:jc w:val="center"/>
              <w:rPr>
                <w:szCs w:val="24"/>
              </w:rPr>
            </w:pPr>
            <w:r w:rsidRPr="00175E32">
              <w:rPr>
                <w:szCs w:val="24"/>
              </w:rPr>
              <w:t>0</w:t>
            </w:r>
          </w:p>
        </w:tc>
      </w:tr>
      <w:tr w:rsidR="007A05CC" w:rsidRPr="00175E32" w14:paraId="21FD6CDD" w14:textId="77777777" w:rsidTr="00370A1A">
        <w:trPr>
          <w:trHeight w:val="703"/>
        </w:trPr>
        <w:tc>
          <w:tcPr>
            <w:tcW w:w="1765" w:type="pct"/>
            <w:tcBorders>
              <w:top w:val="single" w:sz="4" w:space="0" w:color="000000"/>
              <w:left w:val="single" w:sz="4" w:space="0" w:color="000000"/>
              <w:bottom w:val="single" w:sz="4" w:space="0" w:color="000000"/>
            </w:tcBorders>
          </w:tcPr>
          <w:p w14:paraId="05445290" w14:textId="77777777" w:rsidR="007A05CC" w:rsidRPr="00C3522F" w:rsidRDefault="007A05CC" w:rsidP="00E17EEF">
            <w:pPr>
              <w:ind w:firstLine="0"/>
              <w:rPr>
                <w:szCs w:val="24"/>
              </w:rPr>
            </w:pPr>
            <w:r w:rsidRPr="00C3522F">
              <w:rPr>
                <w:szCs w:val="24"/>
              </w:rPr>
              <w:t>Обеспеченность дошкольными образовательными учреждениями</w:t>
            </w:r>
          </w:p>
        </w:tc>
        <w:tc>
          <w:tcPr>
            <w:tcW w:w="836" w:type="pct"/>
            <w:tcBorders>
              <w:top w:val="single" w:sz="4" w:space="0" w:color="000000"/>
              <w:left w:val="single" w:sz="4" w:space="0" w:color="000000"/>
              <w:bottom w:val="single" w:sz="4" w:space="0" w:color="000000"/>
              <w:right w:val="single" w:sz="4" w:space="0" w:color="000000"/>
            </w:tcBorders>
            <w:vAlign w:val="center"/>
          </w:tcPr>
          <w:p w14:paraId="29202486" w14:textId="77777777" w:rsidR="007A05CC" w:rsidRPr="00C3522F" w:rsidRDefault="007A05CC" w:rsidP="00E17EEF">
            <w:pPr>
              <w:ind w:firstLine="0"/>
              <w:jc w:val="center"/>
              <w:rPr>
                <w:szCs w:val="24"/>
              </w:rPr>
            </w:pPr>
            <w:r w:rsidRPr="00C3522F">
              <w:rPr>
                <w:szCs w:val="24"/>
              </w:rPr>
              <w:t xml:space="preserve">мест на 1000 детей в возрасте </w:t>
            </w:r>
            <w:r w:rsidR="00370A1A" w:rsidRPr="00C3522F">
              <w:rPr>
                <w:szCs w:val="24"/>
              </w:rPr>
              <w:br/>
            </w:r>
            <w:r w:rsidRPr="00C3522F">
              <w:rPr>
                <w:szCs w:val="24"/>
              </w:rPr>
              <w:t>3-6 лет</w:t>
            </w:r>
          </w:p>
        </w:tc>
        <w:tc>
          <w:tcPr>
            <w:tcW w:w="827" w:type="pct"/>
            <w:tcBorders>
              <w:top w:val="nil"/>
              <w:left w:val="single" w:sz="4" w:space="0" w:color="auto"/>
              <w:bottom w:val="single" w:sz="4" w:space="0" w:color="auto"/>
              <w:right w:val="single" w:sz="4" w:space="0" w:color="auto"/>
            </w:tcBorders>
            <w:shd w:val="clear" w:color="auto" w:fill="auto"/>
            <w:vAlign w:val="center"/>
          </w:tcPr>
          <w:p w14:paraId="5125E3B9" w14:textId="77777777" w:rsidR="007A05CC" w:rsidRPr="00C3522F" w:rsidRDefault="007A05CC" w:rsidP="00E17EEF">
            <w:pPr>
              <w:ind w:firstLine="0"/>
              <w:jc w:val="center"/>
              <w:rPr>
                <w:szCs w:val="24"/>
              </w:rPr>
            </w:pPr>
            <w:r w:rsidRPr="00C3522F">
              <w:rPr>
                <w:szCs w:val="24"/>
              </w:rPr>
              <w:t>912</w:t>
            </w:r>
          </w:p>
        </w:tc>
        <w:tc>
          <w:tcPr>
            <w:tcW w:w="825" w:type="pct"/>
            <w:tcBorders>
              <w:top w:val="nil"/>
              <w:left w:val="nil"/>
              <w:bottom w:val="single" w:sz="4" w:space="0" w:color="auto"/>
              <w:right w:val="single" w:sz="4" w:space="0" w:color="auto"/>
            </w:tcBorders>
            <w:shd w:val="clear" w:color="auto" w:fill="auto"/>
            <w:vAlign w:val="center"/>
          </w:tcPr>
          <w:p w14:paraId="359E0F24" w14:textId="77777777" w:rsidR="007A05CC" w:rsidRPr="00C3522F" w:rsidRDefault="007A05CC" w:rsidP="00E17EEF">
            <w:pPr>
              <w:ind w:firstLine="0"/>
              <w:jc w:val="center"/>
              <w:rPr>
                <w:szCs w:val="24"/>
              </w:rPr>
            </w:pPr>
            <w:r w:rsidRPr="00C3522F">
              <w:rPr>
                <w:szCs w:val="24"/>
              </w:rPr>
              <w:t>914</w:t>
            </w:r>
          </w:p>
        </w:tc>
        <w:tc>
          <w:tcPr>
            <w:tcW w:w="747" w:type="pct"/>
            <w:tcBorders>
              <w:top w:val="single" w:sz="4" w:space="0" w:color="000000"/>
              <w:left w:val="single" w:sz="4" w:space="0" w:color="000000"/>
              <w:bottom w:val="single" w:sz="4" w:space="0" w:color="000000"/>
              <w:right w:val="single" w:sz="4" w:space="0" w:color="auto"/>
            </w:tcBorders>
            <w:vAlign w:val="center"/>
          </w:tcPr>
          <w:p w14:paraId="0BB7B73E" w14:textId="77777777" w:rsidR="007A05CC" w:rsidRPr="00175E32" w:rsidRDefault="007A05CC" w:rsidP="00E17EEF">
            <w:pPr>
              <w:ind w:firstLine="0"/>
              <w:jc w:val="center"/>
              <w:rPr>
                <w:szCs w:val="24"/>
              </w:rPr>
            </w:pPr>
            <w:r w:rsidRPr="00C3522F">
              <w:rPr>
                <w:szCs w:val="24"/>
              </w:rPr>
              <w:t>910</w:t>
            </w:r>
          </w:p>
        </w:tc>
      </w:tr>
      <w:tr w:rsidR="007A05CC" w:rsidRPr="00175E32" w14:paraId="69C24039" w14:textId="77777777" w:rsidTr="00370A1A">
        <w:trPr>
          <w:trHeight w:val="526"/>
        </w:trPr>
        <w:tc>
          <w:tcPr>
            <w:tcW w:w="1765" w:type="pct"/>
            <w:tcBorders>
              <w:top w:val="single" w:sz="4" w:space="0" w:color="000000"/>
              <w:left w:val="single" w:sz="4" w:space="0" w:color="000000"/>
              <w:bottom w:val="single" w:sz="4" w:space="0" w:color="000000"/>
            </w:tcBorders>
          </w:tcPr>
          <w:p w14:paraId="12461BA0" w14:textId="77777777" w:rsidR="007A05CC" w:rsidRPr="00175E32" w:rsidRDefault="007A05CC" w:rsidP="00E17EEF">
            <w:pPr>
              <w:ind w:firstLine="0"/>
              <w:rPr>
                <w:szCs w:val="24"/>
              </w:rPr>
            </w:pPr>
            <w:r w:rsidRPr="00175E32">
              <w:rPr>
                <w:szCs w:val="24"/>
              </w:rPr>
              <w:t>Численность детей в возрасте 7-17 лет</w:t>
            </w:r>
          </w:p>
        </w:tc>
        <w:tc>
          <w:tcPr>
            <w:tcW w:w="836" w:type="pct"/>
            <w:tcBorders>
              <w:top w:val="single" w:sz="4" w:space="0" w:color="000000"/>
              <w:left w:val="single" w:sz="4" w:space="0" w:color="000000"/>
              <w:bottom w:val="single" w:sz="4" w:space="0" w:color="000000"/>
              <w:right w:val="single" w:sz="4" w:space="0" w:color="000000"/>
            </w:tcBorders>
            <w:vAlign w:val="center"/>
          </w:tcPr>
          <w:p w14:paraId="269E8B97" w14:textId="77777777" w:rsidR="007A05CC" w:rsidRPr="00175E32" w:rsidRDefault="007A05CC" w:rsidP="00E17EEF">
            <w:pPr>
              <w:ind w:firstLine="0"/>
              <w:jc w:val="center"/>
              <w:rPr>
                <w:szCs w:val="24"/>
              </w:rPr>
            </w:pPr>
            <w:r w:rsidRPr="00175E32">
              <w:rPr>
                <w:szCs w:val="24"/>
              </w:rPr>
              <w:t>человек</w:t>
            </w:r>
          </w:p>
        </w:tc>
        <w:tc>
          <w:tcPr>
            <w:tcW w:w="827" w:type="pct"/>
            <w:tcBorders>
              <w:top w:val="nil"/>
              <w:left w:val="single" w:sz="4" w:space="0" w:color="auto"/>
              <w:bottom w:val="single" w:sz="4" w:space="0" w:color="auto"/>
              <w:right w:val="single" w:sz="4" w:space="0" w:color="auto"/>
            </w:tcBorders>
            <w:shd w:val="clear" w:color="auto" w:fill="auto"/>
            <w:vAlign w:val="center"/>
          </w:tcPr>
          <w:p w14:paraId="2B5DD7C1" w14:textId="77777777" w:rsidR="007A05CC" w:rsidRPr="00175E32" w:rsidRDefault="007A05CC" w:rsidP="00E17EEF">
            <w:pPr>
              <w:ind w:firstLine="0"/>
              <w:jc w:val="center"/>
              <w:rPr>
                <w:szCs w:val="24"/>
              </w:rPr>
            </w:pPr>
            <w:r w:rsidRPr="00175E32">
              <w:rPr>
                <w:szCs w:val="24"/>
              </w:rPr>
              <w:t>82 900</w:t>
            </w:r>
          </w:p>
        </w:tc>
        <w:tc>
          <w:tcPr>
            <w:tcW w:w="825" w:type="pct"/>
            <w:tcBorders>
              <w:top w:val="nil"/>
              <w:left w:val="nil"/>
              <w:bottom w:val="single" w:sz="4" w:space="0" w:color="auto"/>
              <w:right w:val="single" w:sz="4" w:space="0" w:color="auto"/>
            </w:tcBorders>
            <w:shd w:val="clear" w:color="auto" w:fill="auto"/>
            <w:vAlign w:val="center"/>
          </w:tcPr>
          <w:p w14:paraId="4A2ACDEC" w14:textId="77777777" w:rsidR="007A05CC" w:rsidRPr="00175E32" w:rsidRDefault="007A05CC" w:rsidP="00E17EEF">
            <w:pPr>
              <w:ind w:firstLine="0"/>
              <w:jc w:val="center"/>
              <w:rPr>
                <w:szCs w:val="24"/>
              </w:rPr>
            </w:pPr>
            <w:r w:rsidRPr="00175E32">
              <w:rPr>
                <w:szCs w:val="24"/>
              </w:rPr>
              <w:t>83 016</w:t>
            </w:r>
          </w:p>
        </w:tc>
        <w:tc>
          <w:tcPr>
            <w:tcW w:w="747" w:type="pct"/>
            <w:tcBorders>
              <w:top w:val="single" w:sz="4" w:space="0" w:color="000000"/>
              <w:left w:val="single" w:sz="4" w:space="0" w:color="000000"/>
              <w:bottom w:val="single" w:sz="4" w:space="0" w:color="000000"/>
              <w:right w:val="single" w:sz="4" w:space="0" w:color="auto"/>
            </w:tcBorders>
            <w:vAlign w:val="center"/>
          </w:tcPr>
          <w:p w14:paraId="672AA329" w14:textId="77777777" w:rsidR="007A05CC" w:rsidRPr="00175E32" w:rsidRDefault="007A05CC" w:rsidP="00E17EEF">
            <w:pPr>
              <w:ind w:firstLine="0"/>
              <w:jc w:val="center"/>
              <w:rPr>
                <w:szCs w:val="24"/>
              </w:rPr>
            </w:pPr>
            <w:r w:rsidRPr="00175E32">
              <w:rPr>
                <w:szCs w:val="24"/>
              </w:rPr>
              <w:t>82 534</w:t>
            </w:r>
          </w:p>
        </w:tc>
      </w:tr>
      <w:tr w:rsidR="007A05CC" w:rsidRPr="00175E32" w14:paraId="55781D61" w14:textId="77777777" w:rsidTr="00370A1A">
        <w:trPr>
          <w:trHeight w:val="703"/>
        </w:trPr>
        <w:tc>
          <w:tcPr>
            <w:tcW w:w="1765" w:type="pct"/>
            <w:tcBorders>
              <w:top w:val="single" w:sz="4" w:space="0" w:color="000000"/>
              <w:left w:val="single" w:sz="4" w:space="0" w:color="000000"/>
              <w:bottom w:val="single" w:sz="4" w:space="0" w:color="000000"/>
            </w:tcBorders>
          </w:tcPr>
          <w:p w14:paraId="5C26ACDD" w14:textId="77777777" w:rsidR="007A05CC" w:rsidRPr="00175E32" w:rsidRDefault="007A05CC" w:rsidP="00E17EEF">
            <w:pPr>
              <w:ind w:firstLine="0"/>
              <w:rPr>
                <w:szCs w:val="24"/>
              </w:rPr>
            </w:pPr>
            <w:r w:rsidRPr="00175E32">
              <w:rPr>
                <w:szCs w:val="24"/>
              </w:rPr>
              <w:t>Доля обучающихся в дневных муниципальных общеобразовательных учреждениях, занимающихся в первую смену</w:t>
            </w:r>
          </w:p>
        </w:tc>
        <w:tc>
          <w:tcPr>
            <w:tcW w:w="836" w:type="pct"/>
            <w:tcBorders>
              <w:top w:val="single" w:sz="4" w:space="0" w:color="000000"/>
              <w:left w:val="single" w:sz="4" w:space="0" w:color="000000"/>
              <w:bottom w:val="single" w:sz="4" w:space="0" w:color="000000"/>
              <w:right w:val="single" w:sz="4" w:space="0" w:color="000000"/>
            </w:tcBorders>
            <w:vAlign w:val="center"/>
          </w:tcPr>
          <w:p w14:paraId="52C2722D" w14:textId="77777777" w:rsidR="007A05CC" w:rsidRPr="00175E32" w:rsidRDefault="007A05CC" w:rsidP="00E17EEF">
            <w:pPr>
              <w:ind w:firstLine="0"/>
              <w:jc w:val="center"/>
              <w:rPr>
                <w:szCs w:val="24"/>
              </w:rPr>
            </w:pPr>
            <w:r w:rsidRPr="00175E32">
              <w:rPr>
                <w:szCs w:val="24"/>
              </w:rPr>
              <w:t>%</w:t>
            </w:r>
          </w:p>
        </w:tc>
        <w:tc>
          <w:tcPr>
            <w:tcW w:w="827" w:type="pct"/>
            <w:tcBorders>
              <w:top w:val="nil"/>
              <w:left w:val="single" w:sz="4" w:space="0" w:color="auto"/>
              <w:bottom w:val="single" w:sz="4" w:space="0" w:color="auto"/>
              <w:right w:val="single" w:sz="4" w:space="0" w:color="auto"/>
            </w:tcBorders>
            <w:shd w:val="clear" w:color="auto" w:fill="auto"/>
            <w:vAlign w:val="center"/>
          </w:tcPr>
          <w:p w14:paraId="08A304AA" w14:textId="77777777" w:rsidR="007A05CC" w:rsidRPr="00175E32" w:rsidRDefault="007A05CC" w:rsidP="00E17EEF">
            <w:pPr>
              <w:ind w:firstLine="0"/>
              <w:jc w:val="center"/>
              <w:rPr>
                <w:szCs w:val="24"/>
              </w:rPr>
            </w:pPr>
            <w:r w:rsidRPr="00175E32">
              <w:rPr>
                <w:szCs w:val="24"/>
              </w:rPr>
              <w:t>96,7</w:t>
            </w:r>
          </w:p>
        </w:tc>
        <w:tc>
          <w:tcPr>
            <w:tcW w:w="825" w:type="pct"/>
            <w:tcBorders>
              <w:top w:val="nil"/>
              <w:left w:val="nil"/>
              <w:bottom w:val="single" w:sz="4" w:space="0" w:color="auto"/>
              <w:right w:val="single" w:sz="4" w:space="0" w:color="auto"/>
            </w:tcBorders>
            <w:shd w:val="clear" w:color="auto" w:fill="auto"/>
            <w:vAlign w:val="center"/>
          </w:tcPr>
          <w:p w14:paraId="70F698D7" w14:textId="77777777" w:rsidR="007A05CC" w:rsidRPr="00175E32" w:rsidRDefault="007A05CC" w:rsidP="00E17EEF">
            <w:pPr>
              <w:ind w:firstLine="0"/>
              <w:jc w:val="center"/>
              <w:rPr>
                <w:szCs w:val="24"/>
              </w:rPr>
            </w:pPr>
            <w:r w:rsidRPr="00175E32">
              <w:rPr>
                <w:szCs w:val="24"/>
              </w:rPr>
              <w:t>96,8</w:t>
            </w:r>
          </w:p>
        </w:tc>
        <w:tc>
          <w:tcPr>
            <w:tcW w:w="747" w:type="pct"/>
            <w:tcBorders>
              <w:top w:val="single" w:sz="4" w:space="0" w:color="000000"/>
              <w:left w:val="single" w:sz="4" w:space="0" w:color="000000"/>
              <w:bottom w:val="single" w:sz="4" w:space="0" w:color="000000"/>
              <w:right w:val="single" w:sz="4" w:space="0" w:color="auto"/>
            </w:tcBorders>
            <w:vAlign w:val="center"/>
          </w:tcPr>
          <w:p w14:paraId="3F525AF4" w14:textId="77777777" w:rsidR="007A05CC" w:rsidRPr="00175E32" w:rsidRDefault="007A05CC" w:rsidP="00E17EEF">
            <w:pPr>
              <w:ind w:firstLine="0"/>
              <w:jc w:val="center"/>
              <w:rPr>
                <w:szCs w:val="24"/>
              </w:rPr>
            </w:pPr>
            <w:r w:rsidRPr="00175E32">
              <w:rPr>
                <w:szCs w:val="24"/>
              </w:rPr>
              <w:t>96,7</w:t>
            </w:r>
          </w:p>
        </w:tc>
      </w:tr>
      <w:tr w:rsidR="007A05CC" w:rsidRPr="00175E32" w14:paraId="22247C35" w14:textId="77777777" w:rsidTr="00370A1A">
        <w:trPr>
          <w:trHeight w:val="70"/>
        </w:trPr>
        <w:tc>
          <w:tcPr>
            <w:tcW w:w="1765" w:type="pct"/>
            <w:tcBorders>
              <w:top w:val="single" w:sz="4" w:space="0" w:color="000000"/>
              <w:left w:val="single" w:sz="4" w:space="0" w:color="000000"/>
              <w:bottom w:val="single" w:sz="4" w:space="0" w:color="000000"/>
            </w:tcBorders>
          </w:tcPr>
          <w:p w14:paraId="7C0BEACD" w14:textId="77777777" w:rsidR="007A05CC" w:rsidRPr="00175E32" w:rsidRDefault="007A05CC" w:rsidP="00E17EEF">
            <w:pPr>
              <w:ind w:firstLine="0"/>
              <w:rPr>
                <w:szCs w:val="24"/>
              </w:rPr>
            </w:pPr>
            <w:r w:rsidRPr="00175E32">
              <w:rPr>
                <w:szCs w:val="24"/>
              </w:rPr>
              <w:t>Охват дополнительным образованием детей в возрасте 5-18 лет</w:t>
            </w:r>
          </w:p>
        </w:tc>
        <w:tc>
          <w:tcPr>
            <w:tcW w:w="836" w:type="pct"/>
            <w:tcBorders>
              <w:top w:val="single" w:sz="4" w:space="0" w:color="000000"/>
              <w:left w:val="single" w:sz="4" w:space="0" w:color="000000"/>
              <w:bottom w:val="single" w:sz="4" w:space="0" w:color="000000"/>
              <w:right w:val="single" w:sz="4" w:space="0" w:color="000000"/>
            </w:tcBorders>
            <w:vAlign w:val="center"/>
          </w:tcPr>
          <w:p w14:paraId="703BAF22" w14:textId="77777777" w:rsidR="007A05CC" w:rsidRPr="00175E32" w:rsidRDefault="007A05CC" w:rsidP="00E17EEF">
            <w:pPr>
              <w:ind w:firstLine="0"/>
              <w:jc w:val="center"/>
              <w:rPr>
                <w:szCs w:val="24"/>
              </w:rPr>
            </w:pPr>
            <w:r w:rsidRPr="00175E32">
              <w:rPr>
                <w:szCs w:val="24"/>
              </w:rPr>
              <w:t>%</w:t>
            </w:r>
          </w:p>
        </w:tc>
        <w:tc>
          <w:tcPr>
            <w:tcW w:w="827" w:type="pct"/>
            <w:tcBorders>
              <w:top w:val="nil"/>
              <w:left w:val="single" w:sz="4" w:space="0" w:color="auto"/>
              <w:bottom w:val="single" w:sz="4" w:space="0" w:color="auto"/>
              <w:right w:val="single" w:sz="4" w:space="0" w:color="auto"/>
            </w:tcBorders>
            <w:shd w:val="clear" w:color="auto" w:fill="auto"/>
            <w:vAlign w:val="center"/>
          </w:tcPr>
          <w:p w14:paraId="3CBAA483" w14:textId="77777777" w:rsidR="007A05CC" w:rsidRPr="00175E32" w:rsidRDefault="007A05CC" w:rsidP="00E17EEF">
            <w:pPr>
              <w:ind w:firstLine="0"/>
              <w:jc w:val="center"/>
              <w:rPr>
                <w:szCs w:val="24"/>
              </w:rPr>
            </w:pPr>
            <w:r w:rsidRPr="00175E32">
              <w:rPr>
                <w:szCs w:val="24"/>
              </w:rPr>
              <w:t>76,8</w:t>
            </w:r>
          </w:p>
        </w:tc>
        <w:tc>
          <w:tcPr>
            <w:tcW w:w="825" w:type="pct"/>
            <w:tcBorders>
              <w:top w:val="nil"/>
              <w:left w:val="nil"/>
              <w:bottom w:val="single" w:sz="4" w:space="0" w:color="auto"/>
              <w:right w:val="single" w:sz="4" w:space="0" w:color="auto"/>
            </w:tcBorders>
            <w:shd w:val="clear" w:color="auto" w:fill="auto"/>
            <w:vAlign w:val="center"/>
          </w:tcPr>
          <w:p w14:paraId="5F46047D" w14:textId="77777777" w:rsidR="007A05CC" w:rsidRPr="00175E32" w:rsidRDefault="007A05CC" w:rsidP="00E17EEF">
            <w:pPr>
              <w:ind w:firstLine="0"/>
              <w:jc w:val="center"/>
              <w:rPr>
                <w:szCs w:val="24"/>
              </w:rPr>
            </w:pPr>
            <w:r w:rsidRPr="00175E32">
              <w:rPr>
                <w:szCs w:val="24"/>
              </w:rPr>
              <w:t>77,3</w:t>
            </w:r>
          </w:p>
        </w:tc>
        <w:tc>
          <w:tcPr>
            <w:tcW w:w="747" w:type="pct"/>
            <w:tcBorders>
              <w:top w:val="single" w:sz="4" w:space="0" w:color="000000"/>
              <w:left w:val="single" w:sz="4" w:space="0" w:color="000000"/>
              <w:bottom w:val="single" w:sz="4" w:space="0" w:color="000000"/>
              <w:right w:val="single" w:sz="4" w:space="0" w:color="auto"/>
            </w:tcBorders>
            <w:vAlign w:val="center"/>
          </w:tcPr>
          <w:p w14:paraId="1C271384" w14:textId="77777777" w:rsidR="007A05CC" w:rsidRPr="00175E32" w:rsidRDefault="007A05CC" w:rsidP="00E17EEF">
            <w:pPr>
              <w:ind w:firstLine="0"/>
              <w:jc w:val="center"/>
              <w:rPr>
                <w:szCs w:val="24"/>
              </w:rPr>
            </w:pPr>
            <w:r w:rsidRPr="00175E32">
              <w:rPr>
                <w:szCs w:val="24"/>
              </w:rPr>
              <w:t>81,5</w:t>
            </w:r>
          </w:p>
        </w:tc>
      </w:tr>
    </w:tbl>
    <w:p w14:paraId="6CBDBB24" w14:textId="77777777" w:rsidR="007A05CC" w:rsidRPr="00175E32" w:rsidRDefault="007A05CC" w:rsidP="00E17EEF">
      <w:pPr>
        <w:widowControl w:val="0"/>
        <w:overflowPunct w:val="0"/>
        <w:autoSpaceDE w:val="0"/>
        <w:spacing w:line="276" w:lineRule="auto"/>
        <w:textAlignment w:val="baseline"/>
        <w:rPr>
          <w:szCs w:val="24"/>
        </w:rPr>
      </w:pPr>
    </w:p>
    <w:p w14:paraId="45C155A1" w14:textId="77777777" w:rsidR="007A05CC" w:rsidRPr="00175E32" w:rsidRDefault="007A05CC" w:rsidP="00E17EEF">
      <w:pPr>
        <w:pStyle w:val="af9"/>
        <w:spacing w:after="0" w:line="276" w:lineRule="auto"/>
      </w:pPr>
      <w:r w:rsidRPr="00175E32">
        <w:t>Показатели отрасли «Образование» скорректированы с учетом фактически сложившихся значений за 2019 год и за истекший период 2020 года.</w:t>
      </w:r>
    </w:p>
    <w:p w14:paraId="24FEDD94" w14:textId="77777777" w:rsidR="00722683" w:rsidRPr="00175E32" w:rsidRDefault="00722683" w:rsidP="00E17EEF">
      <w:pPr>
        <w:pStyle w:val="af9"/>
        <w:spacing w:after="0" w:line="276" w:lineRule="auto"/>
      </w:pPr>
      <w:r w:rsidRPr="00175E32">
        <w:t xml:space="preserve">Показатели: численность детей в дошкольных образовательных учреждениях и численность детей, состоящих на учете для определения в дошкольные образовательные учреждения скорректированы относительно прогнозируемых в 2019 году в сторону уменьшения, в основном за счет сокращения численности детей в </w:t>
      </w:r>
      <w:r w:rsidR="007D5F6C">
        <w:t>городском округе Тольятти</w:t>
      </w:r>
      <w:r w:rsidRPr="00175E32">
        <w:t xml:space="preserve"> (рождаемость, миграция).</w:t>
      </w:r>
    </w:p>
    <w:p w14:paraId="6087334E" w14:textId="77777777" w:rsidR="00722683" w:rsidRDefault="00722683" w:rsidP="00E17EEF">
      <w:pPr>
        <w:pStyle w:val="af9"/>
        <w:spacing w:after="0" w:line="276" w:lineRule="auto"/>
      </w:pPr>
      <w:r w:rsidRPr="00175E32">
        <w:t>Сводный показатель охвата дополнительным обр</w:t>
      </w:r>
      <w:r w:rsidR="00370A1A">
        <w:t>азованием детей в возрасте от 5 </w:t>
      </w:r>
      <w:r w:rsidRPr="00175E32">
        <w:t xml:space="preserve">до 18 лет  к концу 2020 года скорректирован  относительно прогнозируемых в 2019 году на 4,2 процентных пункта и составил 81,5% в связи с изменением </w:t>
      </w:r>
      <w:r w:rsidR="00557566">
        <w:t>м</w:t>
      </w:r>
      <w:r w:rsidRPr="00175E32">
        <w:t>етодики расчета показателя (расчет показателя охват дополнительным обр</w:t>
      </w:r>
      <w:r w:rsidR="00370A1A">
        <w:t>азованием детей в возрасте от 5 </w:t>
      </w:r>
      <w:r w:rsidRPr="00175E32">
        <w:t xml:space="preserve">до 18 лет произведен с учетом возрастной категории от 5 до 17 лет, в соответствии с </w:t>
      </w:r>
      <w:r w:rsidR="00557566">
        <w:t>м</w:t>
      </w:r>
      <w:r w:rsidRPr="00175E32">
        <w:t>етодикой</w:t>
      </w:r>
      <w:r w:rsidR="00557566">
        <w:t>,</w:t>
      </w:r>
      <w:r w:rsidRPr="00175E32">
        <w:t xml:space="preserve"> применяемой </w:t>
      </w:r>
      <w:r w:rsidR="00557566">
        <w:t>м</w:t>
      </w:r>
      <w:r w:rsidRPr="00175E32">
        <w:t>инистерством образования и науки Самарской области</w:t>
      </w:r>
      <w:r w:rsidR="00557566">
        <w:t>, ранее расчет осуществлялся в отношении детей возраста от 5 до 18 лет (включительно)</w:t>
      </w:r>
      <w:r w:rsidR="00557566" w:rsidRPr="00175E32">
        <w:t>)</w:t>
      </w:r>
      <w:r w:rsidRPr="00175E32">
        <w:t xml:space="preserve">), кроме того, количество детей в возрасте 5-18 лет в городском округе Тольятти (знаменатель) будет расти более высокими темпами, чем количество мест в учреждениях дополнительного образования. </w:t>
      </w:r>
    </w:p>
    <w:p w14:paraId="3DC82E8C" w14:textId="77777777" w:rsidR="00251693" w:rsidRPr="00175E32" w:rsidRDefault="00251693" w:rsidP="00E17EEF">
      <w:pPr>
        <w:suppressAutoHyphens w:val="0"/>
        <w:spacing w:line="276" w:lineRule="auto"/>
        <w:rPr>
          <w:szCs w:val="24"/>
          <w:lang w:eastAsia="ru-RU"/>
        </w:rPr>
      </w:pPr>
      <w:r w:rsidRPr="00175E32">
        <w:rPr>
          <w:szCs w:val="24"/>
          <w:lang w:eastAsia="ru-RU"/>
        </w:rPr>
        <w:t>Следует отметить, что показатель охвата дополнительным образованием детей в возрасте от 5 до 18 лет включает численность детей по учреждениям отраслей «Образование», «Культура» и «Физкультура».</w:t>
      </w:r>
      <w:r w:rsidRPr="00175E32">
        <w:rPr>
          <w:iCs/>
          <w:szCs w:val="24"/>
          <w:lang w:eastAsia="ru-RU"/>
        </w:rPr>
        <w:t xml:space="preserve"> С 01.04.2020 муниципальные бюджетные учреждения дополнительного образования (комплексные) специализированные детско-юношеские спортивные школы олимпийского резерва, находящиеся в ведомственном подчинении администрации </w:t>
      </w:r>
      <w:r w:rsidR="00557566">
        <w:rPr>
          <w:iCs/>
          <w:szCs w:val="24"/>
          <w:lang w:eastAsia="ru-RU"/>
        </w:rPr>
        <w:t xml:space="preserve">городского округа Тольятти </w:t>
      </w:r>
      <w:r w:rsidRPr="00175E32">
        <w:rPr>
          <w:iCs/>
          <w:szCs w:val="24"/>
          <w:lang w:eastAsia="ru-RU"/>
        </w:rPr>
        <w:t xml:space="preserve">переведены в организации спортивной подготовки – муниципальные бюджетные учреждения спортивные школы </w:t>
      </w:r>
      <w:r w:rsidRPr="00175E32">
        <w:rPr>
          <w:iCs/>
          <w:szCs w:val="24"/>
          <w:lang w:eastAsia="ru-RU"/>
        </w:rPr>
        <w:lastRenderedPageBreak/>
        <w:t xml:space="preserve">(олимпийского резерва) и не являются учреждениями дополнительного образования, но при этом не исключены из расчета показателя </w:t>
      </w:r>
      <w:r w:rsidR="00557566">
        <w:rPr>
          <w:szCs w:val="24"/>
          <w:lang w:eastAsia="ru-RU"/>
        </w:rPr>
        <w:t>в целях</w:t>
      </w:r>
      <w:r w:rsidRPr="00175E32">
        <w:rPr>
          <w:szCs w:val="24"/>
          <w:lang w:eastAsia="ru-RU"/>
        </w:rPr>
        <w:t xml:space="preserve"> наиболее полного учета.</w:t>
      </w:r>
    </w:p>
    <w:p w14:paraId="43AE8A53" w14:textId="77777777" w:rsidR="00722683" w:rsidRPr="00175E32" w:rsidRDefault="00722683" w:rsidP="00722683">
      <w:pPr>
        <w:tabs>
          <w:tab w:val="left" w:pos="7485"/>
        </w:tabs>
        <w:overflowPunct w:val="0"/>
        <w:autoSpaceDE w:val="0"/>
        <w:spacing w:line="276" w:lineRule="auto"/>
        <w:textAlignment w:val="baseline"/>
        <w:rPr>
          <w:szCs w:val="24"/>
        </w:rPr>
      </w:pPr>
    </w:p>
    <w:p w14:paraId="19FD6759" w14:textId="77777777" w:rsidR="00A50BA4" w:rsidRPr="00175E32" w:rsidRDefault="00A50BA4" w:rsidP="00370A1A">
      <w:pPr>
        <w:pStyle w:val="3"/>
        <w:ind w:left="0" w:firstLine="0"/>
      </w:pPr>
      <w:r w:rsidRPr="00175E32">
        <w:t>Культура</w:t>
      </w:r>
      <w:bookmarkStart w:id="6" w:name="культ"/>
      <w:bookmarkEnd w:id="6"/>
    </w:p>
    <w:p w14:paraId="297288F7" w14:textId="77777777" w:rsidR="000E5757" w:rsidRPr="00175E32" w:rsidRDefault="000E5757" w:rsidP="009F2C67">
      <w:pPr>
        <w:tabs>
          <w:tab w:val="left" w:pos="7485"/>
        </w:tabs>
        <w:overflowPunct w:val="0"/>
        <w:autoSpaceDE w:val="0"/>
        <w:spacing w:line="276" w:lineRule="auto"/>
        <w:jc w:val="center"/>
        <w:textAlignment w:val="baseline"/>
        <w:rPr>
          <w:b/>
          <w:szCs w:val="24"/>
        </w:rPr>
      </w:pPr>
    </w:p>
    <w:p w14:paraId="29FD3816" w14:textId="77777777" w:rsidR="00E72F82" w:rsidRPr="00175E32" w:rsidRDefault="00E72F82" w:rsidP="00251693">
      <w:pPr>
        <w:pStyle w:val="aff0"/>
        <w:spacing w:line="276" w:lineRule="auto"/>
        <w:rPr>
          <w:sz w:val="24"/>
          <w:szCs w:val="24"/>
        </w:rPr>
      </w:pPr>
      <w:r w:rsidRPr="00175E32">
        <w:rPr>
          <w:sz w:val="24"/>
          <w:szCs w:val="24"/>
        </w:rPr>
        <w:t>По состоянию на 01.07.2020 в сфере культуры на территории городского округа Тольятти насчитывалось:</w:t>
      </w:r>
    </w:p>
    <w:p w14:paraId="725D5AFD" w14:textId="77777777" w:rsidR="00E72F82" w:rsidRPr="00175E32" w:rsidRDefault="00E72F82" w:rsidP="00251693">
      <w:pPr>
        <w:pStyle w:val="aff0"/>
        <w:spacing w:line="276" w:lineRule="auto"/>
        <w:rPr>
          <w:sz w:val="24"/>
          <w:szCs w:val="24"/>
        </w:rPr>
      </w:pPr>
      <w:r w:rsidRPr="00175E32">
        <w:rPr>
          <w:sz w:val="24"/>
          <w:szCs w:val="24"/>
        </w:rPr>
        <w:t>- 3 муниципальных учреждения культурно-досугового типа; 43 муниципальных библиотеки; 3 муниципальных музея; 4 муниципальных театра; 1 муниципальная концертная организация (Тольяттинская Филармония); 17 муниципальных образовательных учреждений дополнительного образования детей; 1 муниципальное учреждение высшего профессионального образования – Тольяттинская консерватория, 1 парк (МАУК «Парковый комплекс истории техники имени К.С. Сахарова»).</w:t>
      </w:r>
    </w:p>
    <w:p w14:paraId="02788231" w14:textId="77777777" w:rsidR="00E72F82" w:rsidRPr="00175E32" w:rsidRDefault="00E72F82" w:rsidP="00251693">
      <w:pPr>
        <w:pStyle w:val="af8"/>
        <w:spacing w:line="276" w:lineRule="auto"/>
        <w:ind w:firstLine="709"/>
        <w:jc w:val="both"/>
        <w:rPr>
          <w:rFonts w:ascii="Times New Roman" w:hAnsi="Times New Roman" w:cs="Times New Roman"/>
          <w:sz w:val="24"/>
          <w:szCs w:val="24"/>
        </w:rPr>
      </w:pPr>
      <w:r w:rsidRPr="00175E32">
        <w:rPr>
          <w:rFonts w:ascii="Times New Roman" w:hAnsi="Times New Roman" w:cs="Times New Roman"/>
          <w:sz w:val="24"/>
          <w:szCs w:val="24"/>
        </w:rPr>
        <w:t>В настоящее время в городском округе Тольятти количество библиотек составляет 43 единицы, обеспеченность общедоступными библиотеками составила 0,62 учреждения на 10 тыс. населения.</w:t>
      </w:r>
    </w:p>
    <w:p w14:paraId="64274307" w14:textId="77777777" w:rsidR="00E72F82" w:rsidRPr="00175E32" w:rsidRDefault="00E72F82" w:rsidP="00251693">
      <w:pPr>
        <w:spacing w:line="276" w:lineRule="auto"/>
        <w:rPr>
          <w:szCs w:val="24"/>
        </w:rPr>
      </w:pPr>
      <w:r w:rsidRPr="00175E32">
        <w:rPr>
          <w:szCs w:val="24"/>
        </w:rPr>
        <w:t>При сохранении количества общедоступных библиотек в прогнозном периоде в 2020 году ожидается сохранение обеспеченности общедоступными библиотеками на уровне 0,62 учреждение на 10 тыс. населения.</w:t>
      </w:r>
    </w:p>
    <w:p w14:paraId="51434A59" w14:textId="77777777" w:rsidR="00E72F82" w:rsidRPr="00175E32" w:rsidRDefault="00E72F82" w:rsidP="00251693">
      <w:pPr>
        <w:spacing w:line="276" w:lineRule="auto"/>
        <w:rPr>
          <w:szCs w:val="24"/>
        </w:rPr>
      </w:pPr>
      <w:r w:rsidRPr="00175E32">
        <w:rPr>
          <w:szCs w:val="24"/>
        </w:rPr>
        <w:t xml:space="preserve">Количество учреждений культурно-досугового типа (независимо от организационно-правовой формы, в том числе находящихся в частной собственности) в 2019 году составило – 5 единиц: муниципальное </w:t>
      </w:r>
      <w:r w:rsidR="00370A1A">
        <w:rPr>
          <w:szCs w:val="24"/>
        </w:rPr>
        <w:t>бюджетное учреждение (МБУК «ДЦ </w:t>
      </w:r>
      <w:r w:rsidRPr="00175E32">
        <w:rPr>
          <w:szCs w:val="24"/>
        </w:rPr>
        <w:t>«Русич»), 2 муниципальных</w:t>
      </w:r>
      <w:r w:rsidR="00370A1A">
        <w:rPr>
          <w:szCs w:val="24"/>
        </w:rPr>
        <w:t xml:space="preserve"> автономных учреждения (МАУ КДЦ </w:t>
      </w:r>
      <w:r w:rsidRPr="00175E32">
        <w:rPr>
          <w:szCs w:val="24"/>
        </w:rPr>
        <w:t>«Буревестник», МАУ «ДКИТ»), 2 организации иных форм собственности (ОАО ДК «Тольятти» им. Н.В. Абрамова, ЧУ ЦО «</w:t>
      </w:r>
      <w:proofErr w:type="spellStart"/>
      <w:r w:rsidRPr="00175E32">
        <w:rPr>
          <w:szCs w:val="24"/>
        </w:rPr>
        <w:t>Тольяттиазот</w:t>
      </w:r>
      <w:proofErr w:type="spellEnd"/>
      <w:r w:rsidRPr="00175E32">
        <w:rPr>
          <w:szCs w:val="24"/>
        </w:rPr>
        <w:t>»). Обеспеченность учреждениями культурно-досугового типа соста</w:t>
      </w:r>
      <w:r w:rsidR="00370A1A">
        <w:rPr>
          <w:szCs w:val="24"/>
        </w:rPr>
        <w:t>вила 0,07 учреждений на 10 тыс. </w:t>
      </w:r>
      <w:r w:rsidRPr="00175E32">
        <w:rPr>
          <w:szCs w:val="24"/>
        </w:rPr>
        <w:t>населения.</w:t>
      </w:r>
    </w:p>
    <w:p w14:paraId="1D880AE8" w14:textId="77777777" w:rsidR="00E72F82" w:rsidRPr="00175E32" w:rsidRDefault="00E72F82" w:rsidP="00251693">
      <w:pPr>
        <w:spacing w:line="276" w:lineRule="auto"/>
        <w:rPr>
          <w:szCs w:val="24"/>
        </w:rPr>
      </w:pPr>
      <w:r w:rsidRPr="00175E32">
        <w:rPr>
          <w:szCs w:val="24"/>
        </w:rPr>
        <w:t xml:space="preserve">В 2020 году ожидается сохранение обеспеченности учреждениями культурно-досугового типа на </w:t>
      </w:r>
      <w:r w:rsidR="00923023" w:rsidRPr="00175E32">
        <w:rPr>
          <w:szCs w:val="24"/>
        </w:rPr>
        <w:t xml:space="preserve">уровне </w:t>
      </w:r>
      <w:r w:rsidR="00203520" w:rsidRPr="00175E32">
        <w:rPr>
          <w:szCs w:val="24"/>
        </w:rPr>
        <w:t>предыдущего года</w:t>
      </w:r>
      <w:r w:rsidRPr="00175E32">
        <w:rPr>
          <w:szCs w:val="24"/>
        </w:rPr>
        <w:t>.</w:t>
      </w:r>
    </w:p>
    <w:p w14:paraId="07172034" w14:textId="77777777" w:rsidR="00E72F82" w:rsidRPr="00175E32" w:rsidRDefault="00E72F82" w:rsidP="00251693">
      <w:pPr>
        <w:pStyle w:val="36"/>
        <w:spacing w:after="0" w:line="276" w:lineRule="auto"/>
        <w:ind w:left="0"/>
        <w:rPr>
          <w:szCs w:val="24"/>
        </w:rPr>
      </w:pPr>
      <w:r w:rsidRPr="00175E32">
        <w:rPr>
          <w:szCs w:val="24"/>
        </w:rPr>
        <w:t xml:space="preserve">Значение показателя «Количество посещений социокультурных мероприятий на территории муниципального образования» на 1000 человек определяется исходя из результатов деятельности всех видов учреждений культуры, с учетом платных и безвозмездных услуг. По итогам 2019 года </w:t>
      </w:r>
      <w:r w:rsidR="00923023" w:rsidRPr="00175E32">
        <w:rPr>
          <w:szCs w:val="24"/>
        </w:rPr>
        <w:t>данный показатель</w:t>
      </w:r>
      <w:r w:rsidRPr="00175E32">
        <w:rPr>
          <w:szCs w:val="24"/>
        </w:rPr>
        <w:t xml:space="preserve"> составлял 2562 посещения на 1000 человек населения. В 2020 году </w:t>
      </w:r>
      <w:proofErr w:type="gramStart"/>
      <w:r w:rsidRPr="00175E32">
        <w:rPr>
          <w:szCs w:val="24"/>
        </w:rPr>
        <w:t>по оценке количество</w:t>
      </w:r>
      <w:proofErr w:type="gramEnd"/>
      <w:r w:rsidRPr="00175E32">
        <w:rPr>
          <w:szCs w:val="24"/>
        </w:rPr>
        <w:t xml:space="preserve"> посещений социокультурных мероприятий относительно 2019 года значительно сократиться (в 1,7 раза) и составит 1511 посещений на 1000 чел</w:t>
      </w:r>
      <w:r w:rsidR="007D5F6C">
        <w:rPr>
          <w:szCs w:val="24"/>
        </w:rPr>
        <w:t>овек</w:t>
      </w:r>
      <w:r w:rsidRPr="00175E32">
        <w:rPr>
          <w:szCs w:val="24"/>
        </w:rPr>
        <w:t xml:space="preserve"> населения.</w:t>
      </w:r>
    </w:p>
    <w:p w14:paraId="1D3B2E07" w14:textId="77777777" w:rsidR="00E72F82" w:rsidRPr="00175E32" w:rsidRDefault="00E72F82" w:rsidP="00251693">
      <w:pPr>
        <w:pStyle w:val="36"/>
        <w:spacing w:after="0" w:line="276" w:lineRule="auto"/>
        <w:ind w:left="0"/>
        <w:rPr>
          <w:szCs w:val="24"/>
        </w:rPr>
      </w:pPr>
      <w:r w:rsidRPr="00175E32">
        <w:rPr>
          <w:szCs w:val="24"/>
        </w:rPr>
        <w:t>В связи с введением ограничительных мероприятий в период эпидемического подъема заболеваемости ОРВИ и гриппом, распространением новой коронавирусной инфекцией с марта по июль 2020 года учреждениями культуры не проводились культурно-массовые и культурно-досуговые мероприятия. С июля 2020 года работа учреждений культуры осуществлялась с жесткими ограничениями, что в итоге сильно влияет на основные показатели деятельности учреждений культуры.</w:t>
      </w:r>
    </w:p>
    <w:p w14:paraId="026192CC" w14:textId="77777777" w:rsidR="00E72F82" w:rsidRPr="00175E32" w:rsidRDefault="00E72F82" w:rsidP="00251693">
      <w:pPr>
        <w:spacing w:line="276" w:lineRule="auto"/>
        <w:ind w:firstLine="708"/>
        <w:rPr>
          <w:szCs w:val="24"/>
        </w:rPr>
      </w:pPr>
      <w:r w:rsidRPr="00175E32">
        <w:rPr>
          <w:szCs w:val="24"/>
        </w:rPr>
        <w:t xml:space="preserve">Для населения были организованы мероприятия в виртуальном формате на интернет-ресурсах (сайты, социальные сети, </w:t>
      </w:r>
      <w:proofErr w:type="spellStart"/>
      <w:r w:rsidRPr="00175E32">
        <w:rPr>
          <w:szCs w:val="24"/>
          <w:lang w:val="en-US"/>
        </w:rPr>
        <w:t>youtube</w:t>
      </w:r>
      <w:proofErr w:type="spellEnd"/>
      <w:r w:rsidRPr="00175E32">
        <w:rPr>
          <w:szCs w:val="24"/>
        </w:rPr>
        <w:t xml:space="preserve"> и т.д.), в том числе: </w:t>
      </w:r>
      <w:proofErr w:type="spellStart"/>
      <w:r w:rsidRPr="00175E32">
        <w:rPr>
          <w:szCs w:val="24"/>
        </w:rPr>
        <w:t>онлай</w:t>
      </w:r>
      <w:proofErr w:type="spellEnd"/>
      <w:r w:rsidRPr="00175E32">
        <w:rPr>
          <w:szCs w:val="24"/>
        </w:rPr>
        <w:t>-трансляции, размещение записей концертов, спектаклей, виртуальные экскурсии, мастер-</w:t>
      </w:r>
      <w:r w:rsidRPr="00175E32">
        <w:rPr>
          <w:szCs w:val="24"/>
        </w:rPr>
        <w:lastRenderedPageBreak/>
        <w:t xml:space="preserve">классы, викторины, квесты и т.д. При этом в методике расчета целевых показателей, установленной на федеральном уровне, учет охвата участников виртуальных мероприятий на </w:t>
      </w:r>
      <w:proofErr w:type="gramStart"/>
      <w:r w:rsidRPr="00175E32">
        <w:rPr>
          <w:szCs w:val="24"/>
        </w:rPr>
        <w:t>интернет ресурсах</w:t>
      </w:r>
      <w:proofErr w:type="gramEnd"/>
      <w:r w:rsidRPr="00175E32">
        <w:rPr>
          <w:szCs w:val="24"/>
        </w:rPr>
        <w:t xml:space="preserve"> не предусмотрен.</w:t>
      </w:r>
    </w:p>
    <w:p w14:paraId="74493DD3" w14:textId="77777777" w:rsidR="00E72F82" w:rsidRPr="00175E32" w:rsidRDefault="00E72F82" w:rsidP="00E72F82">
      <w:pPr>
        <w:spacing w:before="120" w:after="120" w:line="276" w:lineRule="auto"/>
        <w:ind w:firstLine="0"/>
        <w:jc w:val="center"/>
        <w:rPr>
          <w:szCs w:val="24"/>
        </w:rPr>
      </w:pPr>
      <w:r w:rsidRPr="00175E32">
        <w:rPr>
          <w:szCs w:val="24"/>
        </w:rPr>
        <w:t>Ожидаемое выполнение прогнозных показателей по разделу «Культура» на 2020 год</w:t>
      </w:r>
    </w:p>
    <w:tbl>
      <w:tblPr>
        <w:tblW w:w="9356" w:type="dxa"/>
        <w:tblInd w:w="108" w:type="dxa"/>
        <w:tblLayout w:type="fixed"/>
        <w:tblLook w:val="0000" w:firstRow="0" w:lastRow="0" w:firstColumn="0" w:lastColumn="0" w:noHBand="0" w:noVBand="0"/>
      </w:tblPr>
      <w:tblGrid>
        <w:gridCol w:w="3402"/>
        <w:gridCol w:w="1843"/>
        <w:gridCol w:w="1418"/>
        <w:gridCol w:w="1417"/>
        <w:gridCol w:w="1276"/>
      </w:tblGrid>
      <w:tr w:rsidR="00E72F82" w:rsidRPr="00175E32" w14:paraId="777EC81C" w14:textId="77777777" w:rsidTr="00AC7FC1">
        <w:trPr>
          <w:trHeight w:val="195"/>
          <w:tblHeader/>
        </w:trPr>
        <w:tc>
          <w:tcPr>
            <w:tcW w:w="3402" w:type="dxa"/>
            <w:vMerge w:val="restart"/>
            <w:tcBorders>
              <w:top w:val="single" w:sz="4" w:space="0" w:color="000000"/>
              <w:left w:val="single" w:sz="4" w:space="0" w:color="000000"/>
              <w:bottom w:val="single" w:sz="4" w:space="0" w:color="000000"/>
            </w:tcBorders>
            <w:vAlign w:val="center"/>
          </w:tcPr>
          <w:p w14:paraId="38D5BDD1" w14:textId="77777777" w:rsidR="00E72F82" w:rsidRPr="00175E32" w:rsidRDefault="00E72F82" w:rsidP="00E72F82">
            <w:pPr>
              <w:ind w:firstLine="0"/>
              <w:jc w:val="center"/>
              <w:rPr>
                <w:szCs w:val="24"/>
              </w:rPr>
            </w:pPr>
            <w:r w:rsidRPr="00175E32">
              <w:rPr>
                <w:szCs w:val="24"/>
              </w:rPr>
              <w:t>Показатели</w:t>
            </w:r>
          </w:p>
        </w:tc>
        <w:tc>
          <w:tcPr>
            <w:tcW w:w="1843" w:type="dxa"/>
            <w:vMerge w:val="restart"/>
            <w:tcBorders>
              <w:top w:val="single" w:sz="4" w:space="0" w:color="000000"/>
              <w:left w:val="single" w:sz="4" w:space="0" w:color="000000"/>
              <w:bottom w:val="single" w:sz="4" w:space="0" w:color="000000"/>
            </w:tcBorders>
            <w:vAlign w:val="center"/>
          </w:tcPr>
          <w:p w14:paraId="7ADFD68F" w14:textId="77777777" w:rsidR="00E72F82" w:rsidRPr="00175E32" w:rsidRDefault="00E72F82" w:rsidP="00E72F82">
            <w:pPr>
              <w:ind w:firstLine="0"/>
              <w:jc w:val="center"/>
              <w:rPr>
                <w:szCs w:val="24"/>
              </w:rPr>
            </w:pPr>
            <w:r w:rsidRPr="00175E32">
              <w:rPr>
                <w:szCs w:val="24"/>
              </w:rPr>
              <w:t>Единица измерения</w:t>
            </w:r>
          </w:p>
        </w:tc>
        <w:tc>
          <w:tcPr>
            <w:tcW w:w="2835" w:type="dxa"/>
            <w:gridSpan w:val="2"/>
            <w:tcBorders>
              <w:top w:val="single" w:sz="4" w:space="0" w:color="000000"/>
              <w:left w:val="single" w:sz="4" w:space="0" w:color="000000"/>
              <w:bottom w:val="single" w:sz="4" w:space="0" w:color="000000"/>
            </w:tcBorders>
            <w:vAlign w:val="center"/>
          </w:tcPr>
          <w:p w14:paraId="783731C5" w14:textId="77777777" w:rsidR="00E72F82" w:rsidRPr="00175E32" w:rsidRDefault="00E72F82" w:rsidP="00E72F82">
            <w:pPr>
              <w:ind w:firstLine="0"/>
              <w:jc w:val="center"/>
              <w:rPr>
                <w:szCs w:val="24"/>
              </w:rPr>
            </w:pPr>
            <w:r w:rsidRPr="00175E32">
              <w:rPr>
                <w:szCs w:val="24"/>
              </w:rPr>
              <w:t>Прогноз на 2020 год</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14:paraId="787D3C4A" w14:textId="77777777" w:rsidR="00E72F82" w:rsidRPr="00175E32" w:rsidRDefault="00E72F82" w:rsidP="00E72F82">
            <w:pPr>
              <w:ind w:firstLine="0"/>
              <w:jc w:val="center"/>
              <w:rPr>
                <w:szCs w:val="24"/>
              </w:rPr>
            </w:pPr>
            <w:r w:rsidRPr="00175E32">
              <w:rPr>
                <w:szCs w:val="24"/>
              </w:rPr>
              <w:t>2020 год (оценка)</w:t>
            </w:r>
          </w:p>
        </w:tc>
      </w:tr>
      <w:tr w:rsidR="00E72F82" w:rsidRPr="00175E32" w14:paraId="2BFFF811" w14:textId="77777777" w:rsidTr="00AC7FC1">
        <w:trPr>
          <w:cantSplit/>
          <w:trHeight w:val="195"/>
        </w:trPr>
        <w:tc>
          <w:tcPr>
            <w:tcW w:w="3402" w:type="dxa"/>
            <w:vMerge/>
            <w:tcBorders>
              <w:top w:val="single" w:sz="4" w:space="0" w:color="000000"/>
              <w:left w:val="single" w:sz="4" w:space="0" w:color="000000"/>
              <w:bottom w:val="single" w:sz="4" w:space="0" w:color="000000"/>
            </w:tcBorders>
            <w:vAlign w:val="center"/>
          </w:tcPr>
          <w:p w14:paraId="55CFC34C" w14:textId="77777777" w:rsidR="00E72F82" w:rsidRPr="00175E32" w:rsidRDefault="00E72F82" w:rsidP="00E72F82">
            <w:pPr>
              <w:spacing w:line="276" w:lineRule="auto"/>
              <w:ind w:firstLine="0"/>
              <w:jc w:val="center"/>
              <w:rPr>
                <w:szCs w:val="24"/>
              </w:rPr>
            </w:pPr>
          </w:p>
        </w:tc>
        <w:tc>
          <w:tcPr>
            <w:tcW w:w="1843" w:type="dxa"/>
            <w:vMerge/>
            <w:tcBorders>
              <w:top w:val="single" w:sz="4" w:space="0" w:color="000000"/>
              <w:left w:val="single" w:sz="4" w:space="0" w:color="000000"/>
              <w:bottom w:val="single" w:sz="4" w:space="0" w:color="000000"/>
            </w:tcBorders>
            <w:vAlign w:val="center"/>
          </w:tcPr>
          <w:p w14:paraId="1E840E75" w14:textId="77777777" w:rsidR="00E72F82" w:rsidRPr="00175E32" w:rsidRDefault="00E72F82" w:rsidP="00E72F82">
            <w:pPr>
              <w:spacing w:line="276" w:lineRule="auto"/>
              <w:ind w:firstLine="0"/>
              <w:jc w:val="center"/>
              <w:rPr>
                <w:szCs w:val="24"/>
              </w:rPr>
            </w:pPr>
          </w:p>
        </w:tc>
        <w:tc>
          <w:tcPr>
            <w:tcW w:w="1418" w:type="dxa"/>
            <w:tcBorders>
              <w:top w:val="single" w:sz="4" w:space="0" w:color="000000"/>
              <w:left w:val="single" w:sz="4" w:space="0" w:color="000000"/>
              <w:bottom w:val="single" w:sz="4" w:space="0" w:color="000000"/>
            </w:tcBorders>
            <w:vAlign w:val="center"/>
          </w:tcPr>
          <w:p w14:paraId="4B2B5BCB" w14:textId="77777777" w:rsidR="00E72F82" w:rsidRPr="00175E32" w:rsidRDefault="00E72F82" w:rsidP="00E72F82">
            <w:pPr>
              <w:spacing w:line="276" w:lineRule="auto"/>
              <w:ind w:firstLine="0"/>
              <w:jc w:val="center"/>
              <w:rPr>
                <w:szCs w:val="24"/>
              </w:rPr>
            </w:pPr>
            <w:proofErr w:type="gramStart"/>
            <w:r w:rsidRPr="00175E32">
              <w:rPr>
                <w:szCs w:val="24"/>
              </w:rPr>
              <w:t>консерва-</w:t>
            </w:r>
            <w:proofErr w:type="spellStart"/>
            <w:r w:rsidRPr="00175E32">
              <w:rPr>
                <w:szCs w:val="24"/>
              </w:rPr>
              <w:t>тивный</w:t>
            </w:r>
            <w:proofErr w:type="spellEnd"/>
            <w:proofErr w:type="gramEnd"/>
          </w:p>
        </w:tc>
        <w:tc>
          <w:tcPr>
            <w:tcW w:w="1417" w:type="dxa"/>
            <w:tcBorders>
              <w:top w:val="single" w:sz="4" w:space="0" w:color="000000"/>
              <w:left w:val="single" w:sz="4" w:space="0" w:color="000000"/>
              <w:bottom w:val="single" w:sz="4" w:space="0" w:color="000000"/>
            </w:tcBorders>
            <w:vAlign w:val="center"/>
          </w:tcPr>
          <w:p w14:paraId="596D6AEA" w14:textId="77777777" w:rsidR="00E72F82" w:rsidRPr="00175E32" w:rsidRDefault="00E72F82" w:rsidP="00E72F82">
            <w:pPr>
              <w:spacing w:line="276" w:lineRule="auto"/>
              <w:ind w:firstLine="0"/>
              <w:jc w:val="center"/>
              <w:rPr>
                <w:szCs w:val="24"/>
              </w:rPr>
            </w:pPr>
            <w:r w:rsidRPr="00175E32">
              <w:rPr>
                <w:szCs w:val="24"/>
              </w:rPr>
              <w:t>базовый</w:t>
            </w:r>
          </w:p>
        </w:tc>
        <w:tc>
          <w:tcPr>
            <w:tcW w:w="1276" w:type="dxa"/>
            <w:vMerge/>
            <w:tcBorders>
              <w:top w:val="single" w:sz="4" w:space="0" w:color="000000"/>
              <w:left w:val="single" w:sz="4" w:space="0" w:color="000000"/>
              <w:bottom w:val="single" w:sz="4" w:space="0" w:color="000000"/>
              <w:right w:val="single" w:sz="4" w:space="0" w:color="000000"/>
            </w:tcBorders>
            <w:vAlign w:val="center"/>
          </w:tcPr>
          <w:p w14:paraId="55AB69A0" w14:textId="77777777" w:rsidR="00E72F82" w:rsidRPr="00175E32" w:rsidRDefault="00E72F82" w:rsidP="00E72F82">
            <w:pPr>
              <w:spacing w:line="276" w:lineRule="auto"/>
              <w:ind w:firstLine="0"/>
              <w:jc w:val="center"/>
              <w:rPr>
                <w:szCs w:val="24"/>
              </w:rPr>
            </w:pPr>
          </w:p>
        </w:tc>
      </w:tr>
      <w:tr w:rsidR="00E72F82" w:rsidRPr="00175E32" w14:paraId="6915980E" w14:textId="77777777" w:rsidTr="00AC7FC1">
        <w:trPr>
          <w:trHeight w:val="746"/>
        </w:trPr>
        <w:tc>
          <w:tcPr>
            <w:tcW w:w="3402" w:type="dxa"/>
            <w:tcBorders>
              <w:top w:val="single" w:sz="4" w:space="0" w:color="000000"/>
              <w:left w:val="single" w:sz="4" w:space="0" w:color="000000"/>
              <w:bottom w:val="single" w:sz="4" w:space="0" w:color="000000"/>
            </w:tcBorders>
          </w:tcPr>
          <w:p w14:paraId="15DC6EF5" w14:textId="77777777" w:rsidR="00E72F82" w:rsidRPr="00175E32" w:rsidRDefault="00E72F82" w:rsidP="00E72F82">
            <w:pPr>
              <w:ind w:firstLine="0"/>
              <w:jc w:val="left"/>
              <w:rPr>
                <w:szCs w:val="24"/>
              </w:rPr>
            </w:pPr>
            <w:r w:rsidRPr="00175E32">
              <w:rPr>
                <w:szCs w:val="24"/>
              </w:rPr>
              <w:t>Обеспеченность:</w:t>
            </w:r>
          </w:p>
          <w:p w14:paraId="44996B1F" w14:textId="77777777" w:rsidR="00E72F82" w:rsidRPr="00175E32" w:rsidRDefault="00E72F82" w:rsidP="00E72F82">
            <w:pPr>
              <w:ind w:firstLine="0"/>
              <w:jc w:val="left"/>
              <w:rPr>
                <w:szCs w:val="24"/>
              </w:rPr>
            </w:pPr>
          </w:p>
          <w:p w14:paraId="4CAF4DFE" w14:textId="77777777" w:rsidR="00E72F82" w:rsidRPr="00175E32" w:rsidRDefault="00E72F82" w:rsidP="00E72F82">
            <w:pPr>
              <w:ind w:firstLine="0"/>
              <w:jc w:val="left"/>
              <w:rPr>
                <w:szCs w:val="24"/>
              </w:rPr>
            </w:pPr>
            <w:r w:rsidRPr="00175E32">
              <w:rPr>
                <w:szCs w:val="24"/>
              </w:rPr>
              <w:t>Общедоступными библиотеками</w:t>
            </w:r>
          </w:p>
        </w:tc>
        <w:tc>
          <w:tcPr>
            <w:tcW w:w="1843" w:type="dxa"/>
            <w:tcBorders>
              <w:top w:val="single" w:sz="4" w:space="0" w:color="000000"/>
              <w:left w:val="single" w:sz="4" w:space="0" w:color="000000"/>
              <w:bottom w:val="single" w:sz="4" w:space="0" w:color="000000"/>
            </w:tcBorders>
            <w:vAlign w:val="bottom"/>
          </w:tcPr>
          <w:p w14:paraId="7C4FD8EB" w14:textId="77777777" w:rsidR="00E72F82" w:rsidRPr="00175E32" w:rsidRDefault="00E72F82" w:rsidP="00E72F82">
            <w:pPr>
              <w:ind w:firstLine="0"/>
              <w:jc w:val="center"/>
              <w:rPr>
                <w:szCs w:val="24"/>
              </w:rPr>
            </w:pPr>
          </w:p>
          <w:p w14:paraId="1E41B2CC" w14:textId="77777777" w:rsidR="00E72F82" w:rsidRPr="00175E32" w:rsidRDefault="00E72F82" w:rsidP="00E72F82">
            <w:pPr>
              <w:ind w:firstLine="0"/>
              <w:jc w:val="center"/>
              <w:rPr>
                <w:szCs w:val="24"/>
              </w:rPr>
            </w:pPr>
            <w:r w:rsidRPr="00175E32">
              <w:rPr>
                <w:szCs w:val="24"/>
              </w:rPr>
              <w:t>учреждений на 10 тыс. населения</w:t>
            </w:r>
          </w:p>
        </w:tc>
        <w:tc>
          <w:tcPr>
            <w:tcW w:w="1418" w:type="dxa"/>
            <w:tcBorders>
              <w:top w:val="single" w:sz="4" w:space="0" w:color="000000"/>
              <w:left w:val="single" w:sz="4" w:space="0" w:color="000000"/>
              <w:bottom w:val="single" w:sz="4" w:space="0" w:color="000000"/>
            </w:tcBorders>
            <w:vAlign w:val="bottom"/>
          </w:tcPr>
          <w:p w14:paraId="597506A9" w14:textId="77777777" w:rsidR="00E72F82" w:rsidRPr="00175E32" w:rsidRDefault="00E72F82" w:rsidP="00203520">
            <w:pPr>
              <w:ind w:firstLine="0"/>
              <w:jc w:val="center"/>
              <w:rPr>
                <w:szCs w:val="24"/>
              </w:rPr>
            </w:pPr>
            <w:r w:rsidRPr="00175E32">
              <w:rPr>
                <w:szCs w:val="24"/>
              </w:rPr>
              <w:t>0,62</w:t>
            </w:r>
          </w:p>
        </w:tc>
        <w:tc>
          <w:tcPr>
            <w:tcW w:w="1417" w:type="dxa"/>
            <w:tcBorders>
              <w:top w:val="single" w:sz="4" w:space="0" w:color="000000"/>
              <w:left w:val="single" w:sz="4" w:space="0" w:color="000000"/>
              <w:bottom w:val="single" w:sz="4" w:space="0" w:color="000000"/>
            </w:tcBorders>
            <w:vAlign w:val="bottom"/>
          </w:tcPr>
          <w:p w14:paraId="798D7754" w14:textId="77777777" w:rsidR="00E72F82" w:rsidRPr="00175E32" w:rsidRDefault="00E72F82" w:rsidP="00203520">
            <w:pPr>
              <w:ind w:firstLine="0"/>
              <w:jc w:val="center"/>
              <w:rPr>
                <w:szCs w:val="24"/>
              </w:rPr>
            </w:pPr>
            <w:r w:rsidRPr="00175E32">
              <w:rPr>
                <w:szCs w:val="24"/>
              </w:rPr>
              <w:t>0,62</w:t>
            </w:r>
          </w:p>
        </w:tc>
        <w:tc>
          <w:tcPr>
            <w:tcW w:w="1276" w:type="dxa"/>
            <w:tcBorders>
              <w:top w:val="single" w:sz="4" w:space="0" w:color="000000"/>
              <w:left w:val="single" w:sz="4" w:space="0" w:color="000000"/>
              <w:bottom w:val="single" w:sz="4" w:space="0" w:color="000000"/>
              <w:right w:val="single" w:sz="4" w:space="0" w:color="000000"/>
            </w:tcBorders>
            <w:vAlign w:val="bottom"/>
          </w:tcPr>
          <w:p w14:paraId="4327CDF9" w14:textId="77777777" w:rsidR="00E72F82" w:rsidRPr="00175E32" w:rsidRDefault="00E72F82" w:rsidP="00203520">
            <w:pPr>
              <w:ind w:firstLine="0"/>
              <w:jc w:val="center"/>
              <w:rPr>
                <w:szCs w:val="24"/>
              </w:rPr>
            </w:pPr>
            <w:r w:rsidRPr="00175E32">
              <w:rPr>
                <w:szCs w:val="24"/>
              </w:rPr>
              <w:t>0,62</w:t>
            </w:r>
          </w:p>
        </w:tc>
      </w:tr>
      <w:tr w:rsidR="00E72F82" w:rsidRPr="00175E32" w14:paraId="4F3D73C7" w14:textId="77777777" w:rsidTr="00AC7FC1">
        <w:trPr>
          <w:trHeight w:val="746"/>
        </w:trPr>
        <w:tc>
          <w:tcPr>
            <w:tcW w:w="3402" w:type="dxa"/>
            <w:tcBorders>
              <w:top w:val="single" w:sz="4" w:space="0" w:color="000000"/>
              <w:left w:val="single" w:sz="4" w:space="0" w:color="000000"/>
              <w:bottom w:val="single" w:sz="4" w:space="0" w:color="000000"/>
            </w:tcBorders>
            <w:vAlign w:val="center"/>
          </w:tcPr>
          <w:p w14:paraId="7C773FAD" w14:textId="77777777" w:rsidR="00E72F82" w:rsidRPr="00175E32" w:rsidRDefault="00E72F82" w:rsidP="00E72F82">
            <w:pPr>
              <w:ind w:firstLine="0"/>
              <w:jc w:val="left"/>
              <w:rPr>
                <w:szCs w:val="24"/>
              </w:rPr>
            </w:pPr>
            <w:r w:rsidRPr="00175E32">
              <w:rPr>
                <w:szCs w:val="24"/>
              </w:rPr>
              <w:t>Учреждениями культурно-досугового типа</w:t>
            </w:r>
          </w:p>
        </w:tc>
        <w:tc>
          <w:tcPr>
            <w:tcW w:w="1843" w:type="dxa"/>
            <w:tcBorders>
              <w:top w:val="single" w:sz="4" w:space="0" w:color="000000"/>
              <w:left w:val="single" w:sz="4" w:space="0" w:color="000000"/>
              <w:bottom w:val="single" w:sz="4" w:space="0" w:color="000000"/>
            </w:tcBorders>
            <w:vAlign w:val="bottom"/>
          </w:tcPr>
          <w:p w14:paraId="05D2D3F3" w14:textId="77777777" w:rsidR="00E72F82" w:rsidRPr="00175E32" w:rsidRDefault="00E72F82" w:rsidP="00E72F82">
            <w:pPr>
              <w:ind w:firstLine="0"/>
              <w:jc w:val="center"/>
              <w:rPr>
                <w:szCs w:val="24"/>
              </w:rPr>
            </w:pPr>
            <w:r w:rsidRPr="00175E32">
              <w:rPr>
                <w:szCs w:val="24"/>
              </w:rPr>
              <w:t>учреждений на 10 тыс. населения</w:t>
            </w:r>
          </w:p>
        </w:tc>
        <w:tc>
          <w:tcPr>
            <w:tcW w:w="1418" w:type="dxa"/>
            <w:tcBorders>
              <w:top w:val="single" w:sz="4" w:space="0" w:color="000000"/>
              <w:left w:val="single" w:sz="4" w:space="0" w:color="000000"/>
              <w:bottom w:val="single" w:sz="4" w:space="0" w:color="000000"/>
            </w:tcBorders>
            <w:vAlign w:val="bottom"/>
          </w:tcPr>
          <w:p w14:paraId="0419CDC0" w14:textId="77777777" w:rsidR="00E72F82" w:rsidRPr="00175E32" w:rsidRDefault="00E72F82" w:rsidP="00203520">
            <w:pPr>
              <w:ind w:firstLine="0"/>
              <w:jc w:val="center"/>
              <w:rPr>
                <w:szCs w:val="24"/>
              </w:rPr>
            </w:pPr>
            <w:r w:rsidRPr="00175E32">
              <w:rPr>
                <w:szCs w:val="24"/>
              </w:rPr>
              <w:t>0,07</w:t>
            </w:r>
          </w:p>
        </w:tc>
        <w:tc>
          <w:tcPr>
            <w:tcW w:w="1417" w:type="dxa"/>
            <w:tcBorders>
              <w:top w:val="single" w:sz="4" w:space="0" w:color="000000"/>
              <w:left w:val="single" w:sz="4" w:space="0" w:color="000000"/>
              <w:bottom w:val="single" w:sz="4" w:space="0" w:color="000000"/>
            </w:tcBorders>
            <w:vAlign w:val="bottom"/>
          </w:tcPr>
          <w:p w14:paraId="6CF6E243" w14:textId="77777777" w:rsidR="00E72F82" w:rsidRPr="00175E32" w:rsidRDefault="00E72F82" w:rsidP="00203520">
            <w:pPr>
              <w:ind w:firstLine="0"/>
              <w:jc w:val="center"/>
              <w:rPr>
                <w:szCs w:val="24"/>
              </w:rPr>
            </w:pPr>
            <w:r w:rsidRPr="00175E32">
              <w:rPr>
                <w:szCs w:val="24"/>
              </w:rPr>
              <w:t>0,07</w:t>
            </w:r>
          </w:p>
        </w:tc>
        <w:tc>
          <w:tcPr>
            <w:tcW w:w="1276" w:type="dxa"/>
            <w:tcBorders>
              <w:top w:val="single" w:sz="4" w:space="0" w:color="000000"/>
              <w:left w:val="single" w:sz="4" w:space="0" w:color="000000"/>
              <w:bottom w:val="single" w:sz="4" w:space="0" w:color="000000"/>
              <w:right w:val="single" w:sz="4" w:space="0" w:color="000000"/>
            </w:tcBorders>
            <w:vAlign w:val="bottom"/>
          </w:tcPr>
          <w:p w14:paraId="5653284A" w14:textId="77777777" w:rsidR="00E72F82" w:rsidRPr="00175E32" w:rsidRDefault="00E72F82" w:rsidP="00203520">
            <w:pPr>
              <w:ind w:firstLine="0"/>
              <w:jc w:val="center"/>
              <w:rPr>
                <w:szCs w:val="24"/>
              </w:rPr>
            </w:pPr>
            <w:r w:rsidRPr="00175E32">
              <w:rPr>
                <w:szCs w:val="24"/>
              </w:rPr>
              <w:t>0,07</w:t>
            </w:r>
          </w:p>
        </w:tc>
      </w:tr>
      <w:tr w:rsidR="00E72F82" w:rsidRPr="00175E32" w14:paraId="43AD981E" w14:textId="77777777" w:rsidTr="00AC7FC1">
        <w:tc>
          <w:tcPr>
            <w:tcW w:w="3402" w:type="dxa"/>
            <w:tcBorders>
              <w:top w:val="single" w:sz="4" w:space="0" w:color="000000"/>
              <w:left w:val="single" w:sz="4" w:space="0" w:color="000000"/>
              <w:bottom w:val="single" w:sz="4" w:space="0" w:color="000000"/>
            </w:tcBorders>
            <w:vAlign w:val="bottom"/>
          </w:tcPr>
          <w:p w14:paraId="038F6B6B" w14:textId="77777777" w:rsidR="00E72F82" w:rsidRPr="00175E32" w:rsidRDefault="00E72F82" w:rsidP="00E72F82">
            <w:pPr>
              <w:ind w:firstLine="0"/>
              <w:jc w:val="left"/>
              <w:rPr>
                <w:szCs w:val="24"/>
              </w:rPr>
            </w:pPr>
            <w:r w:rsidRPr="00175E32">
              <w:rPr>
                <w:szCs w:val="24"/>
              </w:rPr>
              <w:t>Количество посещений социокультурных мероприятий на территории муниципального образования</w:t>
            </w:r>
          </w:p>
        </w:tc>
        <w:tc>
          <w:tcPr>
            <w:tcW w:w="1843" w:type="dxa"/>
            <w:tcBorders>
              <w:top w:val="single" w:sz="4" w:space="0" w:color="000000"/>
              <w:left w:val="single" w:sz="4" w:space="0" w:color="000000"/>
              <w:bottom w:val="single" w:sz="4" w:space="0" w:color="000000"/>
            </w:tcBorders>
            <w:vAlign w:val="bottom"/>
          </w:tcPr>
          <w:p w14:paraId="30189E58" w14:textId="77777777" w:rsidR="00E72F82" w:rsidRPr="00175E32" w:rsidRDefault="00E72F82" w:rsidP="00E72F82">
            <w:pPr>
              <w:ind w:firstLine="0"/>
              <w:jc w:val="center"/>
              <w:rPr>
                <w:szCs w:val="24"/>
              </w:rPr>
            </w:pPr>
            <w:r w:rsidRPr="00175E32">
              <w:rPr>
                <w:szCs w:val="24"/>
              </w:rPr>
              <w:t>посещений на 1000 чел. населения</w:t>
            </w:r>
          </w:p>
        </w:tc>
        <w:tc>
          <w:tcPr>
            <w:tcW w:w="1418" w:type="dxa"/>
            <w:tcBorders>
              <w:top w:val="single" w:sz="4" w:space="0" w:color="000000"/>
              <w:left w:val="single" w:sz="4" w:space="0" w:color="000000"/>
              <w:bottom w:val="single" w:sz="4" w:space="0" w:color="000000"/>
            </w:tcBorders>
            <w:vAlign w:val="bottom"/>
          </w:tcPr>
          <w:p w14:paraId="3B7F71D5" w14:textId="77777777" w:rsidR="00E72F82" w:rsidRPr="00175E32" w:rsidRDefault="00E72F82" w:rsidP="00203520">
            <w:pPr>
              <w:ind w:firstLine="0"/>
              <w:jc w:val="center"/>
              <w:rPr>
                <w:szCs w:val="24"/>
              </w:rPr>
            </w:pPr>
            <w:r w:rsidRPr="00175E32">
              <w:rPr>
                <w:szCs w:val="24"/>
              </w:rPr>
              <w:t>2319</w:t>
            </w:r>
          </w:p>
        </w:tc>
        <w:tc>
          <w:tcPr>
            <w:tcW w:w="1417" w:type="dxa"/>
            <w:tcBorders>
              <w:top w:val="single" w:sz="4" w:space="0" w:color="000000"/>
              <w:left w:val="single" w:sz="4" w:space="0" w:color="000000"/>
              <w:bottom w:val="single" w:sz="4" w:space="0" w:color="000000"/>
            </w:tcBorders>
            <w:vAlign w:val="bottom"/>
          </w:tcPr>
          <w:p w14:paraId="233EC662" w14:textId="77777777" w:rsidR="00E72F82" w:rsidRPr="00175E32" w:rsidRDefault="00E72F82" w:rsidP="00203520">
            <w:pPr>
              <w:ind w:firstLine="0"/>
              <w:jc w:val="center"/>
              <w:rPr>
                <w:szCs w:val="24"/>
              </w:rPr>
            </w:pPr>
            <w:r w:rsidRPr="00175E32">
              <w:rPr>
                <w:szCs w:val="24"/>
              </w:rPr>
              <w:t>2343</w:t>
            </w:r>
          </w:p>
        </w:tc>
        <w:tc>
          <w:tcPr>
            <w:tcW w:w="1276" w:type="dxa"/>
            <w:tcBorders>
              <w:top w:val="single" w:sz="4" w:space="0" w:color="000000"/>
              <w:left w:val="single" w:sz="4" w:space="0" w:color="000000"/>
              <w:bottom w:val="single" w:sz="4" w:space="0" w:color="000000"/>
              <w:right w:val="single" w:sz="4" w:space="0" w:color="000000"/>
            </w:tcBorders>
            <w:vAlign w:val="bottom"/>
          </w:tcPr>
          <w:p w14:paraId="3A4D5473" w14:textId="77777777" w:rsidR="00E72F82" w:rsidRPr="00175E32" w:rsidRDefault="00E72F82" w:rsidP="00203520">
            <w:pPr>
              <w:ind w:firstLine="0"/>
              <w:jc w:val="center"/>
              <w:rPr>
                <w:szCs w:val="24"/>
              </w:rPr>
            </w:pPr>
            <w:r w:rsidRPr="00175E32">
              <w:rPr>
                <w:szCs w:val="24"/>
              </w:rPr>
              <w:t>1511</w:t>
            </w:r>
          </w:p>
        </w:tc>
      </w:tr>
    </w:tbl>
    <w:p w14:paraId="75B196A7" w14:textId="77777777" w:rsidR="00E72F82" w:rsidRPr="00175E32" w:rsidRDefault="00E72F82" w:rsidP="00E72F82">
      <w:pPr>
        <w:spacing w:line="276" w:lineRule="auto"/>
        <w:rPr>
          <w:szCs w:val="24"/>
        </w:rPr>
      </w:pPr>
    </w:p>
    <w:p w14:paraId="38ED8A1E" w14:textId="77777777" w:rsidR="00E72F82" w:rsidRPr="00175E32" w:rsidRDefault="00E72F82" w:rsidP="00E72F82">
      <w:pPr>
        <w:pStyle w:val="2a"/>
        <w:spacing w:after="0" w:line="276" w:lineRule="auto"/>
        <w:rPr>
          <w:szCs w:val="24"/>
        </w:rPr>
      </w:pPr>
      <w:r w:rsidRPr="00175E32">
        <w:rPr>
          <w:szCs w:val="24"/>
        </w:rPr>
        <w:t>В целях обеспечения деятельности учреждений культуры, в том числе созданию благоприятных условий для организации работы с посетителями и оказанию услуг в области культуры в рамках муниципальной программы «Культура Тольятти на 2019-20</w:t>
      </w:r>
      <w:r w:rsidR="00370A1A">
        <w:rPr>
          <w:szCs w:val="24"/>
        </w:rPr>
        <w:t>23 </w:t>
      </w:r>
      <w:r w:rsidRPr="00175E32">
        <w:rPr>
          <w:szCs w:val="24"/>
        </w:rPr>
        <w:t xml:space="preserve">годы», утвержденной постановлением администрации городского округа Тольятти от 21.09.2018 №2799-п/1, </w:t>
      </w:r>
      <w:r w:rsidR="00732F84" w:rsidRPr="00175E32">
        <w:rPr>
          <w:szCs w:val="24"/>
        </w:rPr>
        <w:t xml:space="preserve">запланирован </w:t>
      </w:r>
      <w:r w:rsidRPr="00175E32">
        <w:rPr>
          <w:szCs w:val="24"/>
        </w:rPr>
        <w:t xml:space="preserve">капитальный ремонт зданий и материально-техническое оснащение объектов культуры с учетом </w:t>
      </w:r>
      <w:proofErr w:type="spellStart"/>
      <w:r w:rsidRPr="00175E32">
        <w:rPr>
          <w:szCs w:val="24"/>
        </w:rPr>
        <w:t>софинансирования</w:t>
      </w:r>
      <w:proofErr w:type="spellEnd"/>
      <w:r w:rsidRPr="00175E32">
        <w:rPr>
          <w:szCs w:val="24"/>
        </w:rPr>
        <w:t xml:space="preserve"> областных субсидий в 2020 году:</w:t>
      </w:r>
    </w:p>
    <w:p w14:paraId="0BD867B6" w14:textId="77777777" w:rsidR="00E72F82" w:rsidRPr="00175E32" w:rsidRDefault="00E72F82" w:rsidP="00E72F82">
      <w:pPr>
        <w:pStyle w:val="2a"/>
        <w:spacing w:after="0" w:line="276" w:lineRule="auto"/>
        <w:rPr>
          <w:szCs w:val="24"/>
        </w:rPr>
      </w:pPr>
      <w:r w:rsidRPr="00175E32">
        <w:rPr>
          <w:szCs w:val="24"/>
        </w:rPr>
        <w:t>- оснащение в рамках национального проекта «Культура» МБУ ДО ШИ «Лицей искусств» (б-р Курчатова, 2) музыкальными инструментами, оборудованием и учебными материалами;</w:t>
      </w:r>
    </w:p>
    <w:p w14:paraId="080F572F" w14:textId="77777777" w:rsidR="00E72F82" w:rsidRPr="00175E32" w:rsidRDefault="00E72F82" w:rsidP="00E72F82">
      <w:pPr>
        <w:pStyle w:val="2a"/>
        <w:spacing w:after="0" w:line="276" w:lineRule="auto"/>
        <w:rPr>
          <w:szCs w:val="24"/>
        </w:rPr>
      </w:pPr>
      <w:r w:rsidRPr="00175E32">
        <w:rPr>
          <w:szCs w:val="24"/>
        </w:rPr>
        <w:t xml:space="preserve">- оснащение в рамках федерального проекта «Театры–детям» специализированным оборудованием и материалами, а также </w:t>
      </w:r>
      <w:r w:rsidR="00370A1A">
        <w:rPr>
          <w:szCs w:val="24"/>
        </w:rPr>
        <w:t>на премьерные постановки в МБУИ </w:t>
      </w:r>
      <w:r w:rsidRPr="00175E32">
        <w:rPr>
          <w:szCs w:val="24"/>
        </w:rPr>
        <w:t>«Молодежный драматический театр», МБУИ «Тольяттински</w:t>
      </w:r>
      <w:r w:rsidR="00370A1A">
        <w:rPr>
          <w:szCs w:val="24"/>
        </w:rPr>
        <w:t>й театр кукол», ТЮЗ «Дилижанс»;</w:t>
      </w:r>
    </w:p>
    <w:p w14:paraId="4F90640A" w14:textId="77777777" w:rsidR="00E72F82" w:rsidRPr="00175E32" w:rsidRDefault="00E72F82" w:rsidP="00E72F82">
      <w:pPr>
        <w:pStyle w:val="2a"/>
        <w:spacing w:after="0" w:line="276" w:lineRule="auto"/>
        <w:rPr>
          <w:szCs w:val="24"/>
        </w:rPr>
      </w:pPr>
      <w:r w:rsidRPr="00175E32">
        <w:rPr>
          <w:szCs w:val="24"/>
        </w:rPr>
        <w:t>- реализация общественных проектов в рамках государственной программы «Поддержка инициатив населения муниципальных образований в Самарской области на 2017-2025 годы»;</w:t>
      </w:r>
    </w:p>
    <w:p w14:paraId="715AB5C9" w14:textId="77777777" w:rsidR="00E72F82" w:rsidRPr="00175E32" w:rsidRDefault="00E72F82" w:rsidP="00E72F82">
      <w:pPr>
        <w:pStyle w:val="2a"/>
        <w:spacing w:after="0" w:line="276" w:lineRule="auto"/>
        <w:rPr>
          <w:szCs w:val="24"/>
        </w:rPr>
      </w:pPr>
      <w:r w:rsidRPr="00175E32">
        <w:rPr>
          <w:szCs w:val="24"/>
        </w:rPr>
        <w:t>- капитальный ремонт образовательных учреждений МБУ ДО ШИ Центрального района, МБУ ДО ШИ «Лицей искусств», МБУ ДО ДШИ «Форте», МБУ ДО Школа искусств № 1, МБУ ДО «Детский Дом Культуры», МБОУ ВО «Тольяттинская Консерватория»;</w:t>
      </w:r>
    </w:p>
    <w:p w14:paraId="3FFCDE46" w14:textId="77777777" w:rsidR="00E72F82" w:rsidRPr="00175E32" w:rsidRDefault="00E72F82" w:rsidP="00E72F82">
      <w:pPr>
        <w:pStyle w:val="2a"/>
        <w:spacing w:after="0" w:line="276" w:lineRule="auto"/>
        <w:rPr>
          <w:szCs w:val="24"/>
        </w:rPr>
      </w:pPr>
      <w:r w:rsidRPr="00175E32">
        <w:rPr>
          <w:szCs w:val="24"/>
        </w:rPr>
        <w:t xml:space="preserve">- капитальный ремонт кровли МАУ городского округа Тольятти «ДТ </w:t>
      </w:r>
      <w:r w:rsidR="007D5F6C">
        <w:rPr>
          <w:szCs w:val="24"/>
        </w:rPr>
        <w:t>«</w:t>
      </w:r>
      <w:r w:rsidRPr="00175E32">
        <w:rPr>
          <w:szCs w:val="24"/>
        </w:rPr>
        <w:t>Колесо</w:t>
      </w:r>
      <w:r w:rsidR="007D5F6C">
        <w:rPr>
          <w:szCs w:val="24"/>
        </w:rPr>
        <w:t>»</w:t>
      </w:r>
      <w:r w:rsidRPr="00175E32">
        <w:rPr>
          <w:szCs w:val="24"/>
        </w:rPr>
        <w:t xml:space="preserve"> имени Г.Б. Дроздова» и проведение капитального ремонта (частично), ремонт кровли паровозного депо в МАУК ПКИТ им. К.Г. Сахарова;</w:t>
      </w:r>
    </w:p>
    <w:p w14:paraId="62E7FFD1" w14:textId="77777777" w:rsidR="00E72F82" w:rsidRPr="00175E32" w:rsidRDefault="00E72F82" w:rsidP="00E72F82">
      <w:pPr>
        <w:pStyle w:val="2a"/>
        <w:spacing w:after="0" w:line="276" w:lineRule="auto"/>
        <w:rPr>
          <w:szCs w:val="24"/>
        </w:rPr>
      </w:pPr>
      <w:r w:rsidRPr="00175E32">
        <w:rPr>
          <w:szCs w:val="24"/>
        </w:rPr>
        <w:t xml:space="preserve">- модернизация оборудования и автоматизацию технологических процессов в МБУК «Библиотеки Тольятти», МБУК «Объединение детских библиотек» (242,0 тыс. рублей), пополнение книжных фондов, в том числе электронная подписка </w:t>
      </w:r>
      <w:r w:rsidRPr="00175E32">
        <w:rPr>
          <w:szCs w:val="24"/>
        </w:rPr>
        <w:lastRenderedPageBreak/>
        <w:t>полнотекстовых электронных документов «</w:t>
      </w:r>
      <w:proofErr w:type="spellStart"/>
      <w:r w:rsidRPr="00175E32">
        <w:rPr>
          <w:szCs w:val="24"/>
        </w:rPr>
        <w:t>ЛитРес</w:t>
      </w:r>
      <w:proofErr w:type="spellEnd"/>
      <w:r w:rsidRPr="00175E32">
        <w:rPr>
          <w:szCs w:val="24"/>
        </w:rPr>
        <w:t>» в МБУК «Библиотеки Тольятти», МБУК «Объединение детских библиотек»;</w:t>
      </w:r>
    </w:p>
    <w:p w14:paraId="794DCD57" w14:textId="77777777" w:rsidR="00E72F82" w:rsidRPr="00175E32" w:rsidRDefault="00E72F82" w:rsidP="00E72F82">
      <w:pPr>
        <w:pStyle w:val="2a"/>
        <w:spacing w:after="0" w:line="276" w:lineRule="auto"/>
        <w:rPr>
          <w:szCs w:val="24"/>
        </w:rPr>
      </w:pPr>
      <w:r w:rsidRPr="00175E32">
        <w:rPr>
          <w:szCs w:val="24"/>
        </w:rPr>
        <w:t>- приобретение оборудования для обеспечения учета, автоматизации и хранения музейных предметов в МБУК «Тольяттинский краеведческий музей».</w:t>
      </w:r>
    </w:p>
    <w:p w14:paraId="38CB6955" w14:textId="77777777" w:rsidR="00E72F82" w:rsidRPr="00175E32" w:rsidRDefault="00E72F82" w:rsidP="00E72F82">
      <w:pPr>
        <w:pStyle w:val="2a"/>
        <w:spacing w:after="0" w:line="276" w:lineRule="auto"/>
        <w:rPr>
          <w:szCs w:val="24"/>
        </w:rPr>
      </w:pPr>
      <w:r w:rsidRPr="00175E32">
        <w:rPr>
          <w:szCs w:val="24"/>
        </w:rPr>
        <w:t>Ключевой проблемой, препятствующей развитию сферы культура в городском округе Тольятти продолжает оставаться потребность в существенном обновлении материально-технического оснащения учреждений культуры и искусства, в том числе недостаточность ресурсов на разработку проектно-сметной документации и осуществлений капитального ремонта существующих и строительства новых зданий для объектов культуры и искусства. Развитие кадрового потенциала отрасли планируется через проведение и участие в конкурсах профессионального мастерства в целях поддержки и профессионального развития специалистов учреждений культуры, участие в программах повышения квалификации в рамках реализации национального проекта «Культура».</w:t>
      </w:r>
    </w:p>
    <w:p w14:paraId="6E94BCEA" w14:textId="77777777" w:rsidR="00FA601B" w:rsidRPr="00175E32" w:rsidRDefault="00FA601B" w:rsidP="00FA601B">
      <w:pPr>
        <w:pStyle w:val="2a"/>
        <w:spacing w:after="0" w:line="276" w:lineRule="auto"/>
        <w:rPr>
          <w:szCs w:val="24"/>
        </w:rPr>
      </w:pPr>
    </w:p>
    <w:p w14:paraId="5B205172" w14:textId="77777777" w:rsidR="00FA601B" w:rsidRPr="00175E32" w:rsidRDefault="00FA601B" w:rsidP="00370A1A">
      <w:pPr>
        <w:pStyle w:val="3"/>
        <w:ind w:left="0" w:firstLine="0"/>
      </w:pPr>
      <w:r w:rsidRPr="00175E32">
        <w:t>Физическая культура и спорт</w:t>
      </w:r>
    </w:p>
    <w:p w14:paraId="01E166BF" w14:textId="77777777" w:rsidR="00FA601B" w:rsidRPr="00175E32" w:rsidRDefault="00FA601B" w:rsidP="00FA601B">
      <w:pPr>
        <w:pStyle w:val="2a"/>
        <w:spacing w:after="0" w:line="276" w:lineRule="auto"/>
        <w:jc w:val="center"/>
        <w:rPr>
          <w:b/>
          <w:bCs/>
          <w:szCs w:val="24"/>
        </w:rPr>
      </w:pPr>
    </w:p>
    <w:p w14:paraId="3F2F692E" w14:textId="77777777" w:rsidR="00FA601B" w:rsidRPr="00175E32" w:rsidRDefault="00FA601B" w:rsidP="00251693">
      <w:pPr>
        <w:pStyle w:val="aff0"/>
        <w:spacing w:line="276" w:lineRule="auto"/>
        <w:rPr>
          <w:sz w:val="24"/>
          <w:szCs w:val="24"/>
        </w:rPr>
      </w:pPr>
      <w:r w:rsidRPr="00175E32">
        <w:rPr>
          <w:sz w:val="24"/>
          <w:szCs w:val="24"/>
        </w:rPr>
        <w:t>На территории Тольятти спортивную работу проводят:</w:t>
      </w:r>
    </w:p>
    <w:p w14:paraId="18E2E19B" w14:textId="77777777" w:rsidR="00FA601B" w:rsidRPr="00175E32" w:rsidRDefault="00FA601B" w:rsidP="00251693">
      <w:pPr>
        <w:pStyle w:val="aff0"/>
        <w:spacing w:line="276" w:lineRule="auto"/>
        <w:rPr>
          <w:sz w:val="24"/>
          <w:szCs w:val="24"/>
        </w:rPr>
      </w:pPr>
      <w:r w:rsidRPr="00175E32">
        <w:rPr>
          <w:sz w:val="24"/>
          <w:szCs w:val="24"/>
        </w:rPr>
        <w:t>- 14 муниципальных бюджетных учреждений дополнительного образования (комплексных) специализированных детско-юношеских спортивных школ олимпийского резерва с общим количеством обучающихся – 14951 чел</w:t>
      </w:r>
      <w:r w:rsidR="00C52F69">
        <w:rPr>
          <w:sz w:val="24"/>
          <w:szCs w:val="24"/>
        </w:rPr>
        <w:t>овек</w:t>
      </w:r>
      <w:r w:rsidRPr="00175E32">
        <w:rPr>
          <w:sz w:val="24"/>
          <w:szCs w:val="24"/>
        </w:rPr>
        <w:t xml:space="preserve">. По сравнению с отчетным периодом 2019 года изменений по количеству школ и количеству учащихся не произошло; </w:t>
      </w:r>
    </w:p>
    <w:p w14:paraId="52F5C442" w14:textId="77777777" w:rsidR="00FA601B" w:rsidRPr="00175E32" w:rsidRDefault="00FA601B" w:rsidP="00251693">
      <w:pPr>
        <w:pStyle w:val="aff0"/>
        <w:spacing w:line="276" w:lineRule="auto"/>
        <w:rPr>
          <w:sz w:val="24"/>
          <w:szCs w:val="24"/>
        </w:rPr>
      </w:pPr>
      <w:r w:rsidRPr="00175E32">
        <w:rPr>
          <w:sz w:val="24"/>
          <w:szCs w:val="24"/>
        </w:rPr>
        <w:t xml:space="preserve">- 197 клубов по месту жительства, что </w:t>
      </w:r>
      <w:proofErr w:type="gramStart"/>
      <w:r w:rsidRPr="00175E32">
        <w:rPr>
          <w:sz w:val="24"/>
          <w:szCs w:val="24"/>
        </w:rPr>
        <w:t>больше</w:t>
      </w:r>
      <w:proofErr w:type="gramEnd"/>
      <w:r w:rsidRPr="00175E32">
        <w:rPr>
          <w:sz w:val="24"/>
          <w:szCs w:val="24"/>
        </w:rPr>
        <w:t xml:space="preserve"> чем в отчетном периоде 2019 года на 10,1%, количество членов клубов увеличилось на 4,6% (на 3 119 человек) и составило 71,2 тыс. чел</w:t>
      </w:r>
      <w:r w:rsidR="00C52F69">
        <w:rPr>
          <w:sz w:val="24"/>
          <w:szCs w:val="24"/>
        </w:rPr>
        <w:t>овек;</w:t>
      </w:r>
    </w:p>
    <w:p w14:paraId="397706B9" w14:textId="77777777" w:rsidR="00FA601B" w:rsidRPr="00175E32" w:rsidRDefault="00FA601B" w:rsidP="00251693">
      <w:pPr>
        <w:pStyle w:val="aff0"/>
        <w:spacing w:line="276" w:lineRule="auto"/>
        <w:rPr>
          <w:sz w:val="24"/>
          <w:szCs w:val="24"/>
        </w:rPr>
      </w:pPr>
      <w:r w:rsidRPr="00175E32">
        <w:rPr>
          <w:sz w:val="24"/>
          <w:szCs w:val="24"/>
        </w:rPr>
        <w:t>- 507 коллективов физической культуры, что на 11,2% (51 ед.) больше, чем в отчетном периоде 2019 года. Рост данного показателя связан с изменением методики статистической отчетности – дополнительно учитываются фитнес клубы, клубы, федерации.</w:t>
      </w:r>
    </w:p>
    <w:p w14:paraId="2649AC85" w14:textId="77777777" w:rsidR="00FA601B" w:rsidRPr="00175E32" w:rsidRDefault="00FA601B" w:rsidP="00251693">
      <w:pPr>
        <w:pStyle w:val="aff0"/>
        <w:spacing w:line="276" w:lineRule="auto"/>
        <w:rPr>
          <w:sz w:val="24"/>
          <w:szCs w:val="24"/>
        </w:rPr>
      </w:pPr>
      <w:r w:rsidRPr="00175E32">
        <w:rPr>
          <w:sz w:val="24"/>
          <w:szCs w:val="24"/>
        </w:rPr>
        <w:t xml:space="preserve">В отчетном периоде в городском округе Тольятти было проведено 66 официальных физкультурно-спортивных мероприятий (на 61,4% </w:t>
      </w:r>
      <w:proofErr w:type="gramStart"/>
      <w:r w:rsidRPr="00175E32">
        <w:rPr>
          <w:sz w:val="24"/>
          <w:szCs w:val="24"/>
        </w:rPr>
        <w:t>меньше</w:t>
      </w:r>
      <w:proofErr w:type="gramEnd"/>
      <w:r w:rsidRPr="00175E32">
        <w:rPr>
          <w:sz w:val="24"/>
          <w:szCs w:val="24"/>
        </w:rPr>
        <w:t xml:space="preserve"> чем в 2019 году), что повлияло на количественный показатель принявших участие в вышеуказанных мероприятиях. По сравнению с 2019 годом количество участников сни</w:t>
      </w:r>
      <w:r w:rsidR="00370A1A">
        <w:rPr>
          <w:sz w:val="24"/>
          <w:szCs w:val="24"/>
        </w:rPr>
        <w:t>зилось на 32,1 человек (52,8%).</w:t>
      </w:r>
    </w:p>
    <w:p w14:paraId="736C1E77" w14:textId="77777777" w:rsidR="00FA601B" w:rsidRPr="00175E32" w:rsidRDefault="00FA601B" w:rsidP="00251693">
      <w:pPr>
        <w:overflowPunct w:val="0"/>
        <w:autoSpaceDE w:val="0"/>
        <w:autoSpaceDN w:val="0"/>
        <w:adjustRightInd w:val="0"/>
        <w:spacing w:line="276" w:lineRule="auto"/>
        <w:rPr>
          <w:szCs w:val="24"/>
        </w:rPr>
      </w:pPr>
      <w:r w:rsidRPr="00175E32">
        <w:rPr>
          <w:szCs w:val="24"/>
        </w:rPr>
        <w:t xml:space="preserve">Снижение количества физкультурных мероприятий и спортивных мероприятий Календарного плана и участников в них произошло в связи с введением ограничительных мероприятий по недопущению распространения коронавирусной инфекции, постановлением Губернатора Самарской области «Об ограничительных и иных мероприятиях по обеспечению санитарно-эпидемиологического благополучия населения в связи с распространением новой коронавирусной инфекции (COVID - 19) на территории Самарской области и внесения изменений в постановление Губернатора Самарской области «О введении режима повышенной готовности в связи с угрозой распространения новой коронавирусной инфекции, вызванной 2019- </w:t>
      </w:r>
      <w:proofErr w:type="spellStart"/>
      <w:r w:rsidRPr="00175E32">
        <w:rPr>
          <w:szCs w:val="24"/>
        </w:rPr>
        <w:t>nCoV</w:t>
      </w:r>
      <w:proofErr w:type="spellEnd"/>
      <w:r w:rsidRPr="00175E32">
        <w:rPr>
          <w:szCs w:val="24"/>
        </w:rPr>
        <w:t>», в период с 17 марта 2020 и до особого распоряжения в муниципальных учреждениях отрасли «Физическая культура и спорт» городского округа Тольятти запрещено проведение спортивных, зрелищных, культурных, просветительских, публичных</w:t>
      </w:r>
      <w:r w:rsidR="00370A1A">
        <w:rPr>
          <w:szCs w:val="24"/>
        </w:rPr>
        <w:t xml:space="preserve"> и других массовых мероприятий.</w:t>
      </w:r>
    </w:p>
    <w:p w14:paraId="15D9A542" w14:textId="77777777" w:rsidR="00FA601B" w:rsidRPr="00175E32" w:rsidRDefault="00FA601B" w:rsidP="00251693">
      <w:pPr>
        <w:pStyle w:val="aff0"/>
        <w:spacing w:line="276" w:lineRule="auto"/>
        <w:rPr>
          <w:sz w:val="24"/>
          <w:szCs w:val="24"/>
          <w:lang w:eastAsia="ar-SA"/>
        </w:rPr>
      </w:pPr>
      <w:r w:rsidRPr="00175E32">
        <w:rPr>
          <w:sz w:val="24"/>
          <w:szCs w:val="24"/>
          <w:lang w:eastAsia="ar-SA"/>
        </w:rPr>
        <w:lastRenderedPageBreak/>
        <w:t>В рамках реализации федерального проекта «Спорт - норма жизни» введен в эксплуатацию физкультурно-спортивный комплекс с универсальным игровым залом (36х18м) по адресу: Самарская область, г. Тольятти, Автозаводский район, южнее здания № 15 по бул. Кулибина, для МБУДО СДЮСШОР № 8 «Союз».</w:t>
      </w:r>
    </w:p>
    <w:p w14:paraId="59A5895A" w14:textId="77777777" w:rsidR="00FA601B" w:rsidRPr="00175E32" w:rsidRDefault="00FA601B" w:rsidP="00251693">
      <w:pPr>
        <w:suppressAutoHyphens w:val="0"/>
        <w:spacing w:line="276" w:lineRule="auto"/>
        <w:textAlignment w:val="baseline"/>
        <w:rPr>
          <w:szCs w:val="24"/>
        </w:rPr>
      </w:pPr>
      <w:r w:rsidRPr="00175E32">
        <w:rPr>
          <w:szCs w:val="24"/>
        </w:rPr>
        <w:t>В новом спортивном комплексе проводятся занятия по четырем видам спорта: каратэ, рукопашный бой, тхэквондо и ММА. В составе «Союза» имеется большой спортивный зал, где уже разложены татами. В тренажерном зале часть помещений отведена под тренажеры, а часть — также под единоборства. В настоящее время прорабатывается вопрос о предоставлении в ФСК услуг населению, частности, планируется организация занятий для пожилых горожан.</w:t>
      </w:r>
    </w:p>
    <w:p w14:paraId="3E931A43" w14:textId="77777777" w:rsidR="00FA601B" w:rsidRPr="00175E32" w:rsidRDefault="00FA601B" w:rsidP="00251693">
      <w:pPr>
        <w:suppressAutoHyphens w:val="0"/>
        <w:spacing w:line="276" w:lineRule="auto"/>
        <w:textAlignment w:val="baseline"/>
        <w:rPr>
          <w:szCs w:val="24"/>
        </w:rPr>
      </w:pPr>
      <w:r w:rsidRPr="00175E32">
        <w:rPr>
          <w:szCs w:val="24"/>
        </w:rPr>
        <w:t>Также на площадях «Союза» планируется проведение различных спортивных соревнований. Наличие универсального зала размером 36 на 12 м позволяет заниматься игровыми видами спорта.</w:t>
      </w:r>
    </w:p>
    <w:p w14:paraId="2C634AA4" w14:textId="77777777" w:rsidR="00FA601B" w:rsidRPr="00175E32" w:rsidRDefault="00FA601B" w:rsidP="00251693">
      <w:pPr>
        <w:spacing w:line="276" w:lineRule="auto"/>
        <w:rPr>
          <w:bCs/>
          <w:szCs w:val="24"/>
        </w:rPr>
      </w:pPr>
      <w:r w:rsidRPr="00175E32">
        <w:rPr>
          <w:bCs/>
          <w:szCs w:val="24"/>
        </w:rPr>
        <w:t xml:space="preserve">За 2019 год администрацией городского округа Тольятти организовано и проведено 356 физкультурно-спортивных мероприятий с общим </w:t>
      </w:r>
      <w:r w:rsidR="00370A1A">
        <w:rPr>
          <w:bCs/>
          <w:szCs w:val="24"/>
        </w:rPr>
        <w:t>охватом 142 535 участников (333 </w:t>
      </w:r>
      <w:r w:rsidRPr="00175E32">
        <w:rPr>
          <w:bCs/>
          <w:szCs w:val="24"/>
        </w:rPr>
        <w:t>мероприят</w:t>
      </w:r>
      <w:r w:rsidR="00370A1A">
        <w:rPr>
          <w:bCs/>
          <w:szCs w:val="24"/>
        </w:rPr>
        <w:t>ия с количеством участников 123 </w:t>
      </w:r>
      <w:r w:rsidRPr="00175E32">
        <w:rPr>
          <w:bCs/>
          <w:szCs w:val="24"/>
        </w:rPr>
        <w:t>815 чел</w:t>
      </w:r>
      <w:r w:rsidR="007D5F6C">
        <w:rPr>
          <w:bCs/>
          <w:szCs w:val="24"/>
        </w:rPr>
        <w:t>овек</w:t>
      </w:r>
      <w:r w:rsidRPr="00175E32">
        <w:rPr>
          <w:bCs/>
          <w:szCs w:val="24"/>
        </w:rPr>
        <w:t xml:space="preserve"> в рамках реализации Календарного плана и 23 мероприятия с количеством участников 18</w:t>
      </w:r>
      <w:r w:rsidR="00370A1A">
        <w:rPr>
          <w:bCs/>
          <w:szCs w:val="24"/>
        </w:rPr>
        <w:t> </w:t>
      </w:r>
      <w:r w:rsidRPr="00175E32">
        <w:rPr>
          <w:bCs/>
          <w:szCs w:val="24"/>
        </w:rPr>
        <w:t>720 чел</w:t>
      </w:r>
      <w:r w:rsidR="007D5F6C">
        <w:rPr>
          <w:bCs/>
          <w:szCs w:val="24"/>
        </w:rPr>
        <w:t>овек</w:t>
      </w:r>
      <w:r w:rsidRPr="00175E32">
        <w:rPr>
          <w:bCs/>
          <w:szCs w:val="24"/>
        </w:rPr>
        <w:t xml:space="preserve"> по разрешительным бланкам в соответствии с постановлением мэра городского округа Тольятти от 19.01.2009 № 73-п/1 «Об утверждении положения о проведении массовых мероприятий на территории городского округа Тольятти»)</w:t>
      </w:r>
      <w:r w:rsidR="00370A1A">
        <w:rPr>
          <w:bCs/>
          <w:szCs w:val="24"/>
        </w:rPr>
        <w:t>, в сравнении с 2018 годом (317 </w:t>
      </w:r>
      <w:r w:rsidRPr="00175E32">
        <w:rPr>
          <w:bCs/>
          <w:szCs w:val="24"/>
        </w:rPr>
        <w:t>мероприятий с количеством участников 108 885 человек) увеличилось.</w:t>
      </w:r>
    </w:p>
    <w:p w14:paraId="7833484C" w14:textId="77777777" w:rsidR="00FA601B" w:rsidRPr="00175E32" w:rsidRDefault="00FA601B" w:rsidP="00251693">
      <w:pPr>
        <w:spacing w:line="276" w:lineRule="auto"/>
        <w:rPr>
          <w:szCs w:val="24"/>
        </w:rPr>
      </w:pPr>
      <w:r w:rsidRPr="00175E32">
        <w:rPr>
          <w:szCs w:val="24"/>
        </w:rPr>
        <w:t>Несмотря на наличие системной работы в городском округе Тольятти, как и в целом в стране, существуют проблемы, сдерживающие развитие физической культуры и спорта. В городском округе Тольятти низкая обеспеченность населения городского округа Тольятти спортивными сооружениями.</w:t>
      </w:r>
    </w:p>
    <w:p w14:paraId="626979D4" w14:textId="77777777" w:rsidR="00FA601B" w:rsidRPr="00175E32" w:rsidRDefault="00FA601B" w:rsidP="00251693">
      <w:pPr>
        <w:spacing w:line="276" w:lineRule="auto"/>
        <w:rPr>
          <w:szCs w:val="24"/>
        </w:rPr>
      </w:pPr>
      <w:r w:rsidRPr="00175E32">
        <w:rPr>
          <w:szCs w:val="24"/>
        </w:rPr>
        <w:t xml:space="preserve">Согласно данным федерального статистического наблюдения по форме </w:t>
      </w:r>
      <w:r w:rsidR="00370A1A">
        <w:rPr>
          <w:szCs w:val="24"/>
        </w:rPr>
        <w:t>№ </w:t>
      </w:r>
      <w:r w:rsidRPr="00175E32">
        <w:rPr>
          <w:szCs w:val="24"/>
        </w:rPr>
        <w:t>1-ФК «Сведения о физической культуре и спорте» по состоянию на 31.12.2019 в городском округе Тольятти общее количество спортивных сооружений составляет 835 ед., в том числе: стадионы - 2 ед., плоскостные площадки, поля - 456 ед., спортивные залы - 199 ед., крытые объекты с искусственным льдом - 6 ед., плавательные бассейны - 22 ед., лыжные базы - 3 ед., стрелковые тиры - 16 ед. и другие спортивные сооружения - 111 ед., объекты городской и рекреационной инфраструктуры – 20 ед.</w:t>
      </w:r>
    </w:p>
    <w:p w14:paraId="03739B5A" w14:textId="77777777" w:rsidR="00FA601B" w:rsidRPr="00175E32" w:rsidRDefault="00FA601B" w:rsidP="00251693">
      <w:pPr>
        <w:spacing w:line="276" w:lineRule="auto"/>
        <w:rPr>
          <w:szCs w:val="24"/>
        </w:rPr>
      </w:pPr>
      <w:r w:rsidRPr="00175E32">
        <w:rPr>
          <w:szCs w:val="24"/>
        </w:rPr>
        <w:t>Распределение спортивных сооружений, расположенных на территории городского округа Тольятти по формам собственности: в федеральной собственности - 35 ед., в собственности субъекта - 62 ед., в муниципальной собственности - 667 ед. и в другой собственности - 61 ед.</w:t>
      </w:r>
    </w:p>
    <w:p w14:paraId="051B7D4D" w14:textId="77777777" w:rsidR="00FA601B" w:rsidRPr="00175E32" w:rsidRDefault="00FA601B" w:rsidP="00251693">
      <w:pPr>
        <w:spacing w:line="276" w:lineRule="auto"/>
        <w:rPr>
          <w:szCs w:val="24"/>
        </w:rPr>
      </w:pPr>
      <w:r w:rsidRPr="00175E32">
        <w:rPr>
          <w:szCs w:val="24"/>
        </w:rPr>
        <w:t>Уровень фактической обеспеченности населения объектами спорта от нормативной потребности за 2019 год составил 30,6%, к концу 2020 года она составит 30,9%.</w:t>
      </w:r>
    </w:p>
    <w:p w14:paraId="0AA2AFE5" w14:textId="77777777" w:rsidR="00FA601B" w:rsidRPr="00175E32" w:rsidRDefault="00FA601B" w:rsidP="00FA601B">
      <w:pPr>
        <w:spacing w:line="276" w:lineRule="auto"/>
        <w:rPr>
          <w:szCs w:val="24"/>
        </w:rPr>
      </w:pPr>
      <w:r w:rsidRPr="00175E32">
        <w:rPr>
          <w:szCs w:val="24"/>
        </w:rPr>
        <w:t xml:space="preserve">Значение показателя рассчитано в соответствии с «Методическими рекомендациями о применении нормативов и норм при определении потребности субъектов Российской Федерации в объектах физической культуры и спорта» утвержденными приказом </w:t>
      </w:r>
      <w:r w:rsidR="00506284">
        <w:rPr>
          <w:szCs w:val="24"/>
        </w:rPr>
        <w:t>м</w:t>
      </w:r>
      <w:r w:rsidRPr="00175E32">
        <w:rPr>
          <w:szCs w:val="24"/>
        </w:rPr>
        <w:t>инистерства спорта Росси</w:t>
      </w:r>
      <w:r w:rsidR="00370A1A">
        <w:rPr>
          <w:szCs w:val="24"/>
        </w:rPr>
        <w:t>йской Федерации от 21.03.2018 № </w:t>
      </w:r>
      <w:r w:rsidRPr="00175E32">
        <w:rPr>
          <w:szCs w:val="24"/>
        </w:rPr>
        <w:t>244 и данным, представленным по форме № 1-ФК «Сведения о физической культуре и спорте» за 2019 год.</w:t>
      </w:r>
    </w:p>
    <w:p w14:paraId="1E428B28" w14:textId="77777777" w:rsidR="00FA601B" w:rsidRPr="00175E32" w:rsidRDefault="00FA601B" w:rsidP="00FA601B">
      <w:pPr>
        <w:spacing w:line="276" w:lineRule="auto"/>
        <w:rPr>
          <w:szCs w:val="24"/>
        </w:rPr>
      </w:pPr>
      <w:r w:rsidRPr="00175E32">
        <w:rPr>
          <w:szCs w:val="24"/>
        </w:rPr>
        <w:lastRenderedPageBreak/>
        <w:t xml:space="preserve">Соответственно приоритетным направлением работы по развитию физической культуры и спорта в прогнозный период до 2023 года определено – развитие спортивной инфраструктуры, в том числе, проектирование и строительство новых спортивных сооружений и реконструкция имеющихся спортивных объектов для более эффективного их использования и увеличения пропускной способности. </w:t>
      </w:r>
    </w:p>
    <w:p w14:paraId="79E14263" w14:textId="77777777" w:rsidR="00FA601B" w:rsidRPr="00175E32" w:rsidRDefault="00FA601B" w:rsidP="00FA601B">
      <w:pPr>
        <w:spacing w:line="276" w:lineRule="auto"/>
        <w:rPr>
          <w:szCs w:val="24"/>
        </w:rPr>
      </w:pPr>
      <w:r w:rsidRPr="00175E32">
        <w:rPr>
          <w:szCs w:val="24"/>
        </w:rPr>
        <w:t>Кроме того, для повышения качества предоставления услуг, проведения учебно-тренировочных занятий и физкультурных мероприятий и спортивных мероприятий, привлечения обучающихся образовательных организаций к регулярным занятиям физической культурой и спортом, удовлетворения потребностей населения в занятиях физической культурой, повышения интереса различных категорий граждан к занятиям физической культурой и спортом, необходимо создание малобюджетных спортивных объектов в шаговой доступности и выполнить ремонт пришкольных спортивных площадок, оснащение их оборудованием в соответствии с современными требованиями.</w:t>
      </w:r>
    </w:p>
    <w:p w14:paraId="51BCCD65" w14:textId="77777777" w:rsidR="00FA601B" w:rsidRPr="00175E32" w:rsidRDefault="00FA601B" w:rsidP="00FA601B">
      <w:pPr>
        <w:spacing w:line="276" w:lineRule="auto"/>
        <w:rPr>
          <w:szCs w:val="24"/>
        </w:rPr>
      </w:pPr>
      <w:r w:rsidRPr="00175E32">
        <w:rPr>
          <w:szCs w:val="24"/>
        </w:rPr>
        <w:t xml:space="preserve">В связи с наличием проблемы недостаточности материально-технической базы для занятий физической культурой и спортом разработана и реализуется муниципальная программа «Развитие физической культуры и спорта в городском округе Тольятти на 2017-2021 годы», одной из задач которой предусматривается строительство, реконструкция и капитальный ремонт спортивных объектов в прогнозируемом периоде. </w:t>
      </w:r>
    </w:p>
    <w:p w14:paraId="5320783A" w14:textId="77777777" w:rsidR="00FA601B" w:rsidRPr="00175E32" w:rsidRDefault="00FA601B" w:rsidP="00FA601B">
      <w:pPr>
        <w:spacing w:line="276" w:lineRule="auto"/>
        <w:rPr>
          <w:szCs w:val="24"/>
        </w:rPr>
      </w:pPr>
      <w:r w:rsidRPr="00175E32">
        <w:rPr>
          <w:szCs w:val="24"/>
        </w:rPr>
        <w:t>В 2019 году из средств местного бюджета в рамках муниципальной программы «Развитие физической культуры и спорта на территории городского округа Тольятти на 2017-2021 годы» реализованы мероприятия по развитию спортивной инфраструктуры:</w:t>
      </w:r>
    </w:p>
    <w:p w14:paraId="1FB12F6D" w14:textId="77777777" w:rsidR="00FA601B" w:rsidRPr="00175E32" w:rsidRDefault="00FA601B" w:rsidP="00FA601B">
      <w:pPr>
        <w:spacing w:line="276" w:lineRule="auto"/>
        <w:rPr>
          <w:szCs w:val="24"/>
        </w:rPr>
      </w:pPr>
      <w:r w:rsidRPr="00175E32">
        <w:rPr>
          <w:szCs w:val="24"/>
        </w:rPr>
        <w:t xml:space="preserve">- построен и введён в эксплуатацию физкультурно-спортивный комплекс с универсальным игровым залом (36х18м) по адресу: </w:t>
      </w:r>
      <w:proofErr w:type="spellStart"/>
      <w:r w:rsidRPr="00175E32">
        <w:rPr>
          <w:szCs w:val="24"/>
        </w:rPr>
        <w:t>г.Тольятти</w:t>
      </w:r>
      <w:proofErr w:type="spellEnd"/>
      <w:r w:rsidRPr="00175E32">
        <w:rPr>
          <w:szCs w:val="24"/>
        </w:rPr>
        <w:t>, Автозаводский район, б-р Кулибина, 13а, для создания условий развития единоборств (в т.ч. олимпийские виды - тхэквондо, карате), объект передан в оперативное управление МБУ СШОР № 8 «Союз»;</w:t>
      </w:r>
    </w:p>
    <w:p w14:paraId="6B7520B7" w14:textId="77777777" w:rsidR="00FA601B" w:rsidRPr="00175E32" w:rsidRDefault="00FA601B" w:rsidP="00FA601B">
      <w:pPr>
        <w:spacing w:line="276" w:lineRule="auto"/>
        <w:rPr>
          <w:szCs w:val="24"/>
        </w:rPr>
      </w:pPr>
      <w:r w:rsidRPr="00175E32">
        <w:rPr>
          <w:szCs w:val="24"/>
        </w:rPr>
        <w:t xml:space="preserve">- началось строительство физкультурно-спортивного комплекса в 21 квартале Автозаводского района по адресу: </w:t>
      </w:r>
      <w:proofErr w:type="spellStart"/>
      <w:r w:rsidRPr="00175E32">
        <w:rPr>
          <w:szCs w:val="24"/>
        </w:rPr>
        <w:t>г.Тольятти</w:t>
      </w:r>
      <w:proofErr w:type="spellEnd"/>
      <w:r w:rsidRPr="00175E32">
        <w:rPr>
          <w:szCs w:val="24"/>
        </w:rPr>
        <w:t xml:space="preserve">, Автозаводский район, южнее здания Южное шоссе, 19, для создания условий развития олимпийского вида спорта прыжки на батуте, а также для видов спорта - прыжки на акробатической дорожке и двойном </w:t>
      </w:r>
      <w:proofErr w:type="spellStart"/>
      <w:r w:rsidRPr="00175E32">
        <w:rPr>
          <w:szCs w:val="24"/>
        </w:rPr>
        <w:t>минитрампе</w:t>
      </w:r>
      <w:proofErr w:type="spellEnd"/>
      <w:r w:rsidRPr="00175E32">
        <w:rPr>
          <w:szCs w:val="24"/>
        </w:rPr>
        <w:t xml:space="preserve">, после завершения строительства объект планируется передать в оперативное управление МБУ СШОР № 7 «Акробат»; </w:t>
      </w:r>
    </w:p>
    <w:p w14:paraId="07750E8F" w14:textId="77777777" w:rsidR="00FA601B" w:rsidRPr="00175E32" w:rsidRDefault="00FA601B" w:rsidP="00FA601B">
      <w:pPr>
        <w:spacing w:line="276" w:lineRule="auto"/>
        <w:rPr>
          <w:szCs w:val="24"/>
        </w:rPr>
      </w:pPr>
      <w:r w:rsidRPr="00175E32">
        <w:rPr>
          <w:szCs w:val="24"/>
        </w:rPr>
        <w:t>- капитальный ремонт кровли спортивно</w:t>
      </w:r>
      <w:r w:rsidR="00370A1A">
        <w:rPr>
          <w:szCs w:val="24"/>
        </w:rPr>
        <w:t>го комплекса «Старт» МБУ СШОР № </w:t>
      </w:r>
      <w:r w:rsidRPr="00175E32">
        <w:rPr>
          <w:szCs w:val="24"/>
        </w:rPr>
        <w:t>3 «Легкая атлетика»;</w:t>
      </w:r>
    </w:p>
    <w:p w14:paraId="30BC4404" w14:textId="77777777" w:rsidR="00FA601B" w:rsidRPr="00175E32" w:rsidRDefault="00FA601B" w:rsidP="00FA601B">
      <w:pPr>
        <w:spacing w:line="276" w:lineRule="auto"/>
        <w:rPr>
          <w:szCs w:val="24"/>
        </w:rPr>
      </w:pPr>
      <w:r w:rsidRPr="00175E32">
        <w:rPr>
          <w:szCs w:val="24"/>
        </w:rPr>
        <w:t>- подключение к инженерным сетям водоотведения и водоснабжения административно-бытового здания на стадионе «Труд» для обеспечения нормального функционирования здания обеспечивающего условия по организации учебно-тренировочного процесса и соревнований;</w:t>
      </w:r>
    </w:p>
    <w:p w14:paraId="418A0C8B" w14:textId="77777777" w:rsidR="00FA601B" w:rsidRPr="00175E32" w:rsidRDefault="00FA601B" w:rsidP="00FA601B">
      <w:pPr>
        <w:spacing w:line="276" w:lineRule="auto"/>
        <w:rPr>
          <w:szCs w:val="24"/>
        </w:rPr>
      </w:pPr>
      <w:r w:rsidRPr="00175E32">
        <w:rPr>
          <w:szCs w:val="24"/>
        </w:rPr>
        <w:t>- выполнены работы по устройству системы аварийного открывания эвакуационных выходов в УСК «Олимп» для обеспечения безопасности посетителей и занимающихся во время чрезвычайных ситуаций, согласно требованиям пожарной безопасности;</w:t>
      </w:r>
    </w:p>
    <w:p w14:paraId="68100816" w14:textId="77777777" w:rsidR="00FA601B" w:rsidRPr="00175E32" w:rsidRDefault="00FA601B" w:rsidP="00FA601B">
      <w:pPr>
        <w:spacing w:line="276" w:lineRule="auto"/>
        <w:rPr>
          <w:szCs w:val="24"/>
        </w:rPr>
      </w:pPr>
      <w:r w:rsidRPr="00175E32">
        <w:rPr>
          <w:szCs w:val="24"/>
        </w:rPr>
        <w:t>- ремонт скважины лыжной базы, расположенной по адресу: г.</w:t>
      </w:r>
      <w:r w:rsidR="00370A1A">
        <w:rPr>
          <w:szCs w:val="24"/>
        </w:rPr>
        <w:t> </w:t>
      </w:r>
      <w:r w:rsidRPr="00175E32">
        <w:rPr>
          <w:szCs w:val="24"/>
        </w:rPr>
        <w:t>Т</w:t>
      </w:r>
      <w:r w:rsidR="00370A1A">
        <w:rPr>
          <w:szCs w:val="24"/>
        </w:rPr>
        <w:t>ольятти, Центральный район, ул. </w:t>
      </w:r>
      <w:r w:rsidRPr="00175E32">
        <w:rPr>
          <w:szCs w:val="24"/>
        </w:rPr>
        <w:t>Родины, 5, для обеспечения водой объектов лыжной базы и нормативного их функционирования для обеспечения условия организации учебно-тренировочного процесса и соревнований.</w:t>
      </w:r>
    </w:p>
    <w:p w14:paraId="4A131ACB" w14:textId="77777777" w:rsidR="00FA601B" w:rsidRPr="00175E32" w:rsidRDefault="00FA601B" w:rsidP="00FA601B">
      <w:pPr>
        <w:tabs>
          <w:tab w:val="left" w:pos="-180"/>
        </w:tabs>
        <w:spacing w:line="276" w:lineRule="auto"/>
        <w:rPr>
          <w:szCs w:val="24"/>
        </w:rPr>
      </w:pPr>
      <w:r w:rsidRPr="00175E32">
        <w:rPr>
          <w:noProof/>
          <w:szCs w:val="24"/>
        </w:rPr>
        <w:lastRenderedPageBreak/>
        <w:t xml:space="preserve">В </w:t>
      </w:r>
      <w:r w:rsidRPr="00175E32">
        <w:rPr>
          <w:szCs w:val="24"/>
        </w:rPr>
        <w:t xml:space="preserve">2020 в </w:t>
      </w:r>
      <w:r w:rsidRPr="00175E32">
        <w:rPr>
          <w:noProof/>
          <w:szCs w:val="24"/>
        </w:rPr>
        <w:t xml:space="preserve">рамках государственной программы Самарской области «Развитие физической культуры и спорта в Самарской области на 2014-2022 годы», </w:t>
      </w:r>
      <w:r w:rsidRPr="00175E32">
        <w:rPr>
          <w:szCs w:val="24"/>
        </w:rPr>
        <w:t xml:space="preserve">согласно приказу </w:t>
      </w:r>
      <w:r w:rsidR="00C52F69">
        <w:rPr>
          <w:szCs w:val="24"/>
        </w:rPr>
        <w:t>м</w:t>
      </w:r>
      <w:r w:rsidRPr="00175E32">
        <w:rPr>
          <w:szCs w:val="24"/>
        </w:rPr>
        <w:t xml:space="preserve">инистерства спорта Самарской области от 16.12.2019г. № 1192-п в 2020 году запланировано на территории городского округа Тольятти устройство спортивных площадок открытого типа для уличного баскетбола 3х3 (стритбол) с полимерным покрытием (размер 17х14м) в количестве 3 ед. на территории спортивного комплекса «Акробат» для создания </w:t>
      </w:r>
      <w:proofErr w:type="spellStart"/>
      <w:r w:rsidRPr="00175E32">
        <w:rPr>
          <w:szCs w:val="24"/>
        </w:rPr>
        <w:t>стритбольного</w:t>
      </w:r>
      <w:proofErr w:type="spellEnd"/>
      <w:r w:rsidRPr="00175E32">
        <w:rPr>
          <w:szCs w:val="24"/>
        </w:rPr>
        <w:t xml:space="preserve"> центра и исполнения поручения Губернатора Самарской области Д.А. Азарова.</w:t>
      </w:r>
    </w:p>
    <w:p w14:paraId="59F7BFAD" w14:textId="77777777" w:rsidR="00FA601B" w:rsidRPr="00175E32" w:rsidRDefault="00FA601B" w:rsidP="00FA601B">
      <w:pPr>
        <w:tabs>
          <w:tab w:val="left" w:pos="-180"/>
        </w:tabs>
        <w:spacing w:line="276" w:lineRule="auto"/>
        <w:rPr>
          <w:szCs w:val="24"/>
        </w:rPr>
      </w:pPr>
      <w:r w:rsidRPr="00175E32">
        <w:rPr>
          <w:szCs w:val="24"/>
        </w:rPr>
        <w:t xml:space="preserve">Согласно приказу </w:t>
      </w:r>
      <w:r w:rsidR="00C52F69">
        <w:rPr>
          <w:color w:val="000000"/>
          <w:szCs w:val="24"/>
        </w:rPr>
        <w:t>м</w:t>
      </w:r>
      <w:r w:rsidRPr="00175E32">
        <w:rPr>
          <w:color w:val="000000"/>
          <w:szCs w:val="24"/>
        </w:rPr>
        <w:t xml:space="preserve">инистерства спорта Самарской области от </w:t>
      </w:r>
      <w:r w:rsidRPr="00175E32">
        <w:rPr>
          <w:szCs w:val="24"/>
        </w:rPr>
        <w:t xml:space="preserve">26.12.2019 № 1299-п от в 2020 году на территории городского округа Тольятти запланировано размещение </w:t>
      </w:r>
      <w:r w:rsidRPr="00175E32">
        <w:rPr>
          <w:color w:val="000000"/>
          <w:szCs w:val="24"/>
        </w:rPr>
        <w:t>1</w:t>
      </w:r>
      <w:r w:rsidR="00370A1A">
        <w:rPr>
          <w:color w:val="000000"/>
          <w:szCs w:val="24"/>
        </w:rPr>
        <w:t> </w:t>
      </w:r>
      <w:r w:rsidRPr="00175E32">
        <w:rPr>
          <w:szCs w:val="24"/>
        </w:rPr>
        <w:t xml:space="preserve">малой спортивной площадки для сдачи норм ГТО. Адрес размещения: </w:t>
      </w:r>
      <w:proofErr w:type="spellStart"/>
      <w:r w:rsidRPr="00175E32">
        <w:rPr>
          <w:szCs w:val="24"/>
        </w:rPr>
        <w:t>г.Тольятти</w:t>
      </w:r>
      <w:proofErr w:type="spellEnd"/>
      <w:r w:rsidRPr="00175E32">
        <w:rPr>
          <w:szCs w:val="24"/>
        </w:rPr>
        <w:t>, Автозаводский район, б-р Приморский, 39 (на территории УСК «Олимп»).</w:t>
      </w:r>
    </w:p>
    <w:p w14:paraId="10813933" w14:textId="77777777" w:rsidR="00FA601B" w:rsidRPr="00175E32" w:rsidRDefault="00FA601B" w:rsidP="00FA601B">
      <w:pPr>
        <w:spacing w:line="276" w:lineRule="auto"/>
        <w:rPr>
          <w:szCs w:val="24"/>
        </w:rPr>
      </w:pPr>
      <w:r w:rsidRPr="00175E32">
        <w:rPr>
          <w:szCs w:val="24"/>
        </w:rPr>
        <w:t>Основным показателем развития отрасли является - доля граждан населения, систематически занимающихся физической культурой и спортом, данный показатель по городскому округу Тольятти составил: в 2019 году - 41%, в 2020 году данный показатель планируется не менее – 42,8%.</w:t>
      </w:r>
    </w:p>
    <w:p w14:paraId="487C1BD7" w14:textId="77777777" w:rsidR="00FA601B" w:rsidRPr="00175E32" w:rsidRDefault="00FA601B" w:rsidP="00FA601B">
      <w:pPr>
        <w:tabs>
          <w:tab w:val="left" w:pos="1400"/>
        </w:tabs>
        <w:spacing w:line="276" w:lineRule="auto"/>
        <w:rPr>
          <w:noProof/>
          <w:szCs w:val="24"/>
        </w:rPr>
      </w:pPr>
      <w:r w:rsidRPr="00175E32">
        <w:rPr>
          <w:szCs w:val="24"/>
        </w:rPr>
        <w:t>На 2020 год и последующие годы в рамках реализации муниципальной программой «Развитие физической культуры и спорта в городск</w:t>
      </w:r>
      <w:r w:rsidR="00370A1A">
        <w:rPr>
          <w:szCs w:val="24"/>
        </w:rPr>
        <w:t>ом округе Тольятти на 2017-2021 </w:t>
      </w:r>
      <w:r w:rsidRPr="00175E32">
        <w:rPr>
          <w:szCs w:val="24"/>
        </w:rPr>
        <w:t xml:space="preserve">годы» и государственной программы Самарской области </w:t>
      </w:r>
      <w:r w:rsidRPr="00175E32">
        <w:rPr>
          <w:noProof/>
          <w:szCs w:val="24"/>
        </w:rPr>
        <w:t xml:space="preserve">«Развитие физической культуры и спорта в Самарской области на 2014-2022 годы» </w:t>
      </w:r>
      <w:r w:rsidRPr="00175E32">
        <w:rPr>
          <w:szCs w:val="24"/>
        </w:rPr>
        <w:t>запланированы ввод в эксплуатацию (капитального ремонта) следующих спортивных объектов:</w:t>
      </w:r>
    </w:p>
    <w:p w14:paraId="5C44D76D" w14:textId="77777777" w:rsidR="00FA601B" w:rsidRPr="00175E32" w:rsidRDefault="00FA601B" w:rsidP="00FA601B">
      <w:pPr>
        <w:autoSpaceDE w:val="0"/>
        <w:autoSpaceDN w:val="0"/>
        <w:adjustRightInd w:val="0"/>
        <w:spacing w:line="276" w:lineRule="auto"/>
        <w:rPr>
          <w:szCs w:val="24"/>
        </w:rPr>
      </w:pPr>
      <w:r w:rsidRPr="00175E32">
        <w:rPr>
          <w:szCs w:val="24"/>
        </w:rPr>
        <w:t>- физкультурно-спортивного комплекса в 21 квартале Автозаводского района для МБУ СШОР № 7 «Акробат»;</w:t>
      </w:r>
    </w:p>
    <w:p w14:paraId="58096602" w14:textId="77777777" w:rsidR="00FA601B" w:rsidRPr="00175E32" w:rsidRDefault="00FA601B" w:rsidP="00FA601B">
      <w:pPr>
        <w:autoSpaceDE w:val="0"/>
        <w:autoSpaceDN w:val="0"/>
        <w:adjustRightInd w:val="0"/>
        <w:spacing w:line="276" w:lineRule="auto"/>
        <w:rPr>
          <w:szCs w:val="24"/>
        </w:rPr>
      </w:pPr>
      <w:r w:rsidRPr="00175E32">
        <w:rPr>
          <w:szCs w:val="24"/>
        </w:rPr>
        <w:t>- легкоатлетического манежа около стадиона «Торпедо»;</w:t>
      </w:r>
    </w:p>
    <w:p w14:paraId="7B9B4CC4" w14:textId="77777777" w:rsidR="00FA601B" w:rsidRPr="00175E32" w:rsidRDefault="00FA601B" w:rsidP="00FA601B">
      <w:pPr>
        <w:autoSpaceDE w:val="0"/>
        <w:autoSpaceDN w:val="0"/>
        <w:adjustRightInd w:val="0"/>
        <w:spacing w:line="276" w:lineRule="auto"/>
        <w:rPr>
          <w:szCs w:val="24"/>
        </w:rPr>
      </w:pPr>
      <w:r w:rsidRPr="00175E32">
        <w:rPr>
          <w:szCs w:val="24"/>
        </w:rPr>
        <w:t>- устройство 3 единиц спортивных площадок по стритболу;</w:t>
      </w:r>
    </w:p>
    <w:p w14:paraId="0FDCE694" w14:textId="77777777" w:rsidR="00FA601B" w:rsidRPr="00175E32" w:rsidRDefault="00FA601B" w:rsidP="00FA601B">
      <w:pPr>
        <w:autoSpaceDE w:val="0"/>
        <w:autoSpaceDN w:val="0"/>
        <w:adjustRightInd w:val="0"/>
        <w:spacing w:line="276" w:lineRule="auto"/>
        <w:rPr>
          <w:szCs w:val="24"/>
        </w:rPr>
      </w:pPr>
      <w:r w:rsidRPr="00175E32">
        <w:rPr>
          <w:szCs w:val="24"/>
        </w:rPr>
        <w:t>- устройство 1 единица малой спортивной площадки для сдачи норм ГТО.</w:t>
      </w:r>
    </w:p>
    <w:p w14:paraId="28867A7B" w14:textId="77777777" w:rsidR="00FA601B" w:rsidRPr="00175E32" w:rsidRDefault="00FA601B" w:rsidP="00FA601B">
      <w:pPr>
        <w:spacing w:line="276" w:lineRule="auto"/>
        <w:rPr>
          <w:szCs w:val="24"/>
        </w:rPr>
      </w:pPr>
      <w:r w:rsidRPr="00175E32">
        <w:rPr>
          <w:szCs w:val="24"/>
        </w:rPr>
        <w:t>Перечнем мероприятий региональной составляющей проекта по состоянию на 01.08.2020 предусмотрены мероприятия для городского округа Тольятти:</w:t>
      </w:r>
    </w:p>
    <w:p w14:paraId="4A159BCC" w14:textId="77777777" w:rsidR="00FA601B" w:rsidRPr="00175E32" w:rsidRDefault="00FA601B" w:rsidP="00FA601B">
      <w:pPr>
        <w:pStyle w:val="afb"/>
        <w:spacing w:line="276" w:lineRule="auto"/>
        <w:ind w:left="0"/>
        <w:rPr>
          <w:bCs/>
          <w:szCs w:val="24"/>
        </w:rPr>
      </w:pPr>
      <w:r w:rsidRPr="00175E32">
        <w:rPr>
          <w:bCs/>
          <w:szCs w:val="24"/>
        </w:rPr>
        <w:t>- строительство физкультурно-спорт</w:t>
      </w:r>
      <w:r w:rsidR="00370A1A">
        <w:rPr>
          <w:bCs/>
          <w:szCs w:val="24"/>
        </w:rPr>
        <w:t>ивного комплекса для МБУ СШОР № </w:t>
      </w:r>
      <w:r w:rsidRPr="00175E32">
        <w:rPr>
          <w:bCs/>
          <w:szCs w:val="24"/>
        </w:rPr>
        <w:t>7 «Акробат»;</w:t>
      </w:r>
    </w:p>
    <w:p w14:paraId="3A06B627" w14:textId="77777777" w:rsidR="00FA601B" w:rsidRPr="00175E32" w:rsidRDefault="00FA601B" w:rsidP="00FA601B">
      <w:pPr>
        <w:pStyle w:val="afb"/>
        <w:spacing w:line="276" w:lineRule="auto"/>
        <w:ind w:left="0"/>
        <w:rPr>
          <w:bCs/>
          <w:szCs w:val="24"/>
        </w:rPr>
      </w:pPr>
      <w:r w:rsidRPr="00175E32">
        <w:rPr>
          <w:bCs/>
          <w:szCs w:val="24"/>
        </w:rPr>
        <w:t>- строительство легкоатлетического манежа;</w:t>
      </w:r>
    </w:p>
    <w:p w14:paraId="2E86D63A" w14:textId="77777777" w:rsidR="00FA601B" w:rsidRPr="00175E32" w:rsidRDefault="00FA601B" w:rsidP="00FA601B">
      <w:pPr>
        <w:pStyle w:val="afb"/>
        <w:spacing w:line="276" w:lineRule="auto"/>
        <w:ind w:left="0"/>
        <w:rPr>
          <w:bCs/>
          <w:szCs w:val="24"/>
        </w:rPr>
      </w:pPr>
      <w:r w:rsidRPr="00175E32">
        <w:rPr>
          <w:bCs/>
          <w:szCs w:val="24"/>
        </w:rPr>
        <w:t>- устройство универсальных спортивных площадок (в</w:t>
      </w:r>
      <w:r w:rsidR="00370A1A">
        <w:rPr>
          <w:bCs/>
          <w:szCs w:val="24"/>
        </w:rPr>
        <w:t xml:space="preserve"> 2019 году 3 ед., в 2020 году 3 </w:t>
      </w:r>
      <w:r w:rsidRPr="00175E32">
        <w:rPr>
          <w:bCs/>
          <w:szCs w:val="24"/>
        </w:rPr>
        <w:t>ед.);</w:t>
      </w:r>
    </w:p>
    <w:p w14:paraId="05D543AB" w14:textId="77777777" w:rsidR="00FA601B" w:rsidRPr="00175E32" w:rsidRDefault="00FA601B" w:rsidP="00FA601B">
      <w:pPr>
        <w:pStyle w:val="afb"/>
        <w:spacing w:line="276" w:lineRule="auto"/>
        <w:ind w:left="0"/>
        <w:rPr>
          <w:szCs w:val="24"/>
        </w:rPr>
      </w:pPr>
      <w:r w:rsidRPr="00175E32">
        <w:rPr>
          <w:szCs w:val="24"/>
        </w:rPr>
        <w:t xml:space="preserve">- устройство малых спортивных площадок для ГТО </w:t>
      </w:r>
      <w:r w:rsidRPr="00175E32">
        <w:rPr>
          <w:bCs/>
          <w:szCs w:val="24"/>
        </w:rPr>
        <w:t>(в 2019 году 1 ед., в</w:t>
      </w:r>
      <w:r w:rsidR="00370A1A">
        <w:rPr>
          <w:bCs/>
          <w:szCs w:val="24"/>
        </w:rPr>
        <w:t xml:space="preserve"> 2020 году 1 </w:t>
      </w:r>
      <w:r w:rsidRPr="00175E32">
        <w:rPr>
          <w:bCs/>
          <w:szCs w:val="24"/>
        </w:rPr>
        <w:t>ед.)</w:t>
      </w:r>
      <w:r w:rsidRPr="00175E32">
        <w:rPr>
          <w:szCs w:val="24"/>
        </w:rPr>
        <w:t>.</w:t>
      </w:r>
    </w:p>
    <w:p w14:paraId="6191AD5E" w14:textId="77777777" w:rsidR="00FA601B" w:rsidRPr="00175E32" w:rsidRDefault="00FA601B" w:rsidP="00FA601B">
      <w:pPr>
        <w:overflowPunct w:val="0"/>
        <w:autoSpaceDE w:val="0"/>
        <w:spacing w:line="276" w:lineRule="auto"/>
        <w:rPr>
          <w:szCs w:val="24"/>
        </w:rPr>
      </w:pPr>
      <w:r w:rsidRPr="00175E32">
        <w:rPr>
          <w:szCs w:val="24"/>
        </w:rPr>
        <w:t>В настоящее время отсутствует острая проблема с укомплектованностью тренерами и специалистами муниципальных учреждений, находящихся в ведомственном подчинении администрации</w:t>
      </w:r>
      <w:r w:rsidR="008D7A93" w:rsidRPr="00175E32">
        <w:rPr>
          <w:szCs w:val="24"/>
        </w:rPr>
        <w:t xml:space="preserve"> </w:t>
      </w:r>
      <w:r w:rsidR="008D7A93" w:rsidRPr="00175E32">
        <w:rPr>
          <w:shd w:val="clear" w:color="auto" w:fill="FFFFFF"/>
        </w:rPr>
        <w:t>городского округа Тольятти</w:t>
      </w:r>
      <w:r w:rsidRPr="00175E32">
        <w:rPr>
          <w:szCs w:val="24"/>
        </w:rPr>
        <w:t>. Возникающие вакансии оперативно заполняются в соответствии с потребностью.</w:t>
      </w:r>
    </w:p>
    <w:p w14:paraId="2CB4DC78" w14:textId="77777777" w:rsidR="00FA601B" w:rsidRPr="00175E32" w:rsidRDefault="00FA601B" w:rsidP="00251693">
      <w:pPr>
        <w:spacing w:line="276" w:lineRule="auto"/>
        <w:rPr>
          <w:rFonts w:eastAsia="Calibri"/>
          <w:color w:val="000000"/>
          <w:szCs w:val="24"/>
        </w:rPr>
      </w:pPr>
      <w:r w:rsidRPr="00175E32">
        <w:rPr>
          <w:rFonts w:eastAsia="Calibri"/>
          <w:color w:val="000000"/>
          <w:szCs w:val="24"/>
        </w:rPr>
        <w:t xml:space="preserve">В первом квартале 2020 года, согласно </w:t>
      </w:r>
      <w:r w:rsidRPr="00175E32">
        <w:rPr>
          <w:szCs w:val="24"/>
        </w:rPr>
        <w:t>Плану мероприятий по переименованию муниципальных бюджетных учреждений дополнительного образования (комплексных) специализированных детско-юношеских спортивных школ олимпийского резерва городского округа Тольятти, находящихся в ведомственном подчинении администрации</w:t>
      </w:r>
      <w:r w:rsidR="008D7A93" w:rsidRPr="00175E32">
        <w:rPr>
          <w:szCs w:val="24"/>
        </w:rPr>
        <w:t xml:space="preserve"> </w:t>
      </w:r>
      <w:r w:rsidR="008D7A93" w:rsidRPr="00175E32">
        <w:rPr>
          <w:shd w:val="clear" w:color="auto" w:fill="FFFFFF"/>
        </w:rPr>
        <w:t>городского округа Тольятти</w:t>
      </w:r>
      <w:r w:rsidRPr="00175E32">
        <w:rPr>
          <w:szCs w:val="24"/>
        </w:rPr>
        <w:t xml:space="preserve">, утвержденного приказом от 12.12.2019 № 63-пк/3.7, </w:t>
      </w:r>
      <w:r w:rsidR="00370A1A">
        <w:rPr>
          <w:rFonts w:eastAsia="Calibri"/>
          <w:color w:val="000000"/>
          <w:szCs w:val="24"/>
        </w:rPr>
        <w:t>все 14 </w:t>
      </w:r>
      <w:r w:rsidRPr="00175E32">
        <w:rPr>
          <w:rFonts w:eastAsia="Calibri"/>
          <w:color w:val="000000"/>
          <w:szCs w:val="24"/>
        </w:rPr>
        <w:t>учреждений переведены в учреждения</w:t>
      </w:r>
      <w:r w:rsidRPr="00175E32">
        <w:rPr>
          <w:rFonts w:eastAsia="Calibri"/>
          <w:szCs w:val="24"/>
        </w:rPr>
        <w:t>, осуществл</w:t>
      </w:r>
      <w:r w:rsidR="00370A1A">
        <w:rPr>
          <w:rFonts w:eastAsia="Calibri"/>
          <w:szCs w:val="24"/>
        </w:rPr>
        <w:t xml:space="preserve">яющие спортивную подготовку </w:t>
      </w:r>
      <w:r w:rsidR="00370A1A">
        <w:rPr>
          <w:rFonts w:eastAsia="Calibri"/>
          <w:szCs w:val="24"/>
        </w:rPr>
        <w:lastRenderedPageBreak/>
        <w:t>(СШ </w:t>
      </w:r>
      <w:r w:rsidRPr="00175E32">
        <w:rPr>
          <w:rFonts w:eastAsia="Calibri"/>
          <w:szCs w:val="24"/>
        </w:rPr>
        <w:t>или СШОР) в соответствии с</w:t>
      </w:r>
      <w:r w:rsidRPr="00175E32">
        <w:rPr>
          <w:rFonts w:eastAsia="Calibri"/>
          <w:color w:val="000000"/>
          <w:szCs w:val="24"/>
        </w:rPr>
        <w:t xml:space="preserve"> приказом </w:t>
      </w:r>
      <w:r w:rsidR="00506284">
        <w:rPr>
          <w:szCs w:val="24"/>
        </w:rPr>
        <w:t>м</w:t>
      </w:r>
      <w:r w:rsidR="00506284" w:rsidRPr="00175E32">
        <w:rPr>
          <w:szCs w:val="24"/>
        </w:rPr>
        <w:t>инистерства спорта Росси</w:t>
      </w:r>
      <w:r w:rsidR="00506284">
        <w:rPr>
          <w:szCs w:val="24"/>
        </w:rPr>
        <w:t>йской Федерации</w:t>
      </w:r>
      <w:r w:rsidRPr="00175E32">
        <w:rPr>
          <w:rFonts w:eastAsia="Calibri"/>
          <w:color w:val="000000"/>
          <w:szCs w:val="24"/>
        </w:rPr>
        <w:t xml:space="preserve"> от 30.12.2016 № 1368.</w:t>
      </w:r>
    </w:p>
    <w:p w14:paraId="317AC1F5" w14:textId="77777777" w:rsidR="00FA601B" w:rsidRPr="00175E32" w:rsidRDefault="00FA601B" w:rsidP="00251693">
      <w:pPr>
        <w:overflowPunct w:val="0"/>
        <w:autoSpaceDE w:val="0"/>
        <w:spacing w:line="276" w:lineRule="auto"/>
        <w:rPr>
          <w:szCs w:val="24"/>
        </w:rPr>
      </w:pPr>
      <w:r w:rsidRPr="00175E32">
        <w:rPr>
          <w:szCs w:val="24"/>
        </w:rPr>
        <w:t xml:space="preserve">По состоянию на 01.07.2020 к спортивным школам, находящимся в ведомственном подчинении </w:t>
      </w:r>
      <w:proofErr w:type="gramStart"/>
      <w:r w:rsidRPr="00175E32">
        <w:rPr>
          <w:szCs w:val="24"/>
        </w:rPr>
        <w:t xml:space="preserve">администрации </w:t>
      </w:r>
      <w:r w:rsidR="008D7A93" w:rsidRPr="00175E32">
        <w:rPr>
          <w:shd w:val="clear" w:color="auto" w:fill="FFFFFF"/>
        </w:rPr>
        <w:t>городского округа Тольятти</w:t>
      </w:r>
      <w:proofErr w:type="gramEnd"/>
      <w:r w:rsidR="008D7A93" w:rsidRPr="00175E32">
        <w:rPr>
          <w:shd w:val="clear" w:color="auto" w:fill="FFFFFF"/>
        </w:rPr>
        <w:t xml:space="preserve"> </w:t>
      </w:r>
      <w:r w:rsidRPr="00175E32">
        <w:rPr>
          <w:szCs w:val="24"/>
        </w:rPr>
        <w:t>относятся 14 муниципальных бюджетных учреждений СШ и СШОР.</w:t>
      </w:r>
    </w:p>
    <w:p w14:paraId="4D6FB017" w14:textId="77777777" w:rsidR="00FA601B" w:rsidRPr="00175E32" w:rsidRDefault="00FA601B" w:rsidP="00251693">
      <w:pPr>
        <w:overflowPunct w:val="0"/>
        <w:autoSpaceDE w:val="0"/>
        <w:spacing w:line="276" w:lineRule="auto"/>
        <w:rPr>
          <w:szCs w:val="24"/>
        </w:rPr>
      </w:pPr>
      <w:r w:rsidRPr="00175E32">
        <w:rPr>
          <w:szCs w:val="24"/>
        </w:rPr>
        <w:t>В целях создания необходимых условий для увеличения количества горожан, постоянно занимающихся физкультурой и спортом по месту жительства, необходимо постепенно увеличить количество ставок инструкторов по спорту в МБУС Центр физической культуры и спорта, введенных в 2016-2019 годах с 27 ед. до 89 ед., в соответствии с рекомендациями министерства спорта Самарской области, устанавливающими показатель из расчёта - 1 инструктор на 8 000 жителей.</w:t>
      </w:r>
    </w:p>
    <w:p w14:paraId="50C34543" w14:textId="77777777" w:rsidR="00FA601B" w:rsidRPr="00175E32" w:rsidRDefault="00FA601B" w:rsidP="00251693">
      <w:pPr>
        <w:spacing w:line="276" w:lineRule="auto"/>
        <w:rPr>
          <w:szCs w:val="24"/>
        </w:rPr>
      </w:pPr>
      <w:r w:rsidRPr="00175E32">
        <w:rPr>
          <w:szCs w:val="24"/>
        </w:rPr>
        <w:t xml:space="preserve">В рамках внедрения комплекса «Готов к труду и обороне» на территории городского округа Тольятти, в соответствии с постановлением мэрии городского округа Тольятти от 08.06.2015 г. № 1810-п/1 «Об организационном обеспечении мероприятий Всероссийского физкультурно-спортивного комплекса «Готов к труду и обороне» (ГТО) на период 2015-2017 гг. на территории городского округа Тольятти», необходимо создание не менее 4-х Центров тестирования ВФСК ГТО и укомплектование их кадрами в </w:t>
      </w:r>
      <w:r w:rsidR="00370A1A">
        <w:rPr>
          <w:szCs w:val="24"/>
        </w:rPr>
        <w:t>количестве по 7 человек каждый.</w:t>
      </w:r>
    </w:p>
    <w:p w14:paraId="6E44EC2F" w14:textId="77777777" w:rsidR="00FA601B" w:rsidRPr="00175E32" w:rsidRDefault="00FA601B" w:rsidP="00251693">
      <w:pPr>
        <w:spacing w:line="276" w:lineRule="auto"/>
        <w:rPr>
          <w:szCs w:val="24"/>
        </w:rPr>
      </w:pPr>
      <w:r w:rsidRPr="00175E32">
        <w:rPr>
          <w:szCs w:val="24"/>
        </w:rPr>
        <w:t>В сфере физической культуры и спорта населению городского округа Тольятти оказываются услуги:</w:t>
      </w:r>
    </w:p>
    <w:p w14:paraId="6525C6E6" w14:textId="77777777" w:rsidR="00FA601B" w:rsidRPr="00175E32" w:rsidRDefault="00FA601B" w:rsidP="00251693">
      <w:pPr>
        <w:spacing w:line="276" w:lineRule="auto"/>
        <w:rPr>
          <w:szCs w:val="24"/>
        </w:rPr>
      </w:pPr>
      <w:r w:rsidRPr="00175E32">
        <w:rPr>
          <w:szCs w:val="24"/>
        </w:rPr>
        <w:t>- муниципальные услуги «Спортивн</w:t>
      </w:r>
      <w:r w:rsidR="00370A1A">
        <w:rPr>
          <w:szCs w:val="24"/>
        </w:rPr>
        <w:t>ая подготовка по видам спорта»;</w:t>
      </w:r>
    </w:p>
    <w:p w14:paraId="754C6142" w14:textId="77777777" w:rsidR="00FA601B" w:rsidRPr="00175E32" w:rsidRDefault="00FA601B" w:rsidP="00251693">
      <w:pPr>
        <w:spacing w:line="276" w:lineRule="auto"/>
        <w:rPr>
          <w:szCs w:val="24"/>
        </w:rPr>
      </w:pPr>
      <w:r w:rsidRPr="00175E32">
        <w:rPr>
          <w:szCs w:val="24"/>
        </w:rPr>
        <w:t>- муниципальная услуга «Реализация дополнительных предпрофессиональных программ в области</w:t>
      </w:r>
      <w:r w:rsidR="00370A1A">
        <w:rPr>
          <w:szCs w:val="24"/>
        </w:rPr>
        <w:t xml:space="preserve"> физической культуры и спорта».</w:t>
      </w:r>
    </w:p>
    <w:p w14:paraId="0E3C1CE9" w14:textId="77777777" w:rsidR="00FA601B" w:rsidRPr="00175E32" w:rsidRDefault="00FA601B" w:rsidP="00251693">
      <w:pPr>
        <w:spacing w:line="276" w:lineRule="auto"/>
        <w:rPr>
          <w:szCs w:val="24"/>
        </w:rPr>
      </w:pPr>
      <w:r w:rsidRPr="00175E32">
        <w:rPr>
          <w:szCs w:val="24"/>
        </w:rPr>
        <w:t>Данные услуги реализуются 14 муниципальными спортивными школами по организации учебно-тренировочного процесса обучающихся;</w:t>
      </w:r>
    </w:p>
    <w:p w14:paraId="332DDAE8" w14:textId="77777777" w:rsidR="00FA601B" w:rsidRPr="00175E32" w:rsidRDefault="00FA601B" w:rsidP="00251693">
      <w:pPr>
        <w:spacing w:line="276" w:lineRule="auto"/>
        <w:rPr>
          <w:szCs w:val="24"/>
        </w:rPr>
      </w:pPr>
      <w:r w:rsidRPr="00175E32">
        <w:rPr>
          <w:szCs w:val="24"/>
        </w:rPr>
        <w:t>- платные услуги, оказываемые в муниципальных спортивных объектах, находящихся в оперативном управлении муниципальных спортивных школ.</w:t>
      </w:r>
    </w:p>
    <w:p w14:paraId="0133BBF8" w14:textId="77777777" w:rsidR="00FA601B" w:rsidRPr="00175E32" w:rsidRDefault="00FA601B" w:rsidP="00251693">
      <w:pPr>
        <w:spacing w:line="276" w:lineRule="auto"/>
        <w:rPr>
          <w:szCs w:val="24"/>
        </w:rPr>
      </w:pPr>
      <w:r w:rsidRPr="00175E32">
        <w:rPr>
          <w:szCs w:val="24"/>
        </w:rPr>
        <w:t>Проблема по качественному предоставлению платных услуг, оказываемых на муниципальных спортивных объектах, является следствием отсутствия средств на проведение мероприятий по капитальному ремонту и реконструкции данных объектов.</w:t>
      </w:r>
    </w:p>
    <w:p w14:paraId="38BEC9B9" w14:textId="77777777" w:rsidR="00FA601B" w:rsidRPr="00175E32" w:rsidRDefault="00FA601B" w:rsidP="00251693">
      <w:pPr>
        <w:spacing w:line="276" w:lineRule="auto"/>
        <w:rPr>
          <w:szCs w:val="24"/>
        </w:rPr>
      </w:pPr>
      <w:r w:rsidRPr="00175E32">
        <w:rPr>
          <w:szCs w:val="24"/>
        </w:rPr>
        <w:t>В целях привлечения работающих граждан к физической подготовке и последующей сдаче нормативов ВФСК ГТО руководителями промышленных предприятий необходимо предусмотреть в коллективных договорах, меры по стимулированию работников, участвующих в подготов</w:t>
      </w:r>
      <w:r w:rsidR="00370A1A">
        <w:rPr>
          <w:szCs w:val="24"/>
        </w:rPr>
        <w:t>ке и сдаче нормативов ВФСК ГТО.</w:t>
      </w:r>
    </w:p>
    <w:p w14:paraId="0A4D93A1" w14:textId="77777777" w:rsidR="00FA601B" w:rsidRPr="00175E32" w:rsidRDefault="00FA601B" w:rsidP="00251693">
      <w:pPr>
        <w:spacing w:line="276" w:lineRule="auto"/>
        <w:rPr>
          <w:szCs w:val="24"/>
        </w:rPr>
      </w:pPr>
      <w:r w:rsidRPr="00175E32">
        <w:rPr>
          <w:szCs w:val="24"/>
        </w:rPr>
        <w:t>Необходимость создания муниципального Центра тестирования по выполнению населением нормативов комплекса ГТО в городском округе Тольятти с полноценным кадровым и материально-техническим обеспечением.</w:t>
      </w:r>
    </w:p>
    <w:p w14:paraId="5D254920" w14:textId="77777777" w:rsidR="00FA601B" w:rsidRDefault="00FA601B" w:rsidP="00251693">
      <w:pPr>
        <w:spacing w:line="276" w:lineRule="auto"/>
        <w:rPr>
          <w:szCs w:val="24"/>
        </w:rPr>
      </w:pPr>
      <w:r w:rsidRPr="00175E32">
        <w:rPr>
          <w:szCs w:val="24"/>
        </w:rPr>
        <w:t>Необходимость открытия дополнительных физкультурно-спортивных клубов по работе с населением по месту жительства (включая кадровое и материально техническое обеспечение) до нормативной потребности.</w:t>
      </w:r>
    </w:p>
    <w:p w14:paraId="7A732EF5" w14:textId="77777777" w:rsidR="002754E7" w:rsidRDefault="002754E7" w:rsidP="00FF61B0">
      <w:pPr>
        <w:spacing w:before="120" w:line="276" w:lineRule="auto"/>
        <w:ind w:firstLine="0"/>
        <w:jc w:val="center"/>
        <w:rPr>
          <w:szCs w:val="24"/>
        </w:rPr>
      </w:pPr>
    </w:p>
    <w:p w14:paraId="2FDD6125" w14:textId="77777777" w:rsidR="002754E7" w:rsidRDefault="002754E7" w:rsidP="00FF61B0">
      <w:pPr>
        <w:spacing w:before="120" w:line="276" w:lineRule="auto"/>
        <w:ind w:firstLine="0"/>
        <w:jc w:val="center"/>
        <w:rPr>
          <w:szCs w:val="24"/>
        </w:rPr>
      </w:pPr>
    </w:p>
    <w:p w14:paraId="5AE490E5" w14:textId="77777777" w:rsidR="002754E7" w:rsidRDefault="002754E7" w:rsidP="00FF61B0">
      <w:pPr>
        <w:spacing w:before="120" w:line="276" w:lineRule="auto"/>
        <w:ind w:firstLine="0"/>
        <w:jc w:val="center"/>
        <w:rPr>
          <w:szCs w:val="24"/>
        </w:rPr>
      </w:pPr>
    </w:p>
    <w:p w14:paraId="0D9793D6" w14:textId="77777777" w:rsidR="002754E7" w:rsidRDefault="002754E7" w:rsidP="00FF61B0">
      <w:pPr>
        <w:spacing w:before="120" w:line="276" w:lineRule="auto"/>
        <w:ind w:firstLine="0"/>
        <w:jc w:val="center"/>
        <w:rPr>
          <w:szCs w:val="24"/>
        </w:rPr>
      </w:pPr>
    </w:p>
    <w:p w14:paraId="0B0F28C6" w14:textId="77777777" w:rsidR="00FA601B" w:rsidRPr="00175E32" w:rsidRDefault="00FA601B" w:rsidP="00FF61B0">
      <w:pPr>
        <w:spacing w:before="120" w:line="276" w:lineRule="auto"/>
        <w:ind w:firstLine="0"/>
        <w:jc w:val="center"/>
        <w:rPr>
          <w:szCs w:val="24"/>
        </w:rPr>
      </w:pPr>
      <w:r w:rsidRPr="00175E32">
        <w:rPr>
          <w:szCs w:val="24"/>
        </w:rPr>
        <w:lastRenderedPageBreak/>
        <w:t>Ожидаемое выполнение прогнозных показателей по разделу</w:t>
      </w:r>
    </w:p>
    <w:p w14:paraId="5F9BF7F7" w14:textId="77777777" w:rsidR="00FA601B" w:rsidRPr="00175E32" w:rsidRDefault="00FA601B" w:rsidP="00FF61B0">
      <w:pPr>
        <w:spacing w:after="120" w:line="276" w:lineRule="auto"/>
        <w:ind w:firstLine="0"/>
        <w:jc w:val="center"/>
        <w:rPr>
          <w:szCs w:val="24"/>
        </w:rPr>
      </w:pPr>
      <w:r w:rsidRPr="00175E32">
        <w:rPr>
          <w:szCs w:val="24"/>
        </w:rPr>
        <w:t>«Физическая культура и спорт» на 2020 год</w:t>
      </w:r>
    </w:p>
    <w:tbl>
      <w:tblPr>
        <w:tblW w:w="9355" w:type="dxa"/>
        <w:tblInd w:w="108" w:type="dxa"/>
        <w:tblLayout w:type="fixed"/>
        <w:tblLook w:val="0000" w:firstRow="0" w:lastRow="0" w:firstColumn="0" w:lastColumn="0" w:noHBand="0" w:noVBand="0"/>
      </w:tblPr>
      <w:tblGrid>
        <w:gridCol w:w="4395"/>
        <w:gridCol w:w="1134"/>
        <w:gridCol w:w="1417"/>
        <w:gridCol w:w="1276"/>
        <w:gridCol w:w="1133"/>
      </w:tblGrid>
      <w:tr w:rsidR="00FA601B" w:rsidRPr="00175E32" w14:paraId="607A228A" w14:textId="77777777" w:rsidTr="00506284">
        <w:trPr>
          <w:trHeight w:hRule="exact" w:val="332"/>
          <w:tblHeader/>
        </w:trPr>
        <w:tc>
          <w:tcPr>
            <w:tcW w:w="4395" w:type="dxa"/>
            <w:vMerge w:val="restart"/>
            <w:tcBorders>
              <w:top w:val="single" w:sz="4" w:space="0" w:color="000000"/>
              <w:left w:val="single" w:sz="4" w:space="0" w:color="000000"/>
              <w:bottom w:val="single" w:sz="4" w:space="0" w:color="000000"/>
            </w:tcBorders>
            <w:vAlign w:val="center"/>
          </w:tcPr>
          <w:p w14:paraId="7D8495DE" w14:textId="77777777" w:rsidR="00FA601B" w:rsidRPr="00175E32" w:rsidRDefault="00FA601B" w:rsidP="00370A1A">
            <w:pPr>
              <w:snapToGrid w:val="0"/>
              <w:spacing w:line="276" w:lineRule="auto"/>
              <w:ind w:firstLine="0"/>
              <w:jc w:val="center"/>
              <w:rPr>
                <w:szCs w:val="24"/>
              </w:rPr>
            </w:pPr>
            <w:r w:rsidRPr="00175E32">
              <w:rPr>
                <w:szCs w:val="24"/>
              </w:rPr>
              <w:t>Показатели</w:t>
            </w:r>
          </w:p>
        </w:tc>
        <w:tc>
          <w:tcPr>
            <w:tcW w:w="1134" w:type="dxa"/>
            <w:vMerge w:val="restart"/>
            <w:tcBorders>
              <w:top w:val="single" w:sz="4" w:space="0" w:color="000000"/>
              <w:left w:val="single" w:sz="4" w:space="0" w:color="000000"/>
              <w:bottom w:val="single" w:sz="4" w:space="0" w:color="000000"/>
            </w:tcBorders>
            <w:vAlign w:val="center"/>
          </w:tcPr>
          <w:p w14:paraId="62766F5D" w14:textId="77777777" w:rsidR="00FA601B" w:rsidRPr="00175E32" w:rsidRDefault="00FA601B" w:rsidP="00370A1A">
            <w:pPr>
              <w:snapToGrid w:val="0"/>
              <w:spacing w:line="276" w:lineRule="auto"/>
              <w:ind w:firstLine="0"/>
              <w:jc w:val="center"/>
              <w:rPr>
                <w:szCs w:val="24"/>
              </w:rPr>
            </w:pPr>
            <w:r w:rsidRPr="00175E32">
              <w:rPr>
                <w:szCs w:val="24"/>
              </w:rPr>
              <w:t xml:space="preserve">Единица </w:t>
            </w:r>
            <w:proofErr w:type="spellStart"/>
            <w:r w:rsidRPr="00175E32">
              <w:rPr>
                <w:szCs w:val="24"/>
              </w:rPr>
              <w:t>измере</w:t>
            </w:r>
            <w:proofErr w:type="spellEnd"/>
          </w:p>
          <w:p w14:paraId="749B3D97" w14:textId="77777777" w:rsidR="00FA601B" w:rsidRPr="00175E32" w:rsidRDefault="00FA601B" w:rsidP="00370A1A">
            <w:pPr>
              <w:snapToGrid w:val="0"/>
              <w:spacing w:line="276" w:lineRule="auto"/>
              <w:ind w:firstLine="0"/>
              <w:jc w:val="center"/>
              <w:rPr>
                <w:szCs w:val="24"/>
              </w:rPr>
            </w:pPr>
            <w:proofErr w:type="spellStart"/>
            <w:r w:rsidRPr="00175E32">
              <w:rPr>
                <w:szCs w:val="24"/>
              </w:rPr>
              <w:t>ния</w:t>
            </w:r>
            <w:proofErr w:type="spellEnd"/>
          </w:p>
        </w:tc>
        <w:tc>
          <w:tcPr>
            <w:tcW w:w="2693" w:type="dxa"/>
            <w:gridSpan w:val="2"/>
            <w:tcBorders>
              <w:top w:val="single" w:sz="4" w:space="0" w:color="000000"/>
              <w:left w:val="single" w:sz="4" w:space="0" w:color="000000"/>
              <w:bottom w:val="single" w:sz="4" w:space="0" w:color="000000"/>
            </w:tcBorders>
            <w:vAlign w:val="center"/>
          </w:tcPr>
          <w:p w14:paraId="0296BEE6" w14:textId="77777777" w:rsidR="00FA601B" w:rsidRPr="00175E32" w:rsidRDefault="00FA601B" w:rsidP="00370A1A">
            <w:pPr>
              <w:ind w:firstLine="0"/>
              <w:jc w:val="center"/>
              <w:rPr>
                <w:szCs w:val="24"/>
              </w:rPr>
            </w:pPr>
            <w:r w:rsidRPr="00175E32">
              <w:rPr>
                <w:szCs w:val="24"/>
              </w:rPr>
              <w:t>Прогноз на 2020 год</w:t>
            </w:r>
          </w:p>
        </w:tc>
        <w:tc>
          <w:tcPr>
            <w:tcW w:w="1133" w:type="dxa"/>
            <w:vMerge w:val="restart"/>
            <w:tcBorders>
              <w:top w:val="single" w:sz="4" w:space="0" w:color="000000"/>
              <w:left w:val="single" w:sz="4" w:space="0" w:color="000000"/>
              <w:right w:val="single" w:sz="4" w:space="0" w:color="000000"/>
            </w:tcBorders>
            <w:vAlign w:val="center"/>
          </w:tcPr>
          <w:p w14:paraId="6C26268A" w14:textId="77777777" w:rsidR="00FA601B" w:rsidRPr="00175E32" w:rsidRDefault="00FA601B" w:rsidP="00370A1A">
            <w:pPr>
              <w:ind w:firstLine="0"/>
              <w:jc w:val="center"/>
              <w:rPr>
                <w:szCs w:val="24"/>
              </w:rPr>
            </w:pPr>
            <w:r w:rsidRPr="00175E32">
              <w:rPr>
                <w:szCs w:val="24"/>
              </w:rPr>
              <w:t>2020 год</w:t>
            </w:r>
          </w:p>
          <w:p w14:paraId="0EA163B0" w14:textId="77777777" w:rsidR="00FA601B" w:rsidRPr="00175E32" w:rsidRDefault="00FA601B" w:rsidP="00370A1A">
            <w:pPr>
              <w:ind w:firstLine="0"/>
              <w:jc w:val="center"/>
              <w:rPr>
                <w:szCs w:val="24"/>
              </w:rPr>
            </w:pPr>
            <w:r w:rsidRPr="00175E32">
              <w:rPr>
                <w:szCs w:val="24"/>
              </w:rPr>
              <w:t>(оценка)</w:t>
            </w:r>
          </w:p>
        </w:tc>
      </w:tr>
      <w:tr w:rsidR="00FA601B" w:rsidRPr="00175E32" w14:paraId="2D47CC24" w14:textId="77777777" w:rsidTr="00506284">
        <w:trPr>
          <w:trHeight w:hRule="exact" w:val="917"/>
          <w:tblHeader/>
        </w:trPr>
        <w:tc>
          <w:tcPr>
            <w:tcW w:w="4395" w:type="dxa"/>
            <w:vMerge/>
            <w:tcBorders>
              <w:top w:val="single" w:sz="4" w:space="0" w:color="000000"/>
              <w:left w:val="single" w:sz="4" w:space="0" w:color="000000"/>
              <w:bottom w:val="single" w:sz="4" w:space="0" w:color="000000"/>
            </w:tcBorders>
            <w:vAlign w:val="center"/>
          </w:tcPr>
          <w:p w14:paraId="488BEC89" w14:textId="77777777" w:rsidR="00FA601B" w:rsidRPr="00175E32" w:rsidRDefault="00FA601B" w:rsidP="00AC7FC1">
            <w:pPr>
              <w:snapToGrid w:val="0"/>
              <w:spacing w:line="276" w:lineRule="auto"/>
              <w:ind w:firstLine="0"/>
              <w:rPr>
                <w:szCs w:val="24"/>
              </w:rPr>
            </w:pPr>
          </w:p>
        </w:tc>
        <w:tc>
          <w:tcPr>
            <w:tcW w:w="1134" w:type="dxa"/>
            <w:vMerge/>
            <w:tcBorders>
              <w:top w:val="single" w:sz="4" w:space="0" w:color="000000"/>
              <w:left w:val="single" w:sz="4" w:space="0" w:color="000000"/>
              <w:bottom w:val="single" w:sz="4" w:space="0" w:color="000000"/>
            </w:tcBorders>
            <w:vAlign w:val="center"/>
          </w:tcPr>
          <w:p w14:paraId="3AFE2CE5" w14:textId="77777777" w:rsidR="00FA601B" w:rsidRPr="00175E32" w:rsidRDefault="00FA601B" w:rsidP="00AC7FC1">
            <w:pPr>
              <w:snapToGrid w:val="0"/>
              <w:spacing w:line="276" w:lineRule="auto"/>
              <w:ind w:firstLine="0"/>
              <w:rPr>
                <w:szCs w:val="24"/>
              </w:rPr>
            </w:pPr>
          </w:p>
        </w:tc>
        <w:tc>
          <w:tcPr>
            <w:tcW w:w="1417" w:type="dxa"/>
            <w:tcBorders>
              <w:top w:val="single" w:sz="4" w:space="0" w:color="000000"/>
              <w:left w:val="single" w:sz="4" w:space="0" w:color="000000"/>
              <w:bottom w:val="single" w:sz="4" w:space="0" w:color="000000"/>
            </w:tcBorders>
            <w:vAlign w:val="center"/>
          </w:tcPr>
          <w:p w14:paraId="440D20F6" w14:textId="77777777" w:rsidR="00FA601B" w:rsidRPr="00175E32" w:rsidRDefault="00FA601B" w:rsidP="00370A1A">
            <w:pPr>
              <w:ind w:firstLine="0"/>
              <w:jc w:val="center"/>
              <w:rPr>
                <w:szCs w:val="24"/>
              </w:rPr>
            </w:pPr>
            <w:r w:rsidRPr="00175E32">
              <w:rPr>
                <w:szCs w:val="24"/>
              </w:rPr>
              <w:t>1 вариант (консерва</w:t>
            </w:r>
          </w:p>
          <w:p w14:paraId="46B65A0E" w14:textId="77777777" w:rsidR="00FA601B" w:rsidRPr="00175E32" w:rsidRDefault="00FA601B" w:rsidP="00370A1A">
            <w:pPr>
              <w:ind w:firstLine="0"/>
              <w:jc w:val="center"/>
              <w:rPr>
                <w:szCs w:val="24"/>
              </w:rPr>
            </w:pPr>
            <w:proofErr w:type="spellStart"/>
            <w:r w:rsidRPr="00175E32">
              <w:rPr>
                <w:szCs w:val="24"/>
              </w:rPr>
              <w:t>тивный</w:t>
            </w:r>
            <w:proofErr w:type="spellEnd"/>
            <w:r w:rsidRPr="00175E32">
              <w:rPr>
                <w:szCs w:val="24"/>
              </w:rPr>
              <w:t>)</w:t>
            </w:r>
          </w:p>
        </w:tc>
        <w:tc>
          <w:tcPr>
            <w:tcW w:w="1276" w:type="dxa"/>
            <w:tcBorders>
              <w:top w:val="single" w:sz="4" w:space="0" w:color="000000"/>
              <w:left w:val="single" w:sz="4" w:space="0" w:color="000000"/>
              <w:bottom w:val="single" w:sz="4" w:space="0" w:color="000000"/>
              <w:right w:val="single" w:sz="4" w:space="0" w:color="000000"/>
            </w:tcBorders>
            <w:vAlign w:val="center"/>
          </w:tcPr>
          <w:p w14:paraId="5CA99903" w14:textId="77777777" w:rsidR="00FA601B" w:rsidRPr="00175E32" w:rsidRDefault="00FA601B" w:rsidP="00370A1A">
            <w:pPr>
              <w:ind w:firstLine="0"/>
              <w:jc w:val="center"/>
              <w:rPr>
                <w:szCs w:val="24"/>
              </w:rPr>
            </w:pPr>
            <w:r w:rsidRPr="00175E32">
              <w:rPr>
                <w:szCs w:val="24"/>
              </w:rPr>
              <w:t>2 вариант</w:t>
            </w:r>
          </w:p>
          <w:p w14:paraId="715FDE54" w14:textId="77777777" w:rsidR="00FA601B" w:rsidRPr="00175E32" w:rsidRDefault="00FA601B" w:rsidP="00370A1A">
            <w:pPr>
              <w:ind w:firstLine="0"/>
              <w:jc w:val="center"/>
              <w:rPr>
                <w:szCs w:val="24"/>
              </w:rPr>
            </w:pPr>
            <w:r w:rsidRPr="00175E32">
              <w:rPr>
                <w:szCs w:val="24"/>
              </w:rPr>
              <w:t>(базовый)</w:t>
            </w:r>
          </w:p>
        </w:tc>
        <w:tc>
          <w:tcPr>
            <w:tcW w:w="1133" w:type="dxa"/>
            <w:vMerge/>
            <w:tcBorders>
              <w:left w:val="single" w:sz="4" w:space="0" w:color="000000"/>
              <w:bottom w:val="single" w:sz="4" w:space="0" w:color="auto"/>
              <w:right w:val="single" w:sz="4" w:space="0" w:color="000000"/>
            </w:tcBorders>
          </w:tcPr>
          <w:p w14:paraId="05E13F58" w14:textId="77777777" w:rsidR="00FA601B" w:rsidRPr="00175E32" w:rsidRDefault="00FA601B" w:rsidP="00AC7FC1">
            <w:pPr>
              <w:snapToGrid w:val="0"/>
              <w:ind w:firstLine="0"/>
              <w:rPr>
                <w:szCs w:val="24"/>
              </w:rPr>
            </w:pPr>
          </w:p>
        </w:tc>
      </w:tr>
      <w:tr w:rsidR="00FA601B" w:rsidRPr="00175E32" w14:paraId="6475151D" w14:textId="77777777" w:rsidTr="00506284">
        <w:trPr>
          <w:trHeight w:val="640"/>
        </w:trPr>
        <w:tc>
          <w:tcPr>
            <w:tcW w:w="4395" w:type="dxa"/>
            <w:tcBorders>
              <w:left w:val="single" w:sz="4" w:space="0" w:color="000000"/>
              <w:bottom w:val="single" w:sz="4" w:space="0" w:color="auto"/>
            </w:tcBorders>
            <w:vAlign w:val="center"/>
          </w:tcPr>
          <w:p w14:paraId="366F4B42" w14:textId="77777777" w:rsidR="00FA601B" w:rsidRPr="00175E32" w:rsidRDefault="00FA601B" w:rsidP="00370A1A">
            <w:pPr>
              <w:snapToGrid w:val="0"/>
              <w:ind w:firstLine="0"/>
              <w:jc w:val="left"/>
              <w:rPr>
                <w:iCs/>
                <w:szCs w:val="24"/>
              </w:rPr>
            </w:pPr>
            <w:r w:rsidRPr="00175E32">
              <w:rPr>
                <w:szCs w:val="24"/>
              </w:rPr>
              <w:t>Доля населения, систематически занимающихся физической культурой и спортом, в общей численности населения в возрасте 3-79 лет</w:t>
            </w:r>
          </w:p>
        </w:tc>
        <w:tc>
          <w:tcPr>
            <w:tcW w:w="1134" w:type="dxa"/>
            <w:tcBorders>
              <w:left w:val="single" w:sz="4" w:space="0" w:color="000000"/>
              <w:bottom w:val="single" w:sz="4" w:space="0" w:color="auto"/>
            </w:tcBorders>
            <w:vAlign w:val="center"/>
          </w:tcPr>
          <w:p w14:paraId="66A6F612" w14:textId="77777777" w:rsidR="00FA601B" w:rsidRPr="00175E32" w:rsidRDefault="00FA601B" w:rsidP="00AC7FC1">
            <w:pPr>
              <w:snapToGrid w:val="0"/>
              <w:ind w:firstLine="0"/>
              <w:jc w:val="center"/>
              <w:rPr>
                <w:szCs w:val="24"/>
              </w:rPr>
            </w:pPr>
            <w:r w:rsidRPr="00175E32">
              <w:rPr>
                <w:iCs/>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E3AFB3D" w14:textId="77777777" w:rsidR="00FA601B" w:rsidRPr="00175E32" w:rsidRDefault="00FA601B" w:rsidP="00AC7FC1">
            <w:pPr>
              <w:suppressAutoHyphens w:val="0"/>
              <w:ind w:firstLine="0"/>
              <w:jc w:val="center"/>
              <w:rPr>
                <w:szCs w:val="24"/>
                <w:lang w:eastAsia="ru-RU"/>
              </w:rPr>
            </w:pPr>
            <w:r w:rsidRPr="00175E32">
              <w:rPr>
                <w:szCs w:val="24"/>
              </w:rPr>
              <w:t>41,0</w:t>
            </w:r>
          </w:p>
        </w:tc>
        <w:tc>
          <w:tcPr>
            <w:tcW w:w="1276" w:type="dxa"/>
            <w:tcBorders>
              <w:top w:val="single" w:sz="4" w:space="0" w:color="auto"/>
              <w:left w:val="nil"/>
              <w:bottom w:val="single" w:sz="4" w:space="0" w:color="auto"/>
              <w:right w:val="single" w:sz="4" w:space="0" w:color="auto"/>
            </w:tcBorders>
            <w:shd w:val="clear" w:color="auto" w:fill="auto"/>
            <w:vAlign w:val="center"/>
          </w:tcPr>
          <w:p w14:paraId="27C51FD0" w14:textId="77777777" w:rsidR="00FA601B" w:rsidRPr="00175E32" w:rsidRDefault="00FA601B" w:rsidP="00AC7FC1">
            <w:pPr>
              <w:ind w:firstLine="0"/>
              <w:jc w:val="center"/>
              <w:rPr>
                <w:szCs w:val="24"/>
              </w:rPr>
            </w:pPr>
            <w:r w:rsidRPr="00175E32">
              <w:rPr>
                <w:szCs w:val="24"/>
              </w:rPr>
              <w:t>42,8</w:t>
            </w:r>
          </w:p>
        </w:tc>
        <w:tc>
          <w:tcPr>
            <w:tcW w:w="1133" w:type="dxa"/>
            <w:tcBorders>
              <w:top w:val="single" w:sz="4" w:space="0" w:color="auto"/>
              <w:left w:val="nil"/>
              <w:bottom w:val="single" w:sz="4" w:space="0" w:color="auto"/>
              <w:right w:val="single" w:sz="4" w:space="0" w:color="auto"/>
            </w:tcBorders>
            <w:shd w:val="clear" w:color="auto" w:fill="auto"/>
            <w:vAlign w:val="center"/>
          </w:tcPr>
          <w:p w14:paraId="5062416F" w14:textId="77777777" w:rsidR="00FA601B" w:rsidRPr="00175E32" w:rsidRDefault="00FA601B" w:rsidP="00AC7FC1">
            <w:pPr>
              <w:ind w:firstLine="0"/>
              <w:jc w:val="center"/>
              <w:rPr>
                <w:szCs w:val="24"/>
              </w:rPr>
            </w:pPr>
            <w:r w:rsidRPr="00175E32">
              <w:rPr>
                <w:szCs w:val="24"/>
              </w:rPr>
              <w:t>42,8</w:t>
            </w:r>
          </w:p>
        </w:tc>
      </w:tr>
      <w:tr w:rsidR="00FA601B" w:rsidRPr="00175E32" w14:paraId="25B8CF1A" w14:textId="77777777" w:rsidTr="00506284">
        <w:trPr>
          <w:trHeight w:val="708"/>
        </w:trPr>
        <w:tc>
          <w:tcPr>
            <w:tcW w:w="4395" w:type="dxa"/>
            <w:tcBorders>
              <w:top w:val="single" w:sz="4" w:space="0" w:color="auto"/>
              <w:left w:val="single" w:sz="4" w:space="0" w:color="000000"/>
              <w:bottom w:val="single" w:sz="4" w:space="0" w:color="000000"/>
            </w:tcBorders>
            <w:vAlign w:val="center"/>
          </w:tcPr>
          <w:p w14:paraId="7AB7F8E9" w14:textId="77777777" w:rsidR="00FA601B" w:rsidRPr="00175E32" w:rsidRDefault="00FA601B" w:rsidP="00370A1A">
            <w:pPr>
              <w:snapToGrid w:val="0"/>
              <w:ind w:firstLine="0"/>
              <w:jc w:val="left"/>
              <w:rPr>
                <w:szCs w:val="24"/>
              </w:rPr>
            </w:pPr>
            <w:r w:rsidRPr="00175E32">
              <w:rPr>
                <w:szCs w:val="24"/>
              </w:rPr>
              <w:t>Уровень фактической обеспеченности населения объектами спорта от нормативной потребности</w:t>
            </w:r>
          </w:p>
        </w:tc>
        <w:tc>
          <w:tcPr>
            <w:tcW w:w="1134" w:type="dxa"/>
            <w:tcBorders>
              <w:top w:val="single" w:sz="4" w:space="0" w:color="auto"/>
              <w:left w:val="single" w:sz="4" w:space="0" w:color="000000"/>
              <w:bottom w:val="single" w:sz="4" w:space="0" w:color="000000"/>
            </w:tcBorders>
            <w:vAlign w:val="center"/>
          </w:tcPr>
          <w:p w14:paraId="7ED4FAC0" w14:textId="77777777" w:rsidR="00FA601B" w:rsidRPr="00175E32" w:rsidRDefault="00FA601B" w:rsidP="00AC7FC1">
            <w:pPr>
              <w:snapToGrid w:val="0"/>
              <w:ind w:firstLine="0"/>
              <w:jc w:val="center"/>
              <w:rPr>
                <w:iCs/>
                <w:szCs w:val="24"/>
              </w:rPr>
            </w:pPr>
            <w:r w:rsidRPr="00175E32">
              <w:rPr>
                <w:iCs/>
                <w:szCs w:val="24"/>
              </w:rPr>
              <w:t>%</w:t>
            </w:r>
          </w:p>
        </w:tc>
        <w:tc>
          <w:tcPr>
            <w:tcW w:w="1417" w:type="dxa"/>
            <w:tcBorders>
              <w:top w:val="nil"/>
              <w:left w:val="single" w:sz="4" w:space="0" w:color="auto"/>
              <w:bottom w:val="single" w:sz="4" w:space="0" w:color="auto"/>
              <w:right w:val="single" w:sz="4" w:space="0" w:color="auto"/>
            </w:tcBorders>
            <w:shd w:val="clear" w:color="000000" w:fill="FFFFFF"/>
            <w:vAlign w:val="center"/>
          </w:tcPr>
          <w:p w14:paraId="4BA49E8C" w14:textId="77777777" w:rsidR="00FA601B" w:rsidRPr="00175E32" w:rsidRDefault="00FA601B" w:rsidP="00AC7FC1">
            <w:pPr>
              <w:ind w:firstLine="0"/>
              <w:jc w:val="center"/>
              <w:rPr>
                <w:szCs w:val="24"/>
              </w:rPr>
            </w:pPr>
            <w:r w:rsidRPr="00175E32">
              <w:rPr>
                <w:szCs w:val="24"/>
              </w:rPr>
              <w:t>30,5</w:t>
            </w:r>
          </w:p>
        </w:tc>
        <w:tc>
          <w:tcPr>
            <w:tcW w:w="1276" w:type="dxa"/>
            <w:tcBorders>
              <w:top w:val="nil"/>
              <w:left w:val="nil"/>
              <w:bottom w:val="single" w:sz="4" w:space="0" w:color="auto"/>
              <w:right w:val="single" w:sz="4" w:space="0" w:color="auto"/>
            </w:tcBorders>
            <w:shd w:val="clear" w:color="000000" w:fill="FFFFFF"/>
            <w:vAlign w:val="center"/>
          </w:tcPr>
          <w:p w14:paraId="05633203" w14:textId="77777777" w:rsidR="00FA601B" w:rsidRPr="00175E32" w:rsidRDefault="00FA601B" w:rsidP="00AC7FC1">
            <w:pPr>
              <w:ind w:firstLine="0"/>
              <w:jc w:val="center"/>
              <w:rPr>
                <w:szCs w:val="24"/>
              </w:rPr>
            </w:pPr>
            <w:r w:rsidRPr="00175E32">
              <w:rPr>
                <w:szCs w:val="24"/>
              </w:rPr>
              <w:t>30,6</w:t>
            </w:r>
          </w:p>
        </w:tc>
        <w:tc>
          <w:tcPr>
            <w:tcW w:w="1133" w:type="dxa"/>
            <w:tcBorders>
              <w:top w:val="nil"/>
              <w:left w:val="nil"/>
              <w:bottom w:val="single" w:sz="4" w:space="0" w:color="auto"/>
              <w:right w:val="single" w:sz="4" w:space="0" w:color="auto"/>
            </w:tcBorders>
            <w:shd w:val="clear" w:color="000000" w:fill="FFFFFF"/>
            <w:vAlign w:val="center"/>
          </w:tcPr>
          <w:p w14:paraId="498245B3" w14:textId="77777777" w:rsidR="00FA601B" w:rsidRPr="00175E32" w:rsidRDefault="00FA601B" w:rsidP="00AC7FC1">
            <w:pPr>
              <w:ind w:firstLine="0"/>
              <w:jc w:val="center"/>
              <w:rPr>
                <w:szCs w:val="24"/>
              </w:rPr>
            </w:pPr>
            <w:r w:rsidRPr="00175E32">
              <w:rPr>
                <w:szCs w:val="24"/>
              </w:rPr>
              <w:t>30,9</w:t>
            </w:r>
          </w:p>
        </w:tc>
      </w:tr>
    </w:tbl>
    <w:p w14:paraId="3DEDE193" w14:textId="77777777" w:rsidR="002754E7" w:rsidRDefault="002754E7" w:rsidP="00FA601B">
      <w:pPr>
        <w:spacing w:line="276" w:lineRule="auto"/>
        <w:rPr>
          <w:szCs w:val="24"/>
          <w:lang w:eastAsia="ar-SA"/>
        </w:rPr>
      </w:pPr>
    </w:p>
    <w:p w14:paraId="69F3A907" w14:textId="77777777" w:rsidR="00FA601B" w:rsidRPr="00175E32" w:rsidRDefault="00FA601B" w:rsidP="00FA601B">
      <w:pPr>
        <w:spacing w:line="276" w:lineRule="auto"/>
        <w:rPr>
          <w:szCs w:val="24"/>
        </w:rPr>
      </w:pPr>
      <w:r w:rsidRPr="00175E32">
        <w:rPr>
          <w:szCs w:val="24"/>
          <w:lang w:eastAsia="ar-SA"/>
        </w:rPr>
        <w:t>Показатель «</w:t>
      </w:r>
      <w:r w:rsidRPr="00175E32">
        <w:rPr>
          <w:szCs w:val="24"/>
        </w:rPr>
        <w:t xml:space="preserve">Уровень фактической обеспеченности населения объектами спорта от нормативной потребности» </w:t>
      </w:r>
      <w:r w:rsidRPr="00175E32">
        <w:rPr>
          <w:szCs w:val="24"/>
          <w:lang w:eastAsia="ar-SA"/>
        </w:rPr>
        <w:t xml:space="preserve">в 2020 году скорректирован в сторону увеличения до 30,9%, в связи с </w:t>
      </w:r>
      <w:r w:rsidRPr="00175E32">
        <w:rPr>
          <w:szCs w:val="24"/>
        </w:rPr>
        <w:t>вводом в эксплуатацию 4 спортивных площадок и физкультурно-спортивного комплекса для</w:t>
      </w:r>
      <w:r w:rsidR="00FF61B0">
        <w:rPr>
          <w:szCs w:val="24"/>
        </w:rPr>
        <w:t xml:space="preserve"> МБУДО СДЮСШОР № 8 «Союз».</w:t>
      </w:r>
    </w:p>
    <w:p w14:paraId="43A86F93" w14:textId="77777777" w:rsidR="002F3AD0" w:rsidRPr="00175E32" w:rsidRDefault="002F3AD0" w:rsidP="002F3AD0">
      <w:pPr>
        <w:spacing w:line="276" w:lineRule="auto"/>
        <w:jc w:val="center"/>
        <w:rPr>
          <w:b/>
          <w:szCs w:val="24"/>
          <w:lang w:eastAsia="ar-SA"/>
        </w:rPr>
      </w:pPr>
    </w:p>
    <w:p w14:paraId="2FCD21CF" w14:textId="77777777" w:rsidR="00A50BA4" w:rsidRPr="00175E32" w:rsidRDefault="00A50BA4" w:rsidP="00FF61B0">
      <w:pPr>
        <w:pStyle w:val="3"/>
        <w:ind w:left="0" w:firstLine="0"/>
        <w:rPr>
          <w:lang w:eastAsia="ar-SA"/>
        </w:rPr>
      </w:pPr>
      <w:r w:rsidRPr="00175E32">
        <w:rPr>
          <w:lang w:eastAsia="ar-SA"/>
        </w:rPr>
        <w:t>Потребительский рынок товаров</w:t>
      </w:r>
      <w:bookmarkStart w:id="7" w:name="потреб"/>
      <w:bookmarkEnd w:id="7"/>
    </w:p>
    <w:p w14:paraId="6B96E002" w14:textId="77777777" w:rsidR="008B6D01" w:rsidRPr="00175E32" w:rsidRDefault="008B6D01" w:rsidP="00872F73">
      <w:pPr>
        <w:pStyle w:val="aff0"/>
        <w:spacing w:line="276" w:lineRule="auto"/>
        <w:jc w:val="center"/>
        <w:rPr>
          <w:sz w:val="24"/>
          <w:szCs w:val="24"/>
          <w:shd w:val="clear" w:color="auto" w:fill="FFFFFF"/>
        </w:rPr>
      </w:pPr>
    </w:p>
    <w:p w14:paraId="161C9674" w14:textId="77777777" w:rsidR="00923023" w:rsidRPr="00175E32" w:rsidRDefault="00923023" w:rsidP="00923023">
      <w:pPr>
        <w:widowControl w:val="0"/>
        <w:suppressAutoHyphens w:val="0"/>
        <w:autoSpaceDE w:val="0"/>
        <w:autoSpaceDN w:val="0"/>
        <w:adjustRightInd w:val="0"/>
        <w:spacing w:line="276" w:lineRule="auto"/>
        <w:rPr>
          <w:rFonts w:eastAsiaTheme="minorEastAsia"/>
          <w:szCs w:val="24"/>
          <w:lang w:eastAsia="ru-RU"/>
        </w:rPr>
      </w:pPr>
      <w:r w:rsidRPr="00175E32">
        <w:rPr>
          <w:rFonts w:eastAsiaTheme="minorEastAsia"/>
          <w:szCs w:val="24"/>
          <w:lang w:eastAsia="ru-RU"/>
        </w:rPr>
        <w:t>В настоящее время инфраструктура розничной торговли в городском округе Тольятти представлена достаточно развитой сетью торговых организаций.</w:t>
      </w:r>
    </w:p>
    <w:p w14:paraId="61C49F01" w14:textId="77777777" w:rsidR="00923023" w:rsidRPr="00175E32" w:rsidRDefault="00923023" w:rsidP="00923023">
      <w:pPr>
        <w:suppressAutoHyphens w:val="0"/>
        <w:autoSpaceDE w:val="0"/>
        <w:autoSpaceDN w:val="0"/>
        <w:adjustRightInd w:val="0"/>
        <w:spacing w:line="276" w:lineRule="auto"/>
        <w:rPr>
          <w:rFonts w:eastAsiaTheme="minorEastAsia"/>
          <w:szCs w:val="24"/>
          <w:lang w:eastAsia="ru-RU"/>
        </w:rPr>
      </w:pPr>
      <w:r w:rsidRPr="00175E32">
        <w:rPr>
          <w:rFonts w:eastAsiaTheme="minorEastAsia"/>
          <w:szCs w:val="24"/>
          <w:lang w:eastAsia="ru-RU"/>
        </w:rPr>
        <w:t xml:space="preserve">По состоянию на 01.07.2020 в городском округе Тольятти </w:t>
      </w:r>
      <w:r w:rsidR="00FF61B0">
        <w:rPr>
          <w:rFonts w:eastAsiaTheme="minorEastAsia"/>
          <w:szCs w:val="24"/>
          <w:lang w:eastAsia="ru-RU"/>
        </w:rPr>
        <w:t>действуют около 12 тыс. </w:t>
      </w:r>
      <w:r w:rsidRPr="00175E32">
        <w:rPr>
          <w:rFonts w:eastAsiaTheme="minorEastAsia"/>
          <w:szCs w:val="24"/>
          <w:lang w:eastAsia="ru-RU"/>
        </w:rPr>
        <w:t>предприятий торговли, более 0,8 тыс. предприятий общественного питания и около 2,0 тыс. предприятий бытового обслуживания населения.</w:t>
      </w:r>
    </w:p>
    <w:p w14:paraId="4F14D26A" w14:textId="77777777" w:rsidR="00923023" w:rsidRPr="00175E32" w:rsidRDefault="00923023" w:rsidP="00923023">
      <w:pPr>
        <w:widowControl w:val="0"/>
        <w:suppressAutoHyphens w:val="0"/>
        <w:autoSpaceDE w:val="0"/>
        <w:autoSpaceDN w:val="0"/>
        <w:adjustRightInd w:val="0"/>
        <w:spacing w:line="276" w:lineRule="auto"/>
        <w:rPr>
          <w:rFonts w:eastAsiaTheme="minorEastAsia"/>
          <w:szCs w:val="24"/>
          <w:lang w:eastAsia="ru-RU"/>
        </w:rPr>
      </w:pPr>
      <w:r w:rsidRPr="00175E32">
        <w:rPr>
          <w:rFonts w:eastAsiaTheme="minorEastAsia"/>
          <w:szCs w:val="24"/>
          <w:lang w:eastAsia="ru-RU"/>
        </w:rPr>
        <w:t>Продолжается развитие крупных торговых центров, включающих в себя множество магазинов, предприятий питания, сферы услуг, досуга и развлечений. В настоящее время их количество в городском округе Тольятти составляет более 120 единиц: ТРК «Русь на Волге», TРК «Парк Хаус», ТЦ «Мадагаскар», ТЦ</w:t>
      </w:r>
      <w:r w:rsidR="00FF61B0">
        <w:rPr>
          <w:rFonts w:eastAsiaTheme="minorEastAsia"/>
          <w:szCs w:val="24"/>
          <w:lang w:eastAsia="ru-RU"/>
        </w:rPr>
        <w:t xml:space="preserve"> «Апельсин», ТРК «Капитал», ООО </w:t>
      </w:r>
      <w:r w:rsidRPr="00175E32">
        <w:rPr>
          <w:rFonts w:eastAsiaTheme="minorEastAsia"/>
          <w:szCs w:val="24"/>
          <w:lang w:eastAsia="ru-RU"/>
        </w:rPr>
        <w:t>«</w:t>
      </w:r>
      <w:proofErr w:type="spellStart"/>
      <w:r w:rsidRPr="00175E32">
        <w:rPr>
          <w:rFonts w:eastAsiaTheme="minorEastAsia"/>
          <w:szCs w:val="24"/>
          <w:lang w:eastAsia="ru-RU"/>
        </w:rPr>
        <w:t>Мегастрой</w:t>
      </w:r>
      <w:proofErr w:type="spellEnd"/>
      <w:r w:rsidRPr="00175E32">
        <w:rPr>
          <w:rFonts w:eastAsiaTheme="minorEastAsia"/>
          <w:szCs w:val="24"/>
          <w:lang w:eastAsia="ru-RU"/>
        </w:rPr>
        <w:t>» и др.</w:t>
      </w:r>
    </w:p>
    <w:p w14:paraId="6CD8F94F" w14:textId="77777777" w:rsidR="00923023" w:rsidRPr="00175E32" w:rsidRDefault="00923023" w:rsidP="00923023">
      <w:pPr>
        <w:widowControl w:val="0"/>
        <w:suppressAutoHyphens w:val="0"/>
        <w:autoSpaceDE w:val="0"/>
        <w:autoSpaceDN w:val="0"/>
        <w:adjustRightInd w:val="0"/>
        <w:spacing w:line="276" w:lineRule="auto"/>
        <w:rPr>
          <w:rFonts w:eastAsiaTheme="minorEastAsia"/>
          <w:szCs w:val="24"/>
          <w:lang w:eastAsia="ru-RU"/>
        </w:rPr>
      </w:pPr>
      <w:r w:rsidRPr="00175E32">
        <w:rPr>
          <w:rFonts w:eastAsiaTheme="minorEastAsia"/>
          <w:szCs w:val="24"/>
          <w:lang w:eastAsia="ru-RU"/>
        </w:rPr>
        <w:t>На территории городского округа Тольятти осуществляют деятельность 4 рынка с разрешениями на право организации розничной торговли.</w:t>
      </w:r>
    </w:p>
    <w:p w14:paraId="5AE12C81" w14:textId="77777777" w:rsidR="00923023" w:rsidRPr="00175E32" w:rsidRDefault="00923023" w:rsidP="00923023">
      <w:pPr>
        <w:widowControl w:val="0"/>
        <w:suppressAutoHyphens w:val="0"/>
        <w:autoSpaceDE w:val="0"/>
        <w:autoSpaceDN w:val="0"/>
        <w:adjustRightInd w:val="0"/>
        <w:spacing w:line="276" w:lineRule="auto"/>
        <w:rPr>
          <w:rFonts w:eastAsiaTheme="minorEastAsia"/>
          <w:szCs w:val="24"/>
          <w:lang w:eastAsia="ru-RU"/>
        </w:rPr>
      </w:pPr>
      <w:r w:rsidRPr="00175E32">
        <w:rPr>
          <w:rFonts w:eastAsiaTheme="minorEastAsia"/>
          <w:szCs w:val="24"/>
          <w:lang w:eastAsia="ru-RU"/>
        </w:rPr>
        <w:t>За январь-июнь 2020 года проведены 26 ярмарок, включенная в реестр Самарской области.</w:t>
      </w:r>
    </w:p>
    <w:p w14:paraId="0B7544C8" w14:textId="77777777" w:rsidR="00923023" w:rsidRPr="00175E32" w:rsidRDefault="00923023" w:rsidP="00923023">
      <w:pPr>
        <w:suppressAutoHyphens w:val="0"/>
        <w:autoSpaceDE w:val="0"/>
        <w:autoSpaceDN w:val="0"/>
        <w:adjustRightInd w:val="0"/>
        <w:spacing w:line="276" w:lineRule="auto"/>
        <w:rPr>
          <w:rFonts w:eastAsiaTheme="minorEastAsia"/>
          <w:szCs w:val="24"/>
          <w:lang w:eastAsia="ru-RU"/>
        </w:rPr>
      </w:pPr>
      <w:r w:rsidRPr="00175E32">
        <w:rPr>
          <w:rFonts w:eastAsiaTheme="minorEastAsia"/>
          <w:szCs w:val="24"/>
          <w:lang w:eastAsia="ru-RU"/>
        </w:rPr>
        <w:t xml:space="preserve">Сохраняется тенденция развития универсальных магазинов «шаговой доступности», магазинов «эконом-класса» на первых этажах жилых домов и в отдельно стоящих зданиях. За счет открытия новых предприятий потребительского рынка происходит создание новых рабочих мест для населения </w:t>
      </w:r>
      <w:r w:rsidR="007D5F6C">
        <w:rPr>
          <w:szCs w:val="24"/>
        </w:rPr>
        <w:t>городского округа Тольятти</w:t>
      </w:r>
      <w:r w:rsidRPr="00175E32">
        <w:rPr>
          <w:rFonts w:eastAsiaTheme="minorEastAsia"/>
          <w:szCs w:val="24"/>
          <w:lang w:eastAsia="ru-RU"/>
        </w:rPr>
        <w:t xml:space="preserve">. Так, за шесть месяцев 2020 года в городском округе </w:t>
      </w:r>
      <w:r w:rsidR="007D5F6C">
        <w:rPr>
          <w:rFonts w:eastAsiaTheme="minorEastAsia"/>
          <w:szCs w:val="24"/>
          <w:lang w:eastAsia="ru-RU"/>
        </w:rPr>
        <w:t xml:space="preserve">Тольятти </w:t>
      </w:r>
      <w:r w:rsidRPr="00175E32">
        <w:rPr>
          <w:rFonts w:eastAsiaTheme="minorEastAsia"/>
          <w:szCs w:val="24"/>
          <w:lang w:eastAsia="ru-RU"/>
        </w:rPr>
        <w:t>хозяйственную деятельность начали осуществлять 52 вновь созданных предприятия торговли и услуг (48 постоянных рабочих места).</w:t>
      </w:r>
    </w:p>
    <w:p w14:paraId="2CDC600F" w14:textId="77777777" w:rsidR="00923023" w:rsidRPr="00175E32" w:rsidRDefault="00923023" w:rsidP="00923023">
      <w:pPr>
        <w:suppressAutoHyphens w:val="0"/>
        <w:autoSpaceDE w:val="0"/>
        <w:autoSpaceDN w:val="0"/>
        <w:adjustRightInd w:val="0"/>
        <w:spacing w:line="276" w:lineRule="auto"/>
        <w:rPr>
          <w:rFonts w:eastAsiaTheme="minorEastAsia"/>
          <w:szCs w:val="24"/>
          <w:lang w:eastAsia="ru-RU"/>
        </w:rPr>
      </w:pPr>
      <w:r w:rsidRPr="00175E32">
        <w:rPr>
          <w:rFonts w:eastAsiaTheme="minorEastAsia"/>
          <w:szCs w:val="24"/>
          <w:lang w:eastAsia="ru-RU"/>
        </w:rPr>
        <w:t>Вновь открывающиеся магазины работают по методу самообслуживания, для комфорта покупателей внедряются новые технологии обслуживания - кассами самообслуживания, которые позволяют приобрести товар самостоятельно, оплатив покупки, как наличными деньгами, так и банковскими картами.</w:t>
      </w:r>
    </w:p>
    <w:p w14:paraId="1D5DEA28" w14:textId="77777777" w:rsidR="00923023" w:rsidRPr="00175E32" w:rsidRDefault="00923023" w:rsidP="00923023">
      <w:pPr>
        <w:widowControl w:val="0"/>
        <w:suppressAutoHyphens w:val="0"/>
        <w:autoSpaceDE w:val="0"/>
        <w:autoSpaceDN w:val="0"/>
        <w:adjustRightInd w:val="0"/>
        <w:spacing w:line="276" w:lineRule="auto"/>
        <w:rPr>
          <w:rFonts w:eastAsiaTheme="minorEastAsia"/>
          <w:szCs w:val="24"/>
          <w:lang w:eastAsia="ru-RU"/>
        </w:rPr>
      </w:pPr>
      <w:r w:rsidRPr="00175E32">
        <w:rPr>
          <w:rFonts w:eastAsiaTheme="minorEastAsia"/>
          <w:szCs w:val="24"/>
          <w:lang w:eastAsia="ru-RU"/>
        </w:rPr>
        <w:lastRenderedPageBreak/>
        <w:t>Кроме того, на универсальных рынках по продаже сельскохозяйственной продукции гражданами, ведущими крестьянские (фермерские) хозяйства, личные подсобные хозяйства или занимающимися садоводством, огородничеством, животноводством, определено 15,0% от общего количества торговых мест, предназначенных для продажи продовольственных товаров в летнее время и 10,0% в зимнее время.</w:t>
      </w:r>
    </w:p>
    <w:p w14:paraId="36ECB7AE" w14:textId="77777777" w:rsidR="00923023" w:rsidRPr="00175E32" w:rsidRDefault="00923023" w:rsidP="00923023">
      <w:pPr>
        <w:suppressAutoHyphens w:val="0"/>
        <w:autoSpaceDE w:val="0"/>
        <w:autoSpaceDN w:val="0"/>
        <w:adjustRightInd w:val="0"/>
        <w:spacing w:line="276" w:lineRule="auto"/>
        <w:ind w:firstLine="720"/>
        <w:rPr>
          <w:rFonts w:eastAsiaTheme="minorEastAsia"/>
          <w:color w:val="000000"/>
          <w:szCs w:val="24"/>
          <w:shd w:val="clear" w:color="auto" w:fill="FFFFFF"/>
          <w:lang w:eastAsia="ru-RU"/>
        </w:rPr>
      </w:pPr>
      <w:r w:rsidRPr="00175E32">
        <w:rPr>
          <w:rFonts w:eastAsiaTheme="minorEastAsia"/>
          <w:szCs w:val="24"/>
          <w:lang w:eastAsia="ru-RU"/>
        </w:rPr>
        <w:t>Начиная с апреля текущего года, на экономику городского округа Тольятти, как и всей Самарской области, оказывают негативное влияние последствия распространения коронавирусной инфекции.</w:t>
      </w:r>
      <w:r w:rsidRPr="00175E32">
        <w:rPr>
          <w:rFonts w:eastAsiaTheme="minorEastAsia"/>
          <w:color w:val="000000"/>
          <w:szCs w:val="24"/>
          <w:shd w:val="clear" w:color="auto" w:fill="FFFFFF"/>
          <w:lang w:eastAsia="ru-RU"/>
        </w:rPr>
        <w:t xml:space="preserve"> В сложной ситуации оказалась сфера общественного питания в связи с ограничительными мерами по их посещению. Всего на территории городского округа Тольятти в отраслях, признанных Правительством РФ как наиболее пострадавшие в условиях ухудшения ситуации в результате распространения новой коронавирусной инфекции, осуществляют деятельность порядка 10 тысяч СМСП.</w:t>
      </w:r>
    </w:p>
    <w:p w14:paraId="324F5C10" w14:textId="77777777" w:rsidR="00923023" w:rsidRPr="00175E32" w:rsidRDefault="00923023" w:rsidP="00923023">
      <w:pPr>
        <w:suppressAutoHyphens w:val="0"/>
        <w:autoSpaceDE w:val="0"/>
        <w:autoSpaceDN w:val="0"/>
        <w:adjustRightInd w:val="0"/>
        <w:spacing w:line="276" w:lineRule="auto"/>
        <w:rPr>
          <w:rFonts w:eastAsiaTheme="minorEastAsia"/>
          <w:szCs w:val="24"/>
          <w:lang w:eastAsia="ru-RU"/>
        </w:rPr>
      </w:pPr>
      <w:r w:rsidRPr="00175E32">
        <w:rPr>
          <w:rFonts w:eastAsiaTheme="minorEastAsia"/>
          <w:szCs w:val="24"/>
          <w:lang w:eastAsia="ru-RU"/>
        </w:rPr>
        <w:t>Оборот розничной торговли (по полному кругу предприятий и организаций) в январе-июне 2020 года составил 87,0 млрд. руб</w:t>
      </w:r>
      <w:r w:rsidR="008024D2" w:rsidRPr="00175E32">
        <w:rPr>
          <w:rFonts w:eastAsiaTheme="minorEastAsia"/>
          <w:szCs w:val="24"/>
          <w:lang w:eastAsia="ru-RU"/>
        </w:rPr>
        <w:t xml:space="preserve">лей, что на 3,1% меньше </w:t>
      </w:r>
      <w:r w:rsidRPr="00175E32">
        <w:rPr>
          <w:rFonts w:eastAsiaTheme="minorEastAsia"/>
          <w:szCs w:val="24"/>
          <w:lang w:eastAsia="ru-RU"/>
        </w:rPr>
        <w:t>соответствующе</w:t>
      </w:r>
      <w:r w:rsidR="008024D2" w:rsidRPr="00175E32">
        <w:rPr>
          <w:rFonts w:eastAsiaTheme="minorEastAsia"/>
          <w:szCs w:val="24"/>
          <w:lang w:eastAsia="ru-RU"/>
        </w:rPr>
        <w:t>го</w:t>
      </w:r>
      <w:r w:rsidRPr="00175E32">
        <w:rPr>
          <w:rFonts w:eastAsiaTheme="minorEastAsia"/>
          <w:szCs w:val="24"/>
          <w:lang w:eastAsia="ru-RU"/>
        </w:rPr>
        <w:t xml:space="preserve"> период</w:t>
      </w:r>
      <w:r w:rsidR="008024D2" w:rsidRPr="00175E32">
        <w:rPr>
          <w:rFonts w:eastAsiaTheme="minorEastAsia"/>
          <w:szCs w:val="24"/>
          <w:lang w:eastAsia="ru-RU"/>
        </w:rPr>
        <w:t>а</w:t>
      </w:r>
      <w:r w:rsidR="00FF61B0">
        <w:rPr>
          <w:rFonts w:eastAsiaTheme="minorEastAsia"/>
          <w:szCs w:val="24"/>
          <w:lang w:eastAsia="ru-RU"/>
        </w:rPr>
        <w:t xml:space="preserve"> 2019 года.</w:t>
      </w:r>
    </w:p>
    <w:p w14:paraId="298BA117" w14:textId="77777777" w:rsidR="00923023" w:rsidRPr="00175E32" w:rsidRDefault="00923023" w:rsidP="00923023">
      <w:pPr>
        <w:widowControl w:val="0"/>
        <w:suppressAutoHyphens w:val="0"/>
        <w:autoSpaceDE w:val="0"/>
        <w:autoSpaceDN w:val="0"/>
        <w:adjustRightInd w:val="0"/>
        <w:spacing w:line="276" w:lineRule="auto"/>
        <w:rPr>
          <w:rFonts w:eastAsiaTheme="minorEastAsia"/>
          <w:szCs w:val="24"/>
          <w:lang w:eastAsia="ru-RU"/>
        </w:rPr>
      </w:pPr>
      <w:r w:rsidRPr="00175E32">
        <w:rPr>
          <w:rFonts w:eastAsiaTheme="minorEastAsia"/>
          <w:szCs w:val="24"/>
          <w:lang w:eastAsia="ru-RU"/>
        </w:rPr>
        <w:t>Оборот розничной торговли на душу населения в январе-июне 2020 года сложился выше среднеобластного значения и составил 124,4 тыс. рублей (по Самарской области – 100,9 тыс. рублей), городской округ Тольятти занял второе место в рейтинге городских округов Самарской области по данному показателю и седьмое место относительно региональных центров Приволжского федерального округа. Основную часть оборота розничной торговли (около 55,2%) формируют предприятия малого бизнеса и лица, занимающиеся индивидуальной трудовой деятельностью.</w:t>
      </w:r>
    </w:p>
    <w:p w14:paraId="6CAFA993" w14:textId="77777777" w:rsidR="00FF61B0" w:rsidRDefault="00923023" w:rsidP="00FF61B0">
      <w:pPr>
        <w:widowControl w:val="0"/>
        <w:spacing w:before="120" w:line="300" w:lineRule="auto"/>
        <w:ind w:firstLine="0"/>
        <w:jc w:val="center"/>
        <w:rPr>
          <w:rFonts w:eastAsia="Calibri"/>
          <w:szCs w:val="24"/>
        </w:rPr>
      </w:pPr>
      <w:r w:rsidRPr="00175E32">
        <w:rPr>
          <w:rFonts w:eastAsia="Calibri"/>
          <w:szCs w:val="24"/>
        </w:rPr>
        <w:t xml:space="preserve">Ожидаемое выполнение прогнозных показателей по разделу </w:t>
      </w:r>
    </w:p>
    <w:p w14:paraId="2A094B6A" w14:textId="77777777" w:rsidR="00923023" w:rsidRPr="00175E32" w:rsidRDefault="00923023" w:rsidP="00FF61B0">
      <w:pPr>
        <w:widowControl w:val="0"/>
        <w:spacing w:line="300" w:lineRule="auto"/>
        <w:ind w:firstLine="0"/>
        <w:jc w:val="center"/>
        <w:rPr>
          <w:rFonts w:eastAsia="Calibri"/>
          <w:szCs w:val="24"/>
        </w:rPr>
      </w:pPr>
      <w:r w:rsidRPr="00175E32">
        <w:rPr>
          <w:rFonts w:eastAsia="Calibri"/>
          <w:szCs w:val="24"/>
        </w:rPr>
        <w:t>«Потребительский рынок» на 2020 год</w:t>
      </w:r>
    </w:p>
    <w:tbl>
      <w:tblPr>
        <w:tblW w:w="9335" w:type="dxa"/>
        <w:tblInd w:w="108" w:type="dxa"/>
        <w:tblLayout w:type="fixed"/>
        <w:tblLook w:val="00A0" w:firstRow="1" w:lastRow="0" w:firstColumn="1" w:lastColumn="0" w:noHBand="0" w:noVBand="0"/>
      </w:tblPr>
      <w:tblGrid>
        <w:gridCol w:w="3455"/>
        <w:gridCol w:w="1432"/>
        <w:gridCol w:w="1422"/>
        <w:gridCol w:w="1617"/>
        <w:gridCol w:w="1409"/>
      </w:tblGrid>
      <w:tr w:rsidR="00923023" w:rsidRPr="00175E32" w14:paraId="173B8CF3" w14:textId="77777777" w:rsidTr="00923023">
        <w:trPr>
          <w:cantSplit/>
          <w:trHeight w:val="259"/>
        </w:trPr>
        <w:tc>
          <w:tcPr>
            <w:tcW w:w="3455" w:type="dxa"/>
            <w:vMerge w:val="restart"/>
            <w:tcBorders>
              <w:top w:val="single" w:sz="4" w:space="0" w:color="000000"/>
              <w:left w:val="single" w:sz="4" w:space="0" w:color="000000"/>
              <w:bottom w:val="single" w:sz="4" w:space="0" w:color="000000"/>
              <w:right w:val="nil"/>
            </w:tcBorders>
            <w:vAlign w:val="center"/>
          </w:tcPr>
          <w:p w14:paraId="419EE146" w14:textId="77777777" w:rsidR="00923023" w:rsidRPr="00175E32" w:rsidRDefault="00923023" w:rsidP="00923023">
            <w:pPr>
              <w:pStyle w:val="230"/>
              <w:keepNext/>
              <w:keepLines/>
              <w:spacing w:after="0" w:line="276" w:lineRule="auto"/>
              <w:ind w:left="0" w:firstLine="0"/>
              <w:jc w:val="center"/>
              <w:rPr>
                <w:szCs w:val="24"/>
              </w:rPr>
            </w:pPr>
            <w:r w:rsidRPr="00175E32">
              <w:rPr>
                <w:szCs w:val="24"/>
              </w:rPr>
              <w:t>Показатели</w:t>
            </w:r>
          </w:p>
        </w:tc>
        <w:tc>
          <w:tcPr>
            <w:tcW w:w="1432" w:type="dxa"/>
            <w:vMerge w:val="restart"/>
            <w:tcBorders>
              <w:top w:val="single" w:sz="4" w:space="0" w:color="000000"/>
              <w:left w:val="single" w:sz="4" w:space="0" w:color="000000"/>
              <w:bottom w:val="single" w:sz="4" w:space="0" w:color="000000"/>
              <w:right w:val="nil"/>
            </w:tcBorders>
            <w:vAlign w:val="center"/>
          </w:tcPr>
          <w:p w14:paraId="07350403" w14:textId="77777777" w:rsidR="00923023" w:rsidRPr="00175E32" w:rsidRDefault="00923023" w:rsidP="00923023">
            <w:pPr>
              <w:pStyle w:val="230"/>
              <w:keepNext/>
              <w:keepLines/>
              <w:spacing w:after="0" w:line="276" w:lineRule="auto"/>
              <w:ind w:left="0" w:firstLine="0"/>
              <w:jc w:val="center"/>
              <w:rPr>
                <w:szCs w:val="24"/>
              </w:rPr>
            </w:pPr>
            <w:r w:rsidRPr="00175E32">
              <w:rPr>
                <w:szCs w:val="24"/>
              </w:rPr>
              <w:t>Ед. изм.</w:t>
            </w:r>
          </w:p>
        </w:tc>
        <w:tc>
          <w:tcPr>
            <w:tcW w:w="3039" w:type="dxa"/>
            <w:gridSpan w:val="2"/>
            <w:tcBorders>
              <w:top w:val="single" w:sz="4" w:space="0" w:color="000000"/>
              <w:left w:val="single" w:sz="4" w:space="0" w:color="000000"/>
              <w:bottom w:val="single" w:sz="4" w:space="0" w:color="000000"/>
              <w:right w:val="single" w:sz="4" w:space="0" w:color="000000"/>
            </w:tcBorders>
          </w:tcPr>
          <w:p w14:paraId="17E7A8CE" w14:textId="77777777" w:rsidR="00923023" w:rsidRPr="00175E32" w:rsidRDefault="00923023" w:rsidP="00923023">
            <w:pPr>
              <w:spacing w:line="276" w:lineRule="auto"/>
              <w:ind w:firstLine="0"/>
              <w:jc w:val="center"/>
            </w:pPr>
            <w:r w:rsidRPr="00175E32">
              <w:t>Прогноз на 2020 год</w:t>
            </w:r>
          </w:p>
        </w:tc>
        <w:tc>
          <w:tcPr>
            <w:tcW w:w="1409" w:type="dxa"/>
            <w:vMerge w:val="restart"/>
            <w:tcBorders>
              <w:top w:val="single" w:sz="4" w:space="0" w:color="000000"/>
              <w:left w:val="single" w:sz="4" w:space="0" w:color="000000"/>
              <w:bottom w:val="single" w:sz="4" w:space="0" w:color="000000"/>
              <w:right w:val="single" w:sz="4" w:space="0" w:color="000000"/>
            </w:tcBorders>
          </w:tcPr>
          <w:p w14:paraId="2D43A5C7" w14:textId="77777777" w:rsidR="00923023" w:rsidRPr="00175E32" w:rsidRDefault="00923023" w:rsidP="00923023">
            <w:pPr>
              <w:spacing w:line="276" w:lineRule="auto"/>
              <w:ind w:firstLine="0"/>
              <w:jc w:val="center"/>
            </w:pPr>
            <w:r w:rsidRPr="00175E32">
              <w:t>2020 год (оценка)</w:t>
            </w:r>
          </w:p>
        </w:tc>
      </w:tr>
      <w:tr w:rsidR="00923023" w:rsidRPr="00175E32" w14:paraId="4178DF34" w14:textId="77777777" w:rsidTr="00923023">
        <w:trPr>
          <w:cantSplit/>
          <w:trHeight w:val="287"/>
        </w:trPr>
        <w:tc>
          <w:tcPr>
            <w:tcW w:w="3455" w:type="dxa"/>
            <w:vMerge/>
            <w:tcBorders>
              <w:top w:val="single" w:sz="4" w:space="0" w:color="000000"/>
              <w:left w:val="single" w:sz="4" w:space="0" w:color="000000"/>
              <w:bottom w:val="single" w:sz="4" w:space="0" w:color="000000"/>
              <w:right w:val="nil"/>
            </w:tcBorders>
            <w:vAlign w:val="center"/>
          </w:tcPr>
          <w:p w14:paraId="629B0EF5" w14:textId="77777777" w:rsidR="00923023" w:rsidRPr="00175E32" w:rsidRDefault="00923023" w:rsidP="00923023">
            <w:pPr>
              <w:suppressAutoHyphens w:val="0"/>
              <w:spacing w:line="276" w:lineRule="auto"/>
              <w:ind w:firstLine="0"/>
              <w:jc w:val="center"/>
            </w:pPr>
          </w:p>
        </w:tc>
        <w:tc>
          <w:tcPr>
            <w:tcW w:w="1432" w:type="dxa"/>
            <w:vMerge/>
            <w:tcBorders>
              <w:top w:val="single" w:sz="4" w:space="0" w:color="000000"/>
              <w:left w:val="single" w:sz="4" w:space="0" w:color="000000"/>
              <w:bottom w:val="single" w:sz="4" w:space="0" w:color="000000"/>
              <w:right w:val="nil"/>
            </w:tcBorders>
            <w:vAlign w:val="center"/>
          </w:tcPr>
          <w:p w14:paraId="7199AE2F" w14:textId="77777777" w:rsidR="00923023" w:rsidRPr="00175E32" w:rsidRDefault="00923023" w:rsidP="00923023">
            <w:pPr>
              <w:suppressAutoHyphens w:val="0"/>
              <w:spacing w:line="276" w:lineRule="auto"/>
              <w:ind w:firstLine="0"/>
              <w:jc w:val="center"/>
            </w:pPr>
          </w:p>
        </w:tc>
        <w:tc>
          <w:tcPr>
            <w:tcW w:w="1422" w:type="dxa"/>
            <w:tcBorders>
              <w:top w:val="single" w:sz="4" w:space="0" w:color="000000"/>
              <w:left w:val="single" w:sz="4" w:space="0" w:color="000000"/>
              <w:bottom w:val="single" w:sz="4" w:space="0" w:color="000000"/>
              <w:right w:val="nil"/>
            </w:tcBorders>
            <w:vAlign w:val="center"/>
          </w:tcPr>
          <w:p w14:paraId="2FBC3178" w14:textId="77777777" w:rsidR="00923023" w:rsidRPr="00175E32" w:rsidRDefault="00923023" w:rsidP="00923023">
            <w:pPr>
              <w:keepNext/>
              <w:keepLines/>
              <w:spacing w:line="276" w:lineRule="auto"/>
              <w:ind w:firstLine="0"/>
              <w:jc w:val="center"/>
            </w:pPr>
            <w:r w:rsidRPr="00175E32">
              <w:t>1 вариант</w:t>
            </w:r>
          </w:p>
        </w:tc>
        <w:tc>
          <w:tcPr>
            <w:tcW w:w="1617" w:type="dxa"/>
            <w:tcBorders>
              <w:top w:val="single" w:sz="4" w:space="0" w:color="000000"/>
              <w:left w:val="single" w:sz="4" w:space="0" w:color="000000"/>
              <w:bottom w:val="single" w:sz="4" w:space="0" w:color="000000"/>
              <w:right w:val="nil"/>
            </w:tcBorders>
            <w:vAlign w:val="center"/>
          </w:tcPr>
          <w:p w14:paraId="61C28DC0" w14:textId="77777777" w:rsidR="00923023" w:rsidRPr="00175E32" w:rsidRDefault="00923023" w:rsidP="00923023">
            <w:pPr>
              <w:keepNext/>
              <w:keepLines/>
              <w:spacing w:line="276" w:lineRule="auto"/>
              <w:ind w:firstLine="0"/>
              <w:jc w:val="center"/>
            </w:pPr>
            <w:r w:rsidRPr="00175E32">
              <w:t>2 вариант</w:t>
            </w:r>
          </w:p>
        </w:tc>
        <w:tc>
          <w:tcPr>
            <w:tcW w:w="1409" w:type="dxa"/>
            <w:vMerge/>
            <w:tcBorders>
              <w:top w:val="single" w:sz="4" w:space="0" w:color="000000"/>
              <w:left w:val="single" w:sz="4" w:space="0" w:color="000000"/>
              <w:bottom w:val="single" w:sz="4" w:space="0" w:color="000000"/>
              <w:right w:val="single" w:sz="4" w:space="0" w:color="000000"/>
            </w:tcBorders>
            <w:vAlign w:val="center"/>
          </w:tcPr>
          <w:p w14:paraId="7FC4F1B0" w14:textId="77777777" w:rsidR="00923023" w:rsidRPr="00175E32" w:rsidRDefault="00923023" w:rsidP="00923023">
            <w:pPr>
              <w:suppressAutoHyphens w:val="0"/>
              <w:spacing w:line="276" w:lineRule="auto"/>
              <w:ind w:firstLine="0"/>
              <w:jc w:val="center"/>
            </w:pPr>
          </w:p>
        </w:tc>
      </w:tr>
      <w:tr w:rsidR="00923023" w:rsidRPr="00175E32" w14:paraId="105616F1" w14:textId="77777777" w:rsidTr="00923023">
        <w:trPr>
          <w:trHeight w:val="405"/>
        </w:trPr>
        <w:tc>
          <w:tcPr>
            <w:tcW w:w="3455" w:type="dxa"/>
            <w:tcBorders>
              <w:top w:val="single" w:sz="4" w:space="0" w:color="000000"/>
              <w:left w:val="single" w:sz="4" w:space="0" w:color="000000"/>
              <w:bottom w:val="single" w:sz="4" w:space="0" w:color="000000"/>
              <w:right w:val="nil"/>
            </w:tcBorders>
            <w:vAlign w:val="center"/>
          </w:tcPr>
          <w:p w14:paraId="5517A7E1" w14:textId="77777777" w:rsidR="00923023" w:rsidRPr="00175E32" w:rsidRDefault="00923023" w:rsidP="00923023">
            <w:pPr>
              <w:pStyle w:val="230"/>
              <w:keepNext/>
              <w:keepLines/>
              <w:spacing w:after="0" w:line="240" w:lineRule="auto"/>
              <w:ind w:left="0" w:firstLine="0"/>
              <w:rPr>
                <w:szCs w:val="24"/>
              </w:rPr>
            </w:pPr>
            <w:r w:rsidRPr="00175E32">
              <w:rPr>
                <w:szCs w:val="24"/>
              </w:rPr>
              <w:t>Оборот розничной торговли</w:t>
            </w:r>
          </w:p>
        </w:tc>
        <w:tc>
          <w:tcPr>
            <w:tcW w:w="1432" w:type="dxa"/>
            <w:tcBorders>
              <w:top w:val="single" w:sz="4" w:space="0" w:color="000000"/>
              <w:left w:val="single" w:sz="4" w:space="0" w:color="000000"/>
              <w:bottom w:val="single" w:sz="4" w:space="0" w:color="000000"/>
              <w:right w:val="nil"/>
            </w:tcBorders>
            <w:vAlign w:val="center"/>
          </w:tcPr>
          <w:p w14:paraId="0790425A" w14:textId="77777777" w:rsidR="00923023" w:rsidRPr="00175E32" w:rsidRDefault="00923023" w:rsidP="00923023">
            <w:pPr>
              <w:pStyle w:val="230"/>
              <w:keepNext/>
              <w:keepLines/>
              <w:spacing w:after="0" w:line="240" w:lineRule="auto"/>
              <w:ind w:left="0" w:firstLine="0"/>
              <w:jc w:val="center"/>
              <w:rPr>
                <w:szCs w:val="24"/>
              </w:rPr>
            </w:pPr>
            <w:r w:rsidRPr="00175E32">
              <w:rPr>
                <w:szCs w:val="24"/>
              </w:rPr>
              <w:t>млн. рублей</w:t>
            </w:r>
          </w:p>
        </w:tc>
        <w:tc>
          <w:tcPr>
            <w:tcW w:w="1422" w:type="dxa"/>
            <w:tcBorders>
              <w:top w:val="single" w:sz="4" w:space="0" w:color="000000"/>
              <w:left w:val="single" w:sz="4" w:space="0" w:color="000000"/>
              <w:bottom w:val="single" w:sz="4" w:space="0" w:color="000000"/>
              <w:right w:val="nil"/>
            </w:tcBorders>
            <w:vAlign w:val="center"/>
          </w:tcPr>
          <w:p w14:paraId="444E217B" w14:textId="77777777" w:rsidR="00923023" w:rsidRPr="00175E32" w:rsidRDefault="00923023" w:rsidP="00923023">
            <w:pPr>
              <w:pStyle w:val="230"/>
              <w:keepNext/>
              <w:keepLines/>
              <w:spacing w:after="0" w:line="240" w:lineRule="auto"/>
              <w:ind w:left="0" w:firstLine="0"/>
              <w:jc w:val="center"/>
              <w:rPr>
                <w:szCs w:val="24"/>
              </w:rPr>
            </w:pPr>
            <w:r w:rsidRPr="00175E32">
              <w:rPr>
                <w:szCs w:val="24"/>
              </w:rPr>
              <w:t>190 266,6</w:t>
            </w:r>
          </w:p>
        </w:tc>
        <w:tc>
          <w:tcPr>
            <w:tcW w:w="1617" w:type="dxa"/>
            <w:tcBorders>
              <w:top w:val="single" w:sz="4" w:space="0" w:color="000000"/>
              <w:left w:val="single" w:sz="4" w:space="0" w:color="000000"/>
              <w:bottom w:val="single" w:sz="4" w:space="0" w:color="000000"/>
              <w:right w:val="nil"/>
            </w:tcBorders>
            <w:vAlign w:val="center"/>
          </w:tcPr>
          <w:p w14:paraId="04673AA9" w14:textId="77777777" w:rsidR="00923023" w:rsidRPr="00175E32" w:rsidRDefault="00923023" w:rsidP="00923023">
            <w:pPr>
              <w:pStyle w:val="230"/>
              <w:keepNext/>
              <w:keepLines/>
              <w:spacing w:after="0" w:line="240" w:lineRule="auto"/>
              <w:ind w:left="0" w:firstLine="0"/>
              <w:jc w:val="center"/>
              <w:rPr>
                <w:szCs w:val="24"/>
              </w:rPr>
            </w:pPr>
            <w:r w:rsidRPr="00175E32">
              <w:rPr>
                <w:szCs w:val="24"/>
              </w:rPr>
              <w:t>196 833,6</w:t>
            </w:r>
          </w:p>
        </w:tc>
        <w:tc>
          <w:tcPr>
            <w:tcW w:w="1409" w:type="dxa"/>
            <w:tcBorders>
              <w:top w:val="single" w:sz="4" w:space="0" w:color="000000"/>
              <w:left w:val="single" w:sz="4" w:space="0" w:color="000000"/>
              <w:bottom w:val="single" w:sz="4" w:space="0" w:color="000000"/>
              <w:right w:val="single" w:sz="4" w:space="0" w:color="000000"/>
            </w:tcBorders>
            <w:vAlign w:val="center"/>
          </w:tcPr>
          <w:p w14:paraId="07422A1C" w14:textId="77777777" w:rsidR="00923023" w:rsidRPr="00175E32" w:rsidRDefault="00923023" w:rsidP="00923023">
            <w:pPr>
              <w:pStyle w:val="230"/>
              <w:keepNext/>
              <w:keepLines/>
              <w:spacing w:after="0" w:line="240" w:lineRule="auto"/>
              <w:ind w:left="0" w:firstLine="0"/>
              <w:jc w:val="center"/>
              <w:rPr>
                <w:szCs w:val="24"/>
              </w:rPr>
            </w:pPr>
            <w:r w:rsidRPr="00175E32">
              <w:rPr>
                <w:szCs w:val="24"/>
              </w:rPr>
              <w:t>179 021,3</w:t>
            </w:r>
          </w:p>
        </w:tc>
      </w:tr>
      <w:tr w:rsidR="00923023" w:rsidRPr="00175E32" w14:paraId="6E9E6503" w14:textId="77777777" w:rsidTr="00923023">
        <w:trPr>
          <w:trHeight w:val="405"/>
        </w:trPr>
        <w:tc>
          <w:tcPr>
            <w:tcW w:w="3455" w:type="dxa"/>
            <w:tcBorders>
              <w:top w:val="single" w:sz="4" w:space="0" w:color="000000"/>
              <w:left w:val="single" w:sz="4" w:space="0" w:color="000000"/>
              <w:bottom w:val="single" w:sz="4" w:space="0" w:color="000000"/>
              <w:right w:val="nil"/>
            </w:tcBorders>
            <w:vAlign w:val="center"/>
          </w:tcPr>
          <w:p w14:paraId="51BAD9D1" w14:textId="77777777" w:rsidR="00923023" w:rsidRPr="00175E32" w:rsidRDefault="00923023" w:rsidP="00923023">
            <w:pPr>
              <w:pStyle w:val="230"/>
              <w:keepNext/>
              <w:keepLines/>
              <w:spacing w:after="0" w:line="240" w:lineRule="auto"/>
              <w:ind w:left="0" w:firstLine="0"/>
              <w:rPr>
                <w:szCs w:val="24"/>
              </w:rPr>
            </w:pPr>
            <w:r w:rsidRPr="00175E32">
              <w:rPr>
                <w:szCs w:val="24"/>
              </w:rPr>
              <w:t>Индекс физического объема оборота розничной торговли</w:t>
            </w:r>
          </w:p>
        </w:tc>
        <w:tc>
          <w:tcPr>
            <w:tcW w:w="1432" w:type="dxa"/>
            <w:tcBorders>
              <w:top w:val="single" w:sz="4" w:space="0" w:color="000000"/>
              <w:left w:val="single" w:sz="4" w:space="0" w:color="000000"/>
              <w:bottom w:val="single" w:sz="4" w:space="0" w:color="000000"/>
              <w:right w:val="nil"/>
            </w:tcBorders>
            <w:vAlign w:val="center"/>
          </w:tcPr>
          <w:p w14:paraId="0842FE98" w14:textId="77777777" w:rsidR="00923023" w:rsidRPr="00175E32" w:rsidRDefault="00923023" w:rsidP="00923023">
            <w:pPr>
              <w:pStyle w:val="230"/>
              <w:keepNext/>
              <w:keepLines/>
              <w:spacing w:after="0" w:line="240" w:lineRule="auto"/>
              <w:ind w:left="0" w:firstLine="0"/>
              <w:jc w:val="center"/>
              <w:rPr>
                <w:szCs w:val="24"/>
              </w:rPr>
            </w:pPr>
            <w:r w:rsidRPr="00175E32">
              <w:rPr>
                <w:szCs w:val="24"/>
              </w:rPr>
              <w:t>%</w:t>
            </w:r>
          </w:p>
        </w:tc>
        <w:tc>
          <w:tcPr>
            <w:tcW w:w="1422" w:type="dxa"/>
            <w:tcBorders>
              <w:top w:val="single" w:sz="4" w:space="0" w:color="000000"/>
              <w:left w:val="single" w:sz="4" w:space="0" w:color="000000"/>
              <w:bottom w:val="single" w:sz="4" w:space="0" w:color="000000"/>
              <w:right w:val="nil"/>
            </w:tcBorders>
            <w:vAlign w:val="center"/>
          </w:tcPr>
          <w:p w14:paraId="0D2DD4A1" w14:textId="77777777" w:rsidR="00923023" w:rsidRPr="00175E32" w:rsidRDefault="00923023" w:rsidP="00923023">
            <w:pPr>
              <w:pStyle w:val="230"/>
              <w:keepNext/>
              <w:keepLines/>
              <w:spacing w:after="0" w:line="240" w:lineRule="auto"/>
              <w:ind w:left="0" w:firstLine="0"/>
              <w:jc w:val="center"/>
              <w:rPr>
                <w:szCs w:val="24"/>
              </w:rPr>
            </w:pPr>
            <w:r w:rsidRPr="00175E32">
              <w:rPr>
                <w:szCs w:val="24"/>
              </w:rPr>
              <w:t>98,4</w:t>
            </w:r>
          </w:p>
        </w:tc>
        <w:tc>
          <w:tcPr>
            <w:tcW w:w="1617" w:type="dxa"/>
            <w:tcBorders>
              <w:top w:val="single" w:sz="4" w:space="0" w:color="000000"/>
              <w:left w:val="single" w:sz="4" w:space="0" w:color="000000"/>
              <w:bottom w:val="single" w:sz="4" w:space="0" w:color="000000"/>
              <w:right w:val="nil"/>
            </w:tcBorders>
            <w:vAlign w:val="center"/>
          </w:tcPr>
          <w:p w14:paraId="3242DBF0" w14:textId="77777777" w:rsidR="00923023" w:rsidRPr="00175E32" w:rsidRDefault="00923023" w:rsidP="00923023">
            <w:pPr>
              <w:pStyle w:val="230"/>
              <w:keepNext/>
              <w:keepLines/>
              <w:spacing w:after="0" w:line="240" w:lineRule="auto"/>
              <w:ind w:left="0" w:firstLine="0"/>
              <w:jc w:val="center"/>
              <w:rPr>
                <w:szCs w:val="24"/>
              </w:rPr>
            </w:pPr>
            <w:r w:rsidRPr="00175E32">
              <w:rPr>
                <w:szCs w:val="24"/>
              </w:rPr>
              <w:t>102,0</w:t>
            </w:r>
          </w:p>
        </w:tc>
        <w:tc>
          <w:tcPr>
            <w:tcW w:w="1409" w:type="dxa"/>
            <w:tcBorders>
              <w:top w:val="single" w:sz="4" w:space="0" w:color="000000"/>
              <w:left w:val="single" w:sz="4" w:space="0" w:color="000000"/>
              <w:bottom w:val="single" w:sz="4" w:space="0" w:color="000000"/>
              <w:right w:val="single" w:sz="4" w:space="0" w:color="000000"/>
            </w:tcBorders>
            <w:vAlign w:val="center"/>
          </w:tcPr>
          <w:p w14:paraId="49FC498C" w14:textId="77777777" w:rsidR="00923023" w:rsidRPr="00175E32" w:rsidRDefault="00923023" w:rsidP="00923023">
            <w:pPr>
              <w:pStyle w:val="230"/>
              <w:keepNext/>
              <w:keepLines/>
              <w:spacing w:after="0" w:line="240" w:lineRule="auto"/>
              <w:ind w:left="0" w:firstLine="0"/>
              <w:jc w:val="center"/>
              <w:rPr>
                <w:szCs w:val="24"/>
              </w:rPr>
            </w:pPr>
            <w:r w:rsidRPr="00175E32">
              <w:rPr>
                <w:szCs w:val="24"/>
              </w:rPr>
              <w:t>93,6</w:t>
            </w:r>
          </w:p>
        </w:tc>
      </w:tr>
    </w:tbl>
    <w:p w14:paraId="4D96062C" w14:textId="77777777" w:rsidR="00C47F3A" w:rsidRDefault="00C47F3A" w:rsidP="00923023">
      <w:pPr>
        <w:widowControl w:val="0"/>
        <w:suppressAutoHyphens w:val="0"/>
        <w:autoSpaceDE w:val="0"/>
        <w:autoSpaceDN w:val="0"/>
        <w:adjustRightInd w:val="0"/>
        <w:spacing w:line="276" w:lineRule="auto"/>
        <w:rPr>
          <w:rFonts w:eastAsiaTheme="minorEastAsia"/>
          <w:szCs w:val="24"/>
          <w:lang w:eastAsia="ru-RU"/>
        </w:rPr>
      </w:pPr>
    </w:p>
    <w:p w14:paraId="0F7796FC" w14:textId="77777777" w:rsidR="00923023" w:rsidRPr="002754E7" w:rsidRDefault="00923023" w:rsidP="00923023">
      <w:pPr>
        <w:widowControl w:val="0"/>
        <w:suppressAutoHyphens w:val="0"/>
        <w:autoSpaceDE w:val="0"/>
        <w:autoSpaceDN w:val="0"/>
        <w:adjustRightInd w:val="0"/>
        <w:spacing w:line="276" w:lineRule="auto"/>
        <w:rPr>
          <w:rFonts w:eastAsiaTheme="minorEastAsia"/>
          <w:szCs w:val="24"/>
          <w:lang w:eastAsia="ru-RU"/>
        </w:rPr>
      </w:pPr>
      <w:r w:rsidRPr="00175E32">
        <w:rPr>
          <w:rFonts w:eastAsiaTheme="minorEastAsia"/>
          <w:szCs w:val="24"/>
          <w:lang w:eastAsia="ru-RU"/>
        </w:rPr>
        <w:t xml:space="preserve">С учетом влияния ограничительных мер, принятых в целях борьбы с распространением коронавирусной инфекции, снижения доходов населения и, как следствие, платежеспособного спроса, оборот розничной торговли в 2020 году </w:t>
      </w:r>
      <w:r w:rsidR="007E5AE6" w:rsidRPr="00175E32">
        <w:rPr>
          <w:rFonts w:eastAsiaTheme="minorEastAsia"/>
          <w:szCs w:val="24"/>
          <w:lang w:eastAsia="ru-RU"/>
        </w:rPr>
        <w:t>скорректирован в сторону снижения до</w:t>
      </w:r>
      <w:r w:rsidRPr="00175E32">
        <w:rPr>
          <w:rFonts w:eastAsiaTheme="minorEastAsia"/>
          <w:szCs w:val="24"/>
          <w:lang w:eastAsia="ru-RU"/>
        </w:rPr>
        <w:t xml:space="preserve"> 179,0 млрд. рублей с индексом физического объема к предыдущему году 93,6%.</w:t>
      </w:r>
    </w:p>
    <w:p w14:paraId="79E80295" w14:textId="77777777" w:rsidR="00923023" w:rsidRPr="00175E32" w:rsidRDefault="00923023" w:rsidP="00923023">
      <w:pPr>
        <w:widowControl w:val="0"/>
        <w:suppressAutoHyphens w:val="0"/>
        <w:autoSpaceDE w:val="0"/>
        <w:autoSpaceDN w:val="0"/>
        <w:adjustRightInd w:val="0"/>
        <w:spacing w:line="276" w:lineRule="auto"/>
        <w:rPr>
          <w:rFonts w:eastAsiaTheme="minorEastAsia"/>
          <w:szCs w:val="24"/>
          <w:lang w:eastAsia="ru-RU"/>
        </w:rPr>
      </w:pPr>
      <w:r w:rsidRPr="00175E32">
        <w:rPr>
          <w:rFonts w:eastAsiaTheme="minorEastAsia"/>
          <w:szCs w:val="24"/>
          <w:lang w:eastAsia="ru-RU"/>
        </w:rPr>
        <w:t>В целях развития потребительского рынка, поддержки местных товаропроизводителей, конкурентной среды, а также для снижения и стабилизации цен на товары и услуги в отчетном периоде реализовывались мероприятия:</w:t>
      </w:r>
    </w:p>
    <w:p w14:paraId="54B80171" w14:textId="77777777" w:rsidR="00923023" w:rsidRPr="00175E32" w:rsidRDefault="00923023" w:rsidP="00923023">
      <w:pPr>
        <w:widowControl w:val="0"/>
        <w:suppressAutoHyphens w:val="0"/>
        <w:autoSpaceDE w:val="0"/>
        <w:autoSpaceDN w:val="0"/>
        <w:adjustRightInd w:val="0"/>
        <w:spacing w:line="276" w:lineRule="auto"/>
        <w:rPr>
          <w:rFonts w:eastAsiaTheme="minorEastAsia"/>
          <w:szCs w:val="24"/>
          <w:lang w:eastAsia="ru-RU"/>
        </w:rPr>
      </w:pPr>
      <w:r w:rsidRPr="00175E32">
        <w:rPr>
          <w:rFonts w:eastAsiaTheme="minorEastAsia"/>
          <w:szCs w:val="24"/>
          <w:lang w:eastAsia="ru-RU"/>
        </w:rPr>
        <w:t>- мониторинг розничных цен на социально значимые продовольственные товары на предприятиях розничной торговли;</w:t>
      </w:r>
    </w:p>
    <w:p w14:paraId="321C3ADF" w14:textId="77777777" w:rsidR="00923023" w:rsidRPr="00175E32" w:rsidRDefault="00923023" w:rsidP="00923023">
      <w:pPr>
        <w:widowControl w:val="0"/>
        <w:suppressAutoHyphens w:val="0"/>
        <w:autoSpaceDE w:val="0"/>
        <w:autoSpaceDN w:val="0"/>
        <w:adjustRightInd w:val="0"/>
        <w:spacing w:line="276" w:lineRule="auto"/>
        <w:rPr>
          <w:rFonts w:eastAsiaTheme="minorEastAsia"/>
          <w:szCs w:val="24"/>
          <w:lang w:eastAsia="ru-RU"/>
        </w:rPr>
      </w:pPr>
      <w:r w:rsidRPr="00175E32">
        <w:rPr>
          <w:rFonts w:eastAsiaTheme="minorEastAsia"/>
          <w:szCs w:val="24"/>
          <w:lang w:eastAsia="ru-RU"/>
        </w:rPr>
        <w:t xml:space="preserve">- мониторинг розничных цен на продовольственные товары и сельскохозяйственную </w:t>
      </w:r>
      <w:r w:rsidR="00FF61B0">
        <w:rPr>
          <w:rFonts w:eastAsiaTheme="minorEastAsia"/>
          <w:szCs w:val="24"/>
          <w:lang w:eastAsia="ru-RU"/>
        </w:rPr>
        <w:t>продукцию на рынках и ярмарках.</w:t>
      </w:r>
    </w:p>
    <w:p w14:paraId="000B494B" w14:textId="77777777" w:rsidR="00923023" w:rsidRPr="00175E32" w:rsidRDefault="00923023" w:rsidP="00923023">
      <w:pPr>
        <w:widowControl w:val="0"/>
        <w:suppressAutoHyphens w:val="0"/>
        <w:autoSpaceDE w:val="0"/>
        <w:autoSpaceDN w:val="0"/>
        <w:adjustRightInd w:val="0"/>
        <w:spacing w:line="276" w:lineRule="auto"/>
        <w:rPr>
          <w:rFonts w:eastAsiaTheme="minorEastAsia"/>
          <w:szCs w:val="24"/>
          <w:lang w:eastAsia="ru-RU"/>
        </w:rPr>
      </w:pPr>
      <w:r w:rsidRPr="00175E32">
        <w:rPr>
          <w:rFonts w:eastAsiaTheme="minorEastAsia"/>
          <w:szCs w:val="24"/>
          <w:lang w:eastAsia="ru-RU"/>
        </w:rPr>
        <w:t xml:space="preserve">- мониторинг розничных цен по бензину и дизельному топливу на </w:t>
      </w:r>
      <w:r w:rsidR="00FF61B0">
        <w:rPr>
          <w:rFonts w:eastAsiaTheme="minorEastAsia"/>
          <w:szCs w:val="24"/>
          <w:lang w:eastAsia="ru-RU"/>
        </w:rPr>
        <w:t xml:space="preserve">АЗС городского </w:t>
      </w:r>
      <w:r w:rsidR="00FF61B0">
        <w:rPr>
          <w:rFonts w:eastAsiaTheme="minorEastAsia"/>
          <w:szCs w:val="24"/>
          <w:lang w:eastAsia="ru-RU"/>
        </w:rPr>
        <w:lastRenderedPageBreak/>
        <w:t>округа Тольятти.</w:t>
      </w:r>
    </w:p>
    <w:p w14:paraId="4C077246" w14:textId="77777777" w:rsidR="00923023" w:rsidRPr="00175E32" w:rsidRDefault="00923023" w:rsidP="00923023">
      <w:pPr>
        <w:widowControl w:val="0"/>
        <w:suppressAutoHyphens w:val="0"/>
        <w:autoSpaceDE w:val="0"/>
        <w:autoSpaceDN w:val="0"/>
        <w:adjustRightInd w:val="0"/>
        <w:spacing w:line="276" w:lineRule="auto"/>
        <w:rPr>
          <w:rFonts w:eastAsiaTheme="minorEastAsia"/>
          <w:szCs w:val="24"/>
          <w:lang w:eastAsia="ru-RU"/>
        </w:rPr>
      </w:pPr>
      <w:r w:rsidRPr="00175E32">
        <w:rPr>
          <w:rFonts w:eastAsiaTheme="minorEastAsia"/>
          <w:szCs w:val="24"/>
          <w:lang w:eastAsia="ru-RU"/>
        </w:rPr>
        <w:t xml:space="preserve">Анализ динамики цен показывает, что резких скачков в сторону увеличения цен на социально значимые продовольственные товары в городском округе </w:t>
      </w:r>
      <w:r w:rsidR="007D5F6C">
        <w:rPr>
          <w:rFonts w:eastAsiaTheme="minorEastAsia"/>
          <w:szCs w:val="24"/>
          <w:lang w:eastAsia="ru-RU"/>
        </w:rPr>
        <w:t xml:space="preserve">Тольятти </w:t>
      </w:r>
      <w:r w:rsidRPr="00175E32">
        <w:rPr>
          <w:rFonts w:eastAsiaTheme="minorEastAsia"/>
          <w:szCs w:val="24"/>
          <w:lang w:eastAsia="ru-RU"/>
        </w:rPr>
        <w:t>не наблюдается.</w:t>
      </w:r>
    </w:p>
    <w:p w14:paraId="54B7D1D4" w14:textId="77777777" w:rsidR="00923023" w:rsidRPr="00175E32" w:rsidRDefault="00923023" w:rsidP="00923023">
      <w:pPr>
        <w:widowControl w:val="0"/>
        <w:suppressAutoHyphens w:val="0"/>
        <w:autoSpaceDE w:val="0"/>
        <w:autoSpaceDN w:val="0"/>
        <w:adjustRightInd w:val="0"/>
        <w:spacing w:line="276" w:lineRule="auto"/>
        <w:rPr>
          <w:rFonts w:eastAsiaTheme="minorEastAsia"/>
          <w:szCs w:val="24"/>
          <w:lang w:eastAsia="ru-RU"/>
        </w:rPr>
      </w:pPr>
      <w:r w:rsidRPr="00175E32">
        <w:rPr>
          <w:rFonts w:eastAsiaTheme="minorEastAsia"/>
          <w:szCs w:val="24"/>
          <w:lang w:eastAsia="ru-RU"/>
        </w:rPr>
        <w:t>Данные мониторингов заносятся в систему мониторинга (шаблон) и ежемесячно передаются в департамент ценового и тарифного регулирования министерства экономического развития, инвестиций и торговли Самарской области посредством Регионального сегмента ЕИАС ФСТ России «ЕИАС мониторинг» (Единой Информационной Аналитической Системой Федеральной службы по тарифам России).</w:t>
      </w:r>
    </w:p>
    <w:p w14:paraId="2AF996CC" w14:textId="77777777" w:rsidR="004D3812" w:rsidRPr="00175E32" w:rsidRDefault="00506284" w:rsidP="00506284">
      <w:pPr>
        <w:pStyle w:val="3"/>
        <w:ind w:left="0"/>
        <w:rPr>
          <w:shd w:val="clear" w:color="auto" w:fill="FFFFFF"/>
        </w:rPr>
      </w:pPr>
      <w:r>
        <w:rPr>
          <w:shd w:val="clear" w:color="auto" w:fill="FFFFFF"/>
        </w:rPr>
        <w:t xml:space="preserve">                                                                                                                                                                        </w:t>
      </w:r>
      <w:r w:rsidR="004D3812" w:rsidRPr="00175E32">
        <w:rPr>
          <w:shd w:val="clear" w:color="auto" w:fill="FFFFFF"/>
        </w:rPr>
        <w:t>Охрана окружающей среды</w:t>
      </w:r>
      <w:bookmarkStart w:id="8" w:name="экология"/>
      <w:bookmarkEnd w:id="8"/>
    </w:p>
    <w:p w14:paraId="441ACF59" w14:textId="77777777" w:rsidR="004D3812" w:rsidRPr="00175E32" w:rsidRDefault="004D3812" w:rsidP="00443EE9">
      <w:pPr>
        <w:spacing w:line="276" w:lineRule="auto"/>
        <w:jc w:val="center"/>
        <w:rPr>
          <w:b/>
          <w:szCs w:val="24"/>
          <w:shd w:val="clear" w:color="auto" w:fill="FFFFFF"/>
        </w:rPr>
      </w:pPr>
    </w:p>
    <w:p w14:paraId="53916EDC" w14:textId="77777777" w:rsidR="002473F6" w:rsidRPr="00175E32" w:rsidRDefault="002473F6" w:rsidP="00251693">
      <w:pPr>
        <w:suppressAutoHyphens w:val="0"/>
        <w:spacing w:line="276" w:lineRule="auto"/>
        <w:rPr>
          <w:color w:val="000000"/>
          <w:szCs w:val="24"/>
          <w:lang w:eastAsia="ru-RU"/>
        </w:rPr>
      </w:pPr>
      <w:r w:rsidRPr="00175E32">
        <w:rPr>
          <w:color w:val="000000"/>
          <w:szCs w:val="24"/>
          <w:lang w:eastAsia="ru-RU"/>
        </w:rPr>
        <w:t>Состояние окружающей среды городского округа Тольятти, обусловленное наличием на его территории крупных промышленных и автотранспортных предприятий, создает необходимость проводить целенаправленную экологическую политику.</w:t>
      </w:r>
    </w:p>
    <w:p w14:paraId="0D56CC7C" w14:textId="77777777" w:rsidR="002473F6" w:rsidRPr="00175E32" w:rsidRDefault="002473F6" w:rsidP="00251693">
      <w:pPr>
        <w:suppressAutoHyphens w:val="0"/>
        <w:spacing w:line="276" w:lineRule="auto"/>
        <w:rPr>
          <w:color w:val="000000"/>
          <w:szCs w:val="24"/>
          <w:lang w:eastAsia="ru-RU"/>
        </w:rPr>
      </w:pPr>
      <w:r w:rsidRPr="00175E32">
        <w:rPr>
          <w:color w:val="000000"/>
          <w:szCs w:val="24"/>
          <w:lang w:eastAsia="ru-RU"/>
        </w:rPr>
        <w:t>Систематическое наблюдение за содержанием в атмосферном воздухе вредных веществ на территории городского округа Тольятти осуществляется Тольяттинской специализированной гидрометеорологической обсерваторией. Наблюдения за качеством атмосферного воздуха проводятся на 8 стационарных постах наблюдения (ПНЗ). На ПНЗ осуществляются наблюдения за содержанием в воздухе основных (пыль, диоксид азота, оксид азота, оксид углерода, диоксид серы) примесей и специфических (аммиак, формальдегид, фтористый водород, суммарные углеводороды, бензол, толуол, этилбензол и ксилол).</w:t>
      </w:r>
    </w:p>
    <w:p w14:paraId="55EF6D5D" w14:textId="77777777" w:rsidR="002473F6" w:rsidRPr="00175E32" w:rsidRDefault="002473F6" w:rsidP="00251693">
      <w:pPr>
        <w:suppressAutoHyphens w:val="0"/>
        <w:spacing w:line="276" w:lineRule="auto"/>
        <w:ind w:firstLine="708"/>
        <w:rPr>
          <w:color w:val="000000"/>
          <w:szCs w:val="24"/>
          <w:lang w:eastAsia="ru-RU"/>
        </w:rPr>
      </w:pPr>
      <w:r w:rsidRPr="00175E32">
        <w:rPr>
          <w:color w:val="000000"/>
          <w:szCs w:val="24"/>
          <w:lang w:eastAsia="ru-RU"/>
        </w:rPr>
        <w:t>Основными загрязняющими веществами</w:t>
      </w:r>
      <w:r w:rsidR="00FF61B0">
        <w:rPr>
          <w:color w:val="000000"/>
          <w:szCs w:val="24"/>
          <w:lang w:eastAsia="ru-RU"/>
        </w:rPr>
        <w:t xml:space="preserve"> воздушного бассейна </w:t>
      </w:r>
      <w:r w:rsidR="007D5F6C">
        <w:rPr>
          <w:szCs w:val="24"/>
        </w:rPr>
        <w:t>городского округа Тольятти</w:t>
      </w:r>
      <w:r w:rsidR="00FF61B0">
        <w:rPr>
          <w:color w:val="000000"/>
          <w:szCs w:val="24"/>
          <w:lang w:eastAsia="ru-RU"/>
        </w:rPr>
        <w:t xml:space="preserve"> в 1 </w:t>
      </w:r>
      <w:r w:rsidRPr="00175E32">
        <w:rPr>
          <w:color w:val="000000"/>
          <w:szCs w:val="24"/>
          <w:lang w:eastAsia="ru-RU"/>
        </w:rPr>
        <w:t>полугодии 2020 года являлись аммиак, формальдегид, фтористый водород. Содержание остальных примесей находилось в пределах нормы. Случаев высокого и экстремально высокого загрязнения атмосферного воздуха на территории городского округа Тольятти не зарегистрировано.</w:t>
      </w:r>
    </w:p>
    <w:p w14:paraId="5D436B17" w14:textId="77777777" w:rsidR="002473F6" w:rsidRPr="00175E32" w:rsidRDefault="002473F6" w:rsidP="00251693">
      <w:pPr>
        <w:suppressAutoHyphens w:val="0"/>
        <w:spacing w:line="276" w:lineRule="auto"/>
        <w:rPr>
          <w:color w:val="000000"/>
          <w:szCs w:val="24"/>
          <w:lang w:eastAsia="ru-RU"/>
        </w:rPr>
      </w:pPr>
      <w:r w:rsidRPr="00175E32">
        <w:rPr>
          <w:color w:val="000000"/>
          <w:szCs w:val="24"/>
          <w:lang w:eastAsia="ru-RU"/>
        </w:rPr>
        <w:t>Всего за 1 полугодие 2020 года отмечено 81 д</w:t>
      </w:r>
      <w:r w:rsidR="002754E7">
        <w:rPr>
          <w:color w:val="000000"/>
          <w:szCs w:val="24"/>
          <w:lang w:eastAsia="ru-RU"/>
        </w:rPr>
        <w:t>ень</w:t>
      </w:r>
      <w:r w:rsidRPr="00175E32">
        <w:rPr>
          <w:color w:val="000000"/>
          <w:szCs w:val="24"/>
          <w:lang w:eastAsia="ru-RU"/>
        </w:rPr>
        <w:t xml:space="preserve"> с НМУ.</w:t>
      </w:r>
    </w:p>
    <w:p w14:paraId="7E70372E" w14:textId="77777777" w:rsidR="002473F6" w:rsidRPr="00175E32" w:rsidRDefault="002473F6" w:rsidP="00251693">
      <w:pPr>
        <w:suppressAutoHyphens w:val="0"/>
        <w:autoSpaceDE w:val="0"/>
        <w:autoSpaceDN w:val="0"/>
        <w:adjustRightInd w:val="0"/>
        <w:spacing w:line="276" w:lineRule="auto"/>
        <w:ind w:firstLine="720"/>
        <w:rPr>
          <w:color w:val="000000"/>
          <w:szCs w:val="24"/>
          <w:lang w:eastAsia="ru-RU"/>
        </w:rPr>
      </w:pPr>
      <w:r w:rsidRPr="00175E32">
        <w:rPr>
          <w:color w:val="000000"/>
          <w:szCs w:val="24"/>
          <w:lang w:eastAsia="ru-RU"/>
        </w:rPr>
        <w:t>Во исполнение постановления Правительства Са</w:t>
      </w:r>
      <w:r w:rsidR="00FF61B0">
        <w:rPr>
          <w:color w:val="000000"/>
          <w:szCs w:val="24"/>
          <w:lang w:eastAsia="ru-RU"/>
        </w:rPr>
        <w:t>марской области от 24.11.2010 № </w:t>
      </w:r>
      <w:r w:rsidRPr="00175E32">
        <w:rPr>
          <w:color w:val="000000"/>
          <w:szCs w:val="24"/>
          <w:lang w:eastAsia="ru-RU"/>
        </w:rPr>
        <w:t xml:space="preserve">596 «Об организации работ по регулированию выбросов вредных (загрязняющих) веществ в атмосферный воздух в периоды неблагоприятных метеорологических условий на территории Самарской области» на официальном портале администрации </w:t>
      </w:r>
      <w:r w:rsidR="008D7A93" w:rsidRPr="00175E32">
        <w:rPr>
          <w:shd w:val="clear" w:color="auto" w:fill="FFFFFF"/>
        </w:rPr>
        <w:t xml:space="preserve">городского округа Тольятти </w:t>
      </w:r>
      <w:r w:rsidRPr="00175E32">
        <w:rPr>
          <w:color w:val="000000"/>
          <w:szCs w:val="24"/>
          <w:lang w:eastAsia="ru-RU"/>
        </w:rPr>
        <w:t>в разделе городского хозяйства осуществляется информирование населения о наступлении НМУ по данным Тольяттинской СГМО ФГБУ «Приволжское УГМС».</w:t>
      </w:r>
    </w:p>
    <w:p w14:paraId="3201DA25" w14:textId="77777777" w:rsidR="002473F6" w:rsidRPr="00175E32" w:rsidRDefault="002473F6" w:rsidP="00251693">
      <w:pPr>
        <w:suppressAutoHyphens w:val="0"/>
        <w:spacing w:line="276" w:lineRule="auto"/>
        <w:ind w:firstLine="720"/>
        <w:rPr>
          <w:color w:val="000000"/>
          <w:szCs w:val="24"/>
          <w:lang w:eastAsia="ru-RU"/>
        </w:rPr>
      </w:pPr>
      <w:r w:rsidRPr="00175E32">
        <w:rPr>
          <w:color w:val="000000"/>
          <w:szCs w:val="24"/>
          <w:lang w:eastAsia="ru-RU"/>
        </w:rPr>
        <w:t xml:space="preserve">В целях информирования населения о состоянии экологии в </w:t>
      </w:r>
      <w:r w:rsidR="007D5F6C">
        <w:rPr>
          <w:szCs w:val="24"/>
        </w:rPr>
        <w:t>городском округе Тольятти</w:t>
      </w:r>
      <w:r w:rsidRPr="00175E32">
        <w:rPr>
          <w:color w:val="000000"/>
          <w:szCs w:val="24"/>
          <w:lang w:eastAsia="ru-RU"/>
        </w:rPr>
        <w:t xml:space="preserve"> на официальном портале администрации городского округа Тольятти (eco.tgl.ru) размещен электронный «Экологический атлас городского округа Тольятти», один из слоев которого отражает (в цветовом и количественном выражении) уровень загрязнения атмосферного воздуха по 8-ми стационарным постам наблюдения. Данные по загрязнению воздуха размещаются в Экологическом атласе по мере поступления данных Тольяттинской СГМО и доступны для всех жителей </w:t>
      </w:r>
      <w:r w:rsidR="007D5F6C">
        <w:rPr>
          <w:szCs w:val="24"/>
        </w:rPr>
        <w:t>городского округа Тольятти</w:t>
      </w:r>
      <w:r w:rsidRPr="00175E32">
        <w:rPr>
          <w:color w:val="000000"/>
          <w:szCs w:val="24"/>
          <w:lang w:eastAsia="ru-RU"/>
        </w:rPr>
        <w:t>.</w:t>
      </w:r>
    </w:p>
    <w:p w14:paraId="0C1A8FCB" w14:textId="77777777" w:rsidR="002473F6" w:rsidRPr="00175E32" w:rsidRDefault="002473F6" w:rsidP="00251693">
      <w:pPr>
        <w:suppressAutoHyphens w:val="0"/>
        <w:spacing w:line="276" w:lineRule="auto"/>
        <w:ind w:firstLine="720"/>
        <w:rPr>
          <w:color w:val="000000"/>
          <w:szCs w:val="24"/>
          <w:lang w:eastAsia="ru-RU"/>
        </w:rPr>
      </w:pPr>
      <w:r w:rsidRPr="00175E32">
        <w:rPr>
          <w:color w:val="000000"/>
          <w:szCs w:val="24"/>
          <w:lang w:eastAsia="ru-RU"/>
        </w:rPr>
        <w:t>К основным экологическим проблемам городс</w:t>
      </w:r>
      <w:r w:rsidR="00FF61B0">
        <w:rPr>
          <w:color w:val="000000"/>
          <w:szCs w:val="24"/>
          <w:lang w:eastAsia="ru-RU"/>
        </w:rPr>
        <w:t>кого округа Тольятти относятся:</w:t>
      </w:r>
    </w:p>
    <w:p w14:paraId="720B03C2" w14:textId="77777777" w:rsidR="002473F6" w:rsidRPr="00175E32" w:rsidRDefault="002473F6" w:rsidP="00251693">
      <w:pPr>
        <w:suppressAutoHyphens w:val="0"/>
        <w:spacing w:line="276" w:lineRule="auto"/>
        <w:ind w:firstLine="720"/>
        <w:rPr>
          <w:color w:val="000000"/>
          <w:szCs w:val="24"/>
          <w:lang w:eastAsia="ru-RU"/>
        </w:rPr>
      </w:pPr>
      <w:r w:rsidRPr="00175E32">
        <w:rPr>
          <w:color w:val="000000"/>
          <w:szCs w:val="24"/>
          <w:lang w:eastAsia="ru-RU"/>
        </w:rPr>
        <w:lastRenderedPageBreak/>
        <w:t>Наличие отходов 1-4 классов опасности, а также радиационного загрязнения в районе цеха № 81 на территории промплощадки бывшег</w:t>
      </w:r>
      <w:r w:rsidR="00FF61B0">
        <w:rPr>
          <w:color w:val="000000"/>
          <w:szCs w:val="24"/>
          <w:lang w:eastAsia="ru-RU"/>
        </w:rPr>
        <w:t>о ОАО «Фосфор».</w:t>
      </w:r>
    </w:p>
    <w:p w14:paraId="2B9C1F57" w14:textId="77777777" w:rsidR="002473F6" w:rsidRPr="00175E32" w:rsidRDefault="002473F6" w:rsidP="00251693">
      <w:pPr>
        <w:suppressAutoHyphens w:val="0"/>
        <w:spacing w:line="276" w:lineRule="auto"/>
        <w:rPr>
          <w:szCs w:val="24"/>
          <w:lang w:eastAsia="ru-RU"/>
        </w:rPr>
      </w:pPr>
      <w:r w:rsidRPr="00175E32">
        <w:rPr>
          <w:szCs w:val="24"/>
          <w:lang w:eastAsia="ru-RU"/>
        </w:rPr>
        <w:t>28.01.2020</w:t>
      </w:r>
      <w:r w:rsidR="00923023" w:rsidRPr="00175E32">
        <w:rPr>
          <w:szCs w:val="24"/>
          <w:lang w:eastAsia="ru-RU"/>
        </w:rPr>
        <w:t xml:space="preserve"> </w:t>
      </w:r>
      <w:r w:rsidRPr="00175E32">
        <w:rPr>
          <w:szCs w:val="24"/>
          <w:lang w:eastAsia="ru-RU"/>
        </w:rPr>
        <w:t xml:space="preserve">администрацией </w:t>
      </w:r>
      <w:r w:rsidR="008D7A93" w:rsidRPr="00175E32">
        <w:rPr>
          <w:shd w:val="clear" w:color="auto" w:fill="FFFFFF"/>
        </w:rPr>
        <w:t xml:space="preserve">городского округа Тольятти </w:t>
      </w:r>
      <w:r w:rsidRPr="00175E32">
        <w:rPr>
          <w:szCs w:val="24"/>
          <w:lang w:eastAsia="ru-RU"/>
        </w:rPr>
        <w:t>заключен муниципальный контракт: «Разработка технико-экономического обоснования ликвидации очагов загрязнения желтым фосфором бывшего ОАО «Фосфор» (далее</w:t>
      </w:r>
      <w:r w:rsidR="00506284">
        <w:rPr>
          <w:szCs w:val="24"/>
          <w:lang w:eastAsia="ru-RU"/>
        </w:rPr>
        <w:t xml:space="preserve"> </w:t>
      </w:r>
      <w:r w:rsidR="001B16BB">
        <w:rPr>
          <w:szCs w:val="24"/>
        </w:rPr>
        <w:t>по разделу</w:t>
      </w:r>
      <w:r w:rsidR="001B16BB" w:rsidRPr="00175E32">
        <w:rPr>
          <w:szCs w:val="24"/>
          <w:lang w:eastAsia="ru-RU"/>
        </w:rPr>
        <w:t xml:space="preserve"> </w:t>
      </w:r>
      <w:r w:rsidRPr="00175E32">
        <w:rPr>
          <w:szCs w:val="24"/>
          <w:lang w:eastAsia="ru-RU"/>
        </w:rPr>
        <w:t>– ТЭО) с ФГБОУ ВО «Самарский государственный технический университет» (далее</w:t>
      </w:r>
      <w:r w:rsidR="00A60BBF" w:rsidRPr="00175E32">
        <w:rPr>
          <w:szCs w:val="24"/>
          <w:lang w:eastAsia="ru-RU"/>
        </w:rPr>
        <w:t xml:space="preserve"> по разделу </w:t>
      </w:r>
      <w:r w:rsidRPr="00175E32">
        <w:rPr>
          <w:szCs w:val="24"/>
          <w:lang w:eastAsia="ru-RU"/>
        </w:rPr>
        <w:t>-</w:t>
      </w:r>
      <w:r w:rsidR="00A60BBF" w:rsidRPr="00175E32">
        <w:rPr>
          <w:szCs w:val="24"/>
          <w:lang w:eastAsia="ru-RU"/>
        </w:rPr>
        <w:t xml:space="preserve"> </w:t>
      </w:r>
      <w:r w:rsidRPr="00175E32">
        <w:rPr>
          <w:szCs w:val="24"/>
          <w:lang w:eastAsia="ru-RU"/>
        </w:rPr>
        <w:t xml:space="preserve">Контракт) на сумму 16 776,6 тыс. </w:t>
      </w:r>
      <w:r w:rsidR="008D7A93" w:rsidRPr="00175E32">
        <w:rPr>
          <w:szCs w:val="24"/>
          <w:lang w:eastAsia="ru-RU"/>
        </w:rPr>
        <w:t>рублей</w:t>
      </w:r>
      <w:r w:rsidR="00506284">
        <w:rPr>
          <w:szCs w:val="24"/>
          <w:lang w:eastAsia="ru-RU"/>
        </w:rPr>
        <w:t>.</w:t>
      </w:r>
      <w:r w:rsidRPr="00175E32">
        <w:rPr>
          <w:szCs w:val="24"/>
          <w:lang w:eastAsia="ru-RU"/>
        </w:rPr>
        <w:t xml:space="preserve"> В соответствии с Контрактом </w:t>
      </w:r>
      <w:r w:rsidR="00B84BCA" w:rsidRPr="00175E32">
        <w:rPr>
          <w:szCs w:val="24"/>
          <w:lang w:eastAsia="ru-RU"/>
        </w:rPr>
        <w:t>срок разработки</w:t>
      </w:r>
      <w:r w:rsidRPr="00175E32">
        <w:rPr>
          <w:szCs w:val="24"/>
          <w:lang w:eastAsia="ru-RU"/>
        </w:rPr>
        <w:t xml:space="preserve"> ТЭО – 30.11.2020.</w:t>
      </w:r>
    </w:p>
    <w:p w14:paraId="1F6B1BCF" w14:textId="77777777" w:rsidR="002473F6" w:rsidRPr="00175E32" w:rsidRDefault="002473F6" w:rsidP="00251693">
      <w:pPr>
        <w:suppressAutoHyphens w:val="0"/>
        <w:autoSpaceDE w:val="0"/>
        <w:autoSpaceDN w:val="0"/>
        <w:spacing w:line="276" w:lineRule="auto"/>
        <w:rPr>
          <w:szCs w:val="24"/>
          <w:lang w:eastAsia="ru-RU"/>
        </w:rPr>
      </w:pPr>
      <w:r w:rsidRPr="00175E32">
        <w:rPr>
          <w:szCs w:val="24"/>
          <w:lang w:eastAsia="ru-RU"/>
        </w:rPr>
        <w:t xml:space="preserve">По </w:t>
      </w:r>
      <w:r w:rsidR="00B84BCA" w:rsidRPr="00175E32">
        <w:rPr>
          <w:szCs w:val="24"/>
          <w:lang w:eastAsia="ru-RU"/>
        </w:rPr>
        <w:t>результатам выполнения</w:t>
      </w:r>
      <w:r w:rsidRPr="00175E32">
        <w:rPr>
          <w:szCs w:val="24"/>
          <w:lang w:eastAsia="ru-RU"/>
        </w:rPr>
        <w:t xml:space="preserve"> </w:t>
      </w:r>
      <w:r w:rsidR="00B84BCA" w:rsidRPr="00175E32">
        <w:rPr>
          <w:szCs w:val="24"/>
          <w:lang w:eastAsia="ru-RU"/>
        </w:rPr>
        <w:t>ТЭО администрацией</w:t>
      </w:r>
      <w:r w:rsidRPr="00175E32">
        <w:rPr>
          <w:szCs w:val="24"/>
          <w:lang w:eastAsia="ru-RU"/>
        </w:rPr>
        <w:t xml:space="preserve"> </w:t>
      </w:r>
      <w:r w:rsidR="008D7A93" w:rsidRPr="00175E32">
        <w:rPr>
          <w:shd w:val="clear" w:color="auto" w:fill="FFFFFF"/>
        </w:rPr>
        <w:t xml:space="preserve">городского округа Тольятти </w:t>
      </w:r>
      <w:r w:rsidRPr="00175E32">
        <w:rPr>
          <w:szCs w:val="24"/>
          <w:lang w:eastAsia="ru-RU"/>
        </w:rPr>
        <w:t>будет подготовлен пакет документов с целью в</w:t>
      </w:r>
      <w:r w:rsidR="00FF61B0">
        <w:rPr>
          <w:szCs w:val="24"/>
          <w:lang w:eastAsia="ru-RU"/>
        </w:rPr>
        <w:t>ключения территории бывшего ОАО </w:t>
      </w:r>
      <w:r w:rsidRPr="00175E32">
        <w:rPr>
          <w:szCs w:val="24"/>
          <w:lang w:eastAsia="ru-RU"/>
        </w:rPr>
        <w:t>«Фосфор» в реестр объектов накопленного вреда окружающей среде.</w:t>
      </w:r>
    </w:p>
    <w:p w14:paraId="6B168773" w14:textId="77777777" w:rsidR="002473F6" w:rsidRPr="00175E32" w:rsidRDefault="002473F6" w:rsidP="00251693">
      <w:pPr>
        <w:suppressAutoHyphens w:val="0"/>
        <w:spacing w:line="276" w:lineRule="auto"/>
        <w:rPr>
          <w:color w:val="000000"/>
          <w:szCs w:val="24"/>
          <w:lang w:eastAsia="ru-RU"/>
        </w:rPr>
      </w:pPr>
      <w:r w:rsidRPr="00175E32">
        <w:rPr>
          <w:color w:val="000000"/>
          <w:szCs w:val="24"/>
          <w:lang w:eastAsia="ru-RU"/>
        </w:rPr>
        <w:t>Другая важная проблема - влияние на окружающую среду несанкционированных свалок отходов производства и потребления.</w:t>
      </w:r>
    </w:p>
    <w:p w14:paraId="5A5729E8" w14:textId="77777777" w:rsidR="002473F6" w:rsidRPr="00175E32" w:rsidRDefault="002473F6" w:rsidP="00251693">
      <w:pPr>
        <w:widowControl w:val="0"/>
        <w:suppressAutoHyphens w:val="0"/>
        <w:autoSpaceDE w:val="0"/>
        <w:autoSpaceDN w:val="0"/>
        <w:adjustRightInd w:val="0"/>
        <w:spacing w:line="276" w:lineRule="auto"/>
        <w:ind w:right="69"/>
        <w:rPr>
          <w:color w:val="000000"/>
          <w:szCs w:val="24"/>
          <w:lang w:eastAsia="ru-RU"/>
        </w:rPr>
      </w:pPr>
      <w:r w:rsidRPr="00175E32">
        <w:rPr>
          <w:color w:val="000000"/>
          <w:szCs w:val="24"/>
          <w:lang w:eastAsia="ru-RU"/>
        </w:rPr>
        <w:t>В настоящее время на территории городского</w:t>
      </w:r>
      <w:r w:rsidR="00FF61B0">
        <w:rPr>
          <w:color w:val="000000"/>
          <w:szCs w:val="24"/>
          <w:lang w:eastAsia="ru-RU"/>
        </w:rPr>
        <w:t xml:space="preserve"> округа Тольятти расположены 32 </w:t>
      </w:r>
      <w:r w:rsidRPr="00175E32">
        <w:rPr>
          <w:color w:val="000000"/>
          <w:szCs w:val="24"/>
          <w:lang w:eastAsia="ru-RU"/>
        </w:rPr>
        <w:t>несанкционированные свалки. Общая площадь, заня</w:t>
      </w:r>
      <w:r w:rsidR="00FF61B0">
        <w:rPr>
          <w:color w:val="000000"/>
          <w:szCs w:val="24"/>
          <w:lang w:eastAsia="ru-RU"/>
        </w:rPr>
        <w:t>тая отходами составляет – 62,46 </w:t>
      </w:r>
      <w:r w:rsidRPr="00175E32">
        <w:rPr>
          <w:color w:val="000000"/>
          <w:szCs w:val="24"/>
          <w:lang w:eastAsia="ru-RU"/>
        </w:rPr>
        <w:t xml:space="preserve">Га, из них: 31 свалка, объемом 67,7 тыс. </w:t>
      </w:r>
      <w:proofErr w:type="spellStart"/>
      <w:r w:rsidRPr="00175E32">
        <w:rPr>
          <w:color w:val="000000"/>
          <w:szCs w:val="24"/>
          <w:lang w:eastAsia="ru-RU"/>
        </w:rPr>
        <w:t>куб.м</w:t>
      </w:r>
      <w:proofErr w:type="spellEnd"/>
      <w:r w:rsidRPr="00175E32">
        <w:rPr>
          <w:color w:val="000000"/>
          <w:szCs w:val="24"/>
          <w:lang w:eastAsia="ru-RU"/>
        </w:rPr>
        <w:t xml:space="preserve"> (ориентировочно) подлежат ликвидации за счет бюджетных средств, на что необходимо около 94 801,0 </w:t>
      </w:r>
      <w:r w:rsidR="00B84BCA" w:rsidRPr="00175E32">
        <w:rPr>
          <w:color w:val="000000"/>
          <w:szCs w:val="24"/>
          <w:lang w:eastAsia="ru-RU"/>
        </w:rPr>
        <w:t>тыс. рублей</w:t>
      </w:r>
      <w:r w:rsidRPr="00175E32">
        <w:rPr>
          <w:color w:val="000000"/>
          <w:szCs w:val="24"/>
          <w:lang w:eastAsia="ru-RU"/>
        </w:rPr>
        <w:t xml:space="preserve"> (в ценах 2020 года).</w:t>
      </w:r>
    </w:p>
    <w:p w14:paraId="5CEF8F1B" w14:textId="77777777" w:rsidR="002473F6" w:rsidRPr="00175E32" w:rsidRDefault="002473F6" w:rsidP="00251693">
      <w:pPr>
        <w:widowControl w:val="0"/>
        <w:spacing w:line="276" w:lineRule="auto"/>
        <w:rPr>
          <w:szCs w:val="24"/>
          <w:lang w:eastAsia="ar-SA"/>
        </w:rPr>
      </w:pPr>
      <w:r w:rsidRPr="00175E32">
        <w:rPr>
          <w:color w:val="000000"/>
          <w:szCs w:val="24"/>
          <w:lang w:eastAsia="ru-RU"/>
        </w:rPr>
        <w:t xml:space="preserve">Наиболее крупные экологические мероприятия реализовываются промышленными предприятиями за счёт собственных средств. За 2019 год предприятия </w:t>
      </w:r>
      <w:proofErr w:type="gramStart"/>
      <w:r w:rsidRPr="00175E32">
        <w:rPr>
          <w:color w:val="000000"/>
          <w:szCs w:val="24"/>
          <w:lang w:eastAsia="ru-RU"/>
        </w:rPr>
        <w:t>освоили  1</w:t>
      </w:r>
      <w:proofErr w:type="gramEnd"/>
      <w:r w:rsidRPr="00175E32">
        <w:rPr>
          <w:color w:val="000000"/>
          <w:szCs w:val="24"/>
          <w:lang w:eastAsia="ru-RU"/>
        </w:rPr>
        <w:t> 882 160,5 тыс. рублей на мероприятия, направленные на охрану атмосферного воздуха, водоёмов и почвы, соблюдение природоохранного законодательства.</w:t>
      </w:r>
    </w:p>
    <w:p w14:paraId="6D51F93D" w14:textId="77777777" w:rsidR="002473F6" w:rsidRPr="00175E32" w:rsidRDefault="002473F6" w:rsidP="00251693">
      <w:pPr>
        <w:widowControl w:val="0"/>
        <w:spacing w:line="276" w:lineRule="auto"/>
        <w:rPr>
          <w:color w:val="000000"/>
          <w:szCs w:val="24"/>
          <w:lang w:eastAsia="ru-RU"/>
        </w:rPr>
      </w:pPr>
      <w:r w:rsidRPr="00175E32">
        <w:rPr>
          <w:color w:val="000000"/>
          <w:szCs w:val="24"/>
          <w:lang w:eastAsia="ru-RU"/>
        </w:rPr>
        <w:t xml:space="preserve">Для обеспечения благоприятной окружающей среды в городском округе </w:t>
      </w:r>
      <w:r w:rsidR="007D5F6C">
        <w:rPr>
          <w:color w:val="000000"/>
          <w:szCs w:val="24"/>
          <w:lang w:eastAsia="ru-RU"/>
        </w:rPr>
        <w:t xml:space="preserve">Тольятти </w:t>
      </w:r>
      <w:r w:rsidRPr="00175E32">
        <w:rPr>
          <w:color w:val="000000"/>
          <w:szCs w:val="24"/>
          <w:lang w:eastAsia="ru-RU"/>
        </w:rPr>
        <w:t>реализуется муниципальная программа «Охрана окружающей среды на территории городского округа Тольятти на 2017-2021 годы». В 2020 году запланировано п</w:t>
      </w:r>
      <w:r w:rsidR="00732F84" w:rsidRPr="00175E32">
        <w:rPr>
          <w:color w:val="000000"/>
          <w:szCs w:val="24"/>
          <w:lang w:eastAsia="ru-RU"/>
        </w:rPr>
        <w:t>роведение следующих мероприятий.</w:t>
      </w:r>
    </w:p>
    <w:p w14:paraId="7CD391B7" w14:textId="77777777" w:rsidR="002473F6" w:rsidRPr="00175E32" w:rsidRDefault="00732F84" w:rsidP="00251693">
      <w:pPr>
        <w:widowControl w:val="0"/>
        <w:suppressAutoHyphens w:val="0"/>
        <w:autoSpaceDE w:val="0"/>
        <w:autoSpaceDN w:val="0"/>
        <w:adjustRightInd w:val="0"/>
        <w:spacing w:line="276" w:lineRule="auto"/>
        <w:ind w:right="69"/>
        <w:rPr>
          <w:color w:val="000000"/>
          <w:szCs w:val="24"/>
          <w:lang w:eastAsia="ru-RU"/>
        </w:rPr>
      </w:pPr>
      <w:r w:rsidRPr="00175E32">
        <w:rPr>
          <w:color w:val="000000"/>
          <w:szCs w:val="24"/>
          <w:lang w:eastAsia="ru-RU"/>
        </w:rPr>
        <w:t>Л</w:t>
      </w:r>
      <w:r w:rsidR="002473F6" w:rsidRPr="00175E32">
        <w:rPr>
          <w:color w:val="000000"/>
          <w:szCs w:val="24"/>
          <w:lang w:eastAsia="ru-RU"/>
        </w:rPr>
        <w:t>иквидаци</w:t>
      </w:r>
      <w:r w:rsidRPr="00175E32">
        <w:rPr>
          <w:color w:val="000000"/>
          <w:szCs w:val="24"/>
          <w:lang w:eastAsia="ru-RU"/>
        </w:rPr>
        <w:t>я</w:t>
      </w:r>
      <w:r w:rsidR="002473F6" w:rsidRPr="00175E32">
        <w:rPr>
          <w:color w:val="000000"/>
          <w:szCs w:val="24"/>
          <w:lang w:eastAsia="ru-RU"/>
        </w:rPr>
        <w:t xml:space="preserve"> несанкционированных свалок.</w:t>
      </w:r>
      <w:r w:rsidRPr="00175E32">
        <w:rPr>
          <w:color w:val="000000"/>
          <w:szCs w:val="24"/>
          <w:lang w:eastAsia="ru-RU"/>
        </w:rPr>
        <w:t xml:space="preserve"> </w:t>
      </w:r>
      <w:r w:rsidR="002473F6" w:rsidRPr="00175E32">
        <w:rPr>
          <w:color w:val="000000"/>
          <w:szCs w:val="24"/>
          <w:lang w:eastAsia="ru-RU"/>
        </w:rPr>
        <w:t xml:space="preserve">В связи с тем, что бюджет городского округа Тольятти формируется с предельным дефицитом, администрацией городского округа Тольятти проводится работа по привлечению волонтеров, организаций и предприятий </w:t>
      </w:r>
      <w:r w:rsidR="007D5F6C">
        <w:rPr>
          <w:szCs w:val="24"/>
        </w:rPr>
        <w:t>городского округа Тольятти</w:t>
      </w:r>
      <w:r w:rsidR="002473F6" w:rsidRPr="00175E32">
        <w:rPr>
          <w:color w:val="000000"/>
          <w:szCs w:val="24"/>
          <w:lang w:eastAsia="ru-RU"/>
        </w:rPr>
        <w:t xml:space="preserve"> к реализации мероприятий по очистке территорий общего пользования от свалок.</w:t>
      </w:r>
    </w:p>
    <w:p w14:paraId="5B8A23B9" w14:textId="77777777" w:rsidR="002473F6" w:rsidRPr="00175E32" w:rsidRDefault="002473F6" w:rsidP="00251693">
      <w:pPr>
        <w:widowControl w:val="0"/>
        <w:spacing w:line="276" w:lineRule="auto"/>
        <w:rPr>
          <w:color w:val="000000"/>
          <w:szCs w:val="24"/>
          <w:lang w:eastAsia="ru-RU"/>
        </w:rPr>
      </w:pPr>
      <w:r w:rsidRPr="00175E32">
        <w:rPr>
          <w:color w:val="000000"/>
          <w:szCs w:val="24"/>
          <w:lang w:eastAsia="ru-RU"/>
        </w:rPr>
        <w:t xml:space="preserve">Так, в прошедшем </w:t>
      </w:r>
      <w:r w:rsidR="00B84BCA" w:rsidRPr="00175E32">
        <w:rPr>
          <w:color w:val="000000"/>
          <w:szCs w:val="24"/>
          <w:lang w:eastAsia="ru-RU"/>
        </w:rPr>
        <w:t>году в</w:t>
      </w:r>
      <w:r w:rsidRPr="00175E32">
        <w:rPr>
          <w:color w:val="000000"/>
          <w:szCs w:val="24"/>
          <w:lang w:eastAsia="ru-RU"/>
        </w:rPr>
        <w:t xml:space="preserve"> рамках оказания </w:t>
      </w:r>
      <w:r w:rsidR="00B84BCA" w:rsidRPr="00175E32">
        <w:rPr>
          <w:color w:val="000000"/>
          <w:szCs w:val="24"/>
          <w:lang w:eastAsia="ru-RU"/>
        </w:rPr>
        <w:t>содействия ликвидировано 9</w:t>
      </w:r>
      <w:r w:rsidRPr="00175E32">
        <w:rPr>
          <w:color w:val="000000"/>
          <w:szCs w:val="24"/>
          <w:lang w:eastAsia="ru-RU"/>
        </w:rPr>
        <w:t xml:space="preserve"> </w:t>
      </w:r>
      <w:r w:rsidR="00B84BCA" w:rsidRPr="00175E32">
        <w:rPr>
          <w:color w:val="000000"/>
          <w:szCs w:val="24"/>
          <w:lang w:eastAsia="ru-RU"/>
        </w:rPr>
        <w:t>свалок, 1</w:t>
      </w:r>
      <w:r w:rsidR="00FF61B0">
        <w:rPr>
          <w:color w:val="000000"/>
          <w:szCs w:val="24"/>
          <w:lang w:eastAsia="ru-RU"/>
        </w:rPr>
        <w:t> </w:t>
      </w:r>
      <w:r w:rsidRPr="00175E32">
        <w:rPr>
          <w:color w:val="000000"/>
          <w:szCs w:val="24"/>
          <w:lang w:eastAsia="ru-RU"/>
        </w:rPr>
        <w:t>территория убрана с помощью ручного подбора. Общий объем убранных и вывезенных на полигон отходов составил 3100 м3 (ориентировочно).</w:t>
      </w:r>
    </w:p>
    <w:p w14:paraId="5D894EFD" w14:textId="77777777" w:rsidR="002473F6" w:rsidRPr="00175E32" w:rsidRDefault="002473F6" w:rsidP="00251693">
      <w:pPr>
        <w:widowControl w:val="0"/>
        <w:spacing w:line="276" w:lineRule="auto"/>
        <w:rPr>
          <w:color w:val="000000"/>
          <w:szCs w:val="24"/>
          <w:lang w:eastAsia="ru-RU"/>
        </w:rPr>
      </w:pPr>
      <w:r w:rsidRPr="00175E32">
        <w:rPr>
          <w:color w:val="000000"/>
          <w:szCs w:val="24"/>
          <w:lang w:eastAsia="ru-RU"/>
        </w:rPr>
        <w:t>Ранее, в период с 2017-2018 гг. силами промпред</w:t>
      </w:r>
      <w:r w:rsidR="00FF61B0">
        <w:rPr>
          <w:color w:val="000000"/>
          <w:szCs w:val="24"/>
          <w:lang w:eastAsia="ru-RU"/>
        </w:rPr>
        <w:t xml:space="preserve">приятий </w:t>
      </w:r>
      <w:r w:rsidR="007D5F6C">
        <w:rPr>
          <w:szCs w:val="24"/>
        </w:rPr>
        <w:t>городского округа Тольятти</w:t>
      </w:r>
      <w:r w:rsidR="00FF61B0">
        <w:rPr>
          <w:color w:val="000000"/>
          <w:szCs w:val="24"/>
          <w:lang w:eastAsia="ru-RU"/>
        </w:rPr>
        <w:t xml:space="preserve"> ликвидировано 19 </w:t>
      </w:r>
      <w:r w:rsidRPr="00175E32">
        <w:rPr>
          <w:color w:val="000000"/>
          <w:szCs w:val="24"/>
          <w:lang w:eastAsia="ru-RU"/>
        </w:rPr>
        <w:t>свалок, общим объемом ориентировочно 7000 м3.</w:t>
      </w:r>
    </w:p>
    <w:p w14:paraId="77A8377E" w14:textId="77777777" w:rsidR="002473F6" w:rsidRPr="00175E32" w:rsidRDefault="002473F6" w:rsidP="00251693">
      <w:pPr>
        <w:widowControl w:val="0"/>
        <w:suppressAutoHyphens w:val="0"/>
        <w:autoSpaceDE w:val="0"/>
        <w:autoSpaceDN w:val="0"/>
        <w:adjustRightInd w:val="0"/>
        <w:spacing w:line="276" w:lineRule="auto"/>
        <w:ind w:right="69"/>
        <w:rPr>
          <w:bCs/>
          <w:color w:val="000000"/>
          <w:szCs w:val="24"/>
          <w:lang w:eastAsia="ru-RU"/>
        </w:rPr>
      </w:pPr>
      <w:r w:rsidRPr="00175E32">
        <w:rPr>
          <w:bCs/>
          <w:color w:val="000000"/>
          <w:szCs w:val="24"/>
          <w:lang w:eastAsia="ru-RU"/>
        </w:rPr>
        <w:t xml:space="preserve">В рамках реализации Федерального проекта «Чистая страна» Национального проекта «Экология» на территории городского округа Тольятти запланированы следующие мероприятия, направленные на разработку проектной, сметной </w:t>
      </w:r>
      <w:r w:rsidR="00B84BCA" w:rsidRPr="00175E32">
        <w:rPr>
          <w:bCs/>
          <w:color w:val="000000"/>
          <w:szCs w:val="24"/>
          <w:lang w:eastAsia="ru-RU"/>
        </w:rPr>
        <w:t>документации для</w:t>
      </w:r>
      <w:r w:rsidRPr="00175E32">
        <w:rPr>
          <w:bCs/>
          <w:color w:val="000000"/>
          <w:szCs w:val="24"/>
          <w:lang w:eastAsia="ru-RU"/>
        </w:rPr>
        <w:t xml:space="preserve"> последующей ликвидации и рекультивации массивов существующих объектов размещения отходов:</w:t>
      </w:r>
    </w:p>
    <w:p w14:paraId="0B65D915" w14:textId="77777777" w:rsidR="002473F6" w:rsidRPr="00175E32" w:rsidRDefault="002473F6" w:rsidP="00251693">
      <w:pPr>
        <w:suppressAutoHyphens w:val="0"/>
        <w:spacing w:line="276" w:lineRule="auto"/>
        <w:rPr>
          <w:color w:val="000000"/>
          <w:szCs w:val="24"/>
          <w:lang w:eastAsia="ru-RU"/>
        </w:rPr>
      </w:pPr>
      <w:r w:rsidRPr="00175E32">
        <w:rPr>
          <w:color w:val="000000"/>
          <w:szCs w:val="24"/>
          <w:lang w:eastAsia="ru-RU"/>
        </w:rPr>
        <w:t>- разработка проектной, сметной документации по рекультивации бывшей городской свалки промышленных и бытовых отходов Комсомольского района (южнее завода ОАО «</w:t>
      </w:r>
      <w:proofErr w:type="spellStart"/>
      <w:r w:rsidR="000C0074" w:rsidRPr="00175E32">
        <w:rPr>
          <w:color w:val="000000"/>
          <w:szCs w:val="24"/>
          <w:lang w:eastAsia="ru-RU"/>
        </w:rPr>
        <w:t>АвтоВАЗагрегат</w:t>
      </w:r>
      <w:proofErr w:type="spellEnd"/>
      <w:r w:rsidRPr="00175E32">
        <w:rPr>
          <w:color w:val="000000"/>
          <w:szCs w:val="24"/>
          <w:lang w:eastAsia="ru-RU"/>
        </w:rPr>
        <w:t>»);</w:t>
      </w:r>
    </w:p>
    <w:p w14:paraId="5D45BB4A" w14:textId="77777777" w:rsidR="002473F6" w:rsidRPr="00175E32" w:rsidRDefault="002473F6" w:rsidP="00251693">
      <w:pPr>
        <w:suppressAutoHyphens w:val="0"/>
        <w:spacing w:line="276" w:lineRule="auto"/>
        <w:rPr>
          <w:color w:val="000000"/>
          <w:szCs w:val="24"/>
          <w:lang w:eastAsia="ru-RU"/>
        </w:rPr>
      </w:pPr>
      <w:r w:rsidRPr="00175E32">
        <w:rPr>
          <w:color w:val="000000"/>
          <w:szCs w:val="24"/>
          <w:lang w:eastAsia="ru-RU"/>
        </w:rPr>
        <w:lastRenderedPageBreak/>
        <w:t>- разработка проектной, сметной документации по рекультивации вскрытой свалки инертных отходов, расположенной на</w:t>
      </w:r>
      <w:r w:rsidR="00732F84" w:rsidRPr="00175E32">
        <w:rPr>
          <w:color w:val="000000"/>
          <w:szCs w:val="24"/>
          <w:lang w:eastAsia="ru-RU"/>
        </w:rPr>
        <w:t>против 1-3 вставок АО «АВТОВАЗ».</w:t>
      </w:r>
    </w:p>
    <w:p w14:paraId="572EFCB8" w14:textId="77777777" w:rsidR="002473F6" w:rsidRPr="00175E32" w:rsidRDefault="002473F6" w:rsidP="00251693">
      <w:pPr>
        <w:widowControl w:val="0"/>
        <w:spacing w:line="276" w:lineRule="auto"/>
        <w:rPr>
          <w:color w:val="000000"/>
          <w:szCs w:val="24"/>
          <w:lang w:eastAsia="ru-RU"/>
        </w:rPr>
      </w:pPr>
      <w:r w:rsidRPr="00175E32">
        <w:rPr>
          <w:color w:val="000000"/>
          <w:szCs w:val="24"/>
          <w:lang w:eastAsia="ru-RU"/>
        </w:rPr>
        <w:t>Заключены муниципальные</w:t>
      </w:r>
      <w:r w:rsidR="00FF61B0">
        <w:rPr>
          <w:color w:val="000000"/>
          <w:szCs w:val="24"/>
          <w:lang w:eastAsia="ru-RU"/>
        </w:rPr>
        <w:t xml:space="preserve"> контракты на проведение работ.</w:t>
      </w:r>
    </w:p>
    <w:p w14:paraId="40A1FBD4" w14:textId="77777777" w:rsidR="002473F6" w:rsidRPr="00175E32" w:rsidRDefault="002473F6" w:rsidP="00251693">
      <w:pPr>
        <w:widowControl w:val="0"/>
        <w:spacing w:line="276" w:lineRule="auto"/>
        <w:rPr>
          <w:rFonts w:eastAsia="Calibri"/>
          <w:szCs w:val="24"/>
          <w:lang w:eastAsia="en-US"/>
        </w:rPr>
      </w:pPr>
      <w:r w:rsidRPr="00175E32">
        <w:rPr>
          <w:color w:val="000000"/>
          <w:szCs w:val="24"/>
          <w:lang w:eastAsia="ru-RU"/>
        </w:rPr>
        <w:t xml:space="preserve">Также в 2020 году </w:t>
      </w:r>
      <w:r w:rsidR="009F0C1E" w:rsidRPr="00175E32">
        <w:rPr>
          <w:color w:val="000000"/>
          <w:szCs w:val="24"/>
          <w:lang w:eastAsia="ru-RU"/>
        </w:rPr>
        <w:t xml:space="preserve">запланированы мероприятия по ликвидации несанкционированных свалок </w:t>
      </w:r>
      <w:r w:rsidRPr="00175E32">
        <w:rPr>
          <w:color w:val="000000"/>
          <w:szCs w:val="24"/>
          <w:lang w:eastAsia="ru-RU"/>
        </w:rPr>
        <w:t>за счёт средств областного бюджета</w:t>
      </w:r>
      <w:r w:rsidRPr="00175E32">
        <w:rPr>
          <w:rFonts w:eastAsia="Calibri"/>
          <w:szCs w:val="24"/>
          <w:lang w:eastAsia="en-US"/>
        </w:rPr>
        <w:t>.</w:t>
      </w:r>
    </w:p>
    <w:p w14:paraId="2146DDD1" w14:textId="77777777" w:rsidR="002473F6" w:rsidRPr="00175E32" w:rsidRDefault="002473F6" w:rsidP="00251693">
      <w:pPr>
        <w:tabs>
          <w:tab w:val="left" w:pos="720"/>
        </w:tabs>
        <w:suppressAutoHyphens w:val="0"/>
        <w:spacing w:line="276" w:lineRule="auto"/>
        <w:ind w:firstLine="720"/>
        <w:rPr>
          <w:szCs w:val="24"/>
          <w:lang w:eastAsia="ru-RU"/>
        </w:rPr>
      </w:pPr>
      <w:r w:rsidRPr="00175E32">
        <w:rPr>
          <w:szCs w:val="24"/>
          <w:lang w:eastAsia="ru-RU"/>
        </w:rPr>
        <w:t xml:space="preserve">Общая площадь лесов, расположенных в черте городского округа Тольятти, составляет </w:t>
      </w:r>
      <w:smartTag w:uri="urn:schemas-microsoft-com:office:smarttags" w:element="metricconverter">
        <w:smartTagPr>
          <w:attr w:name="ProductID" w:val="7979 га"/>
        </w:smartTagPr>
        <w:r w:rsidRPr="00175E32">
          <w:rPr>
            <w:szCs w:val="24"/>
            <w:lang w:eastAsia="ru-RU"/>
          </w:rPr>
          <w:t>7979 га</w:t>
        </w:r>
      </w:smartTag>
      <w:r w:rsidRPr="00175E32">
        <w:rPr>
          <w:szCs w:val="24"/>
          <w:lang w:eastAsia="ru-RU"/>
        </w:rPr>
        <w:t xml:space="preserve"> (около 30 % от площади городского округа</w:t>
      </w:r>
      <w:r w:rsidR="00A60BBF" w:rsidRPr="00175E32">
        <w:rPr>
          <w:szCs w:val="24"/>
          <w:lang w:eastAsia="ru-RU"/>
        </w:rPr>
        <w:t xml:space="preserve"> Тольятти</w:t>
      </w:r>
      <w:r w:rsidRPr="00175E32">
        <w:rPr>
          <w:szCs w:val="24"/>
          <w:lang w:eastAsia="ru-RU"/>
        </w:rPr>
        <w:t>).</w:t>
      </w:r>
    </w:p>
    <w:p w14:paraId="36B860AF" w14:textId="77777777" w:rsidR="002473F6" w:rsidRPr="00175E32" w:rsidRDefault="002473F6" w:rsidP="00251693">
      <w:pPr>
        <w:tabs>
          <w:tab w:val="left" w:pos="7938"/>
        </w:tabs>
        <w:suppressAutoHyphens w:val="0"/>
        <w:spacing w:line="276" w:lineRule="auto"/>
        <w:ind w:firstLine="720"/>
        <w:rPr>
          <w:szCs w:val="24"/>
          <w:lang w:eastAsia="ru-RU"/>
        </w:rPr>
      </w:pPr>
      <w:r w:rsidRPr="00175E32">
        <w:rPr>
          <w:szCs w:val="24"/>
          <w:lang w:eastAsia="ru-RU"/>
        </w:rPr>
        <w:t xml:space="preserve">Постановлением администрации городского </w:t>
      </w:r>
      <w:r w:rsidR="00FF61B0">
        <w:rPr>
          <w:szCs w:val="24"/>
          <w:lang w:eastAsia="ru-RU"/>
        </w:rPr>
        <w:t>округа Тольятти от 10.07.2018 № </w:t>
      </w:r>
      <w:r w:rsidRPr="00175E32">
        <w:rPr>
          <w:szCs w:val="24"/>
          <w:lang w:eastAsia="ru-RU"/>
        </w:rPr>
        <w:t>2025-п/1 утверждена муниципальная программа «Охрана, защита и воспроизводство лесов, расположенных в границах городского округа Тольятти, на 2019-2023 годы» (</w:t>
      </w:r>
      <w:r w:rsidR="001B16BB" w:rsidRPr="00175E32">
        <w:rPr>
          <w:szCs w:val="24"/>
        </w:rPr>
        <w:t xml:space="preserve">далее </w:t>
      </w:r>
      <w:r w:rsidR="001B16BB">
        <w:rPr>
          <w:szCs w:val="24"/>
        </w:rPr>
        <w:t>по разделу</w:t>
      </w:r>
      <w:r w:rsidR="00506284">
        <w:rPr>
          <w:szCs w:val="24"/>
          <w:lang w:eastAsia="ru-RU"/>
        </w:rPr>
        <w:t xml:space="preserve"> </w:t>
      </w:r>
      <w:r w:rsidRPr="00175E32">
        <w:rPr>
          <w:szCs w:val="24"/>
          <w:lang w:eastAsia="ru-RU"/>
        </w:rPr>
        <w:t>– Программа).</w:t>
      </w:r>
    </w:p>
    <w:p w14:paraId="5A61F788" w14:textId="77777777" w:rsidR="002473F6" w:rsidRPr="00175E32" w:rsidRDefault="002473F6" w:rsidP="00251693">
      <w:pPr>
        <w:suppressAutoHyphens w:val="0"/>
        <w:spacing w:line="276" w:lineRule="auto"/>
        <w:ind w:firstLine="674"/>
        <w:rPr>
          <w:szCs w:val="24"/>
          <w:lang w:eastAsia="ru-RU"/>
        </w:rPr>
      </w:pPr>
      <w:r w:rsidRPr="00175E32">
        <w:rPr>
          <w:szCs w:val="24"/>
          <w:lang w:eastAsia="ru-RU"/>
        </w:rPr>
        <w:t>В рамках реализации Программы в 2020 году на территории Тольяттинского лесничества запланировано выполнение следующих мероприятий: Санитарное содержание городских лесов, ликвидация несанкционированных свалок с территорий лесных кварталов, устройство и содержание противопожарных минерализованных полос с расчисткой от внелесосечной захламленности, расчистка неликвидных лесных участков, пострадавших в результате засухи и последствий лесных пожаров, содержание противопожар</w:t>
      </w:r>
      <w:r w:rsidR="00FF61B0">
        <w:rPr>
          <w:szCs w:val="24"/>
          <w:lang w:eastAsia="ru-RU"/>
        </w:rPr>
        <w:t>ных железобетонных резервуаров.</w:t>
      </w:r>
    </w:p>
    <w:p w14:paraId="7B621410" w14:textId="77777777" w:rsidR="002473F6" w:rsidRPr="00175E32" w:rsidRDefault="002473F6" w:rsidP="00251693">
      <w:pPr>
        <w:suppressAutoHyphens w:val="0"/>
        <w:spacing w:line="276" w:lineRule="auto"/>
        <w:ind w:firstLine="674"/>
        <w:rPr>
          <w:szCs w:val="24"/>
          <w:lang w:eastAsia="ru-RU"/>
        </w:rPr>
      </w:pPr>
      <w:r w:rsidRPr="00175E32">
        <w:rPr>
          <w:szCs w:val="24"/>
          <w:lang w:eastAsia="ru-RU"/>
        </w:rPr>
        <w:t>Постановлением администрации городского окр</w:t>
      </w:r>
      <w:r w:rsidR="00FF61B0">
        <w:rPr>
          <w:szCs w:val="24"/>
          <w:lang w:eastAsia="ru-RU"/>
        </w:rPr>
        <w:t>уга Тольятти от 08.05.2019 № </w:t>
      </w:r>
      <w:r w:rsidRPr="00175E32">
        <w:rPr>
          <w:szCs w:val="24"/>
          <w:lang w:eastAsia="ru-RU"/>
        </w:rPr>
        <w:t>1272-п/1 создано муниципальное казенное учреждение городского округа Тольятти «Тольяттинское лесничество», утвержден Устав учреждения. Основной  целью деятельности учреждения является обеспечение устойчивого управления в области использования, охраны, защиты,  воспроизводства городских лесов, лесоразведения.</w:t>
      </w:r>
    </w:p>
    <w:p w14:paraId="7CA8AD15" w14:textId="77777777" w:rsidR="00A60BBF" w:rsidRPr="00175E32" w:rsidRDefault="00A60BBF" w:rsidP="00251693">
      <w:pPr>
        <w:tabs>
          <w:tab w:val="left" w:pos="720"/>
        </w:tabs>
        <w:suppressAutoHyphens w:val="0"/>
        <w:spacing w:line="276" w:lineRule="auto"/>
        <w:ind w:firstLine="720"/>
        <w:rPr>
          <w:szCs w:val="24"/>
          <w:lang w:eastAsia="ru-RU"/>
        </w:rPr>
      </w:pPr>
      <w:r w:rsidRPr="00175E32">
        <w:rPr>
          <w:szCs w:val="24"/>
          <w:lang w:eastAsia="ru-RU"/>
        </w:rPr>
        <w:t xml:space="preserve">В 2020 году объём вредных веществ, выбрасываемых в атмосферный воздух стационарными источниками загрязнения, по оценке, составит </w:t>
      </w:r>
      <w:r w:rsidR="008024D2" w:rsidRPr="00175E32">
        <w:rPr>
          <w:szCs w:val="24"/>
          <w:lang w:eastAsia="ru-RU"/>
        </w:rPr>
        <w:t>35,7</w:t>
      </w:r>
      <w:r w:rsidRPr="00175E32">
        <w:rPr>
          <w:szCs w:val="24"/>
          <w:lang w:eastAsia="ru-RU"/>
        </w:rPr>
        <w:t xml:space="preserve"> тыс. тонн, что на 5,6% ниже уровня 2019 года. Объём сброса загрязненных сточных вод в 2020 году в поверхностные водные объекты, по оценке, снизится на 0,2% и составит </w:t>
      </w:r>
      <w:r w:rsidR="008024D2" w:rsidRPr="00175E32">
        <w:rPr>
          <w:szCs w:val="24"/>
          <w:lang w:eastAsia="ru-RU"/>
        </w:rPr>
        <w:t>119,1</w:t>
      </w:r>
      <w:r w:rsidRPr="00175E32">
        <w:rPr>
          <w:szCs w:val="24"/>
          <w:lang w:eastAsia="ru-RU"/>
        </w:rPr>
        <w:t xml:space="preserve"> млн.м</w:t>
      </w:r>
      <w:r w:rsidRPr="00175E32">
        <w:rPr>
          <w:szCs w:val="24"/>
          <w:vertAlign w:val="superscript"/>
          <w:lang w:eastAsia="ru-RU"/>
        </w:rPr>
        <w:t>3</w:t>
      </w:r>
      <w:r w:rsidR="00FF61B0">
        <w:rPr>
          <w:szCs w:val="24"/>
          <w:lang w:eastAsia="ru-RU"/>
        </w:rPr>
        <w:t>.</w:t>
      </w:r>
    </w:p>
    <w:p w14:paraId="6E0507D2" w14:textId="77777777" w:rsidR="00C853E2" w:rsidRPr="00175E32" w:rsidRDefault="00532046" w:rsidP="00FF61B0">
      <w:pPr>
        <w:widowControl w:val="0"/>
        <w:spacing w:before="120" w:line="276" w:lineRule="auto"/>
        <w:ind w:firstLine="0"/>
        <w:jc w:val="center"/>
        <w:rPr>
          <w:rFonts w:eastAsia="Calibri"/>
          <w:szCs w:val="24"/>
        </w:rPr>
      </w:pPr>
      <w:r w:rsidRPr="00175E32">
        <w:rPr>
          <w:rFonts w:eastAsia="Calibri"/>
          <w:szCs w:val="24"/>
        </w:rPr>
        <w:t xml:space="preserve">Ожидаемое выполнение прогнозных показателей по </w:t>
      </w:r>
      <w:r w:rsidR="00C40086" w:rsidRPr="00175E32">
        <w:rPr>
          <w:rFonts w:eastAsia="Calibri"/>
          <w:szCs w:val="24"/>
        </w:rPr>
        <w:t>разделу</w:t>
      </w:r>
    </w:p>
    <w:p w14:paraId="5209F39B" w14:textId="77777777" w:rsidR="00532046" w:rsidRDefault="00C40086" w:rsidP="00FF61B0">
      <w:pPr>
        <w:widowControl w:val="0"/>
        <w:spacing w:after="120" w:line="276" w:lineRule="auto"/>
        <w:ind w:firstLine="0"/>
        <w:jc w:val="center"/>
        <w:rPr>
          <w:rFonts w:eastAsia="Calibri"/>
          <w:szCs w:val="24"/>
        </w:rPr>
      </w:pPr>
      <w:r w:rsidRPr="00175E32">
        <w:rPr>
          <w:rFonts w:eastAsia="Calibri"/>
          <w:szCs w:val="24"/>
        </w:rPr>
        <w:t xml:space="preserve">«Охрана окружающей среды» </w:t>
      </w:r>
      <w:r w:rsidR="00532046" w:rsidRPr="00175E32">
        <w:rPr>
          <w:rFonts w:eastAsia="Calibri"/>
          <w:szCs w:val="24"/>
        </w:rPr>
        <w:t>на 20</w:t>
      </w:r>
      <w:r w:rsidR="00B43D7D" w:rsidRPr="00175E32">
        <w:rPr>
          <w:rFonts w:eastAsia="Calibri"/>
          <w:szCs w:val="24"/>
        </w:rPr>
        <w:t>20</w:t>
      </w:r>
      <w:r w:rsidR="00532046" w:rsidRPr="00175E32">
        <w:rPr>
          <w:rFonts w:eastAsia="Calibri"/>
          <w:szCs w:val="24"/>
        </w:rPr>
        <w:t xml:space="preserve"> год</w:t>
      </w:r>
    </w:p>
    <w:tbl>
      <w:tblPr>
        <w:tblW w:w="9357" w:type="dxa"/>
        <w:tblInd w:w="108" w:type="dxa"/>
        <w:tblLayout w:type="fixed"/>
        <w:tblLook w:val="0000" w:firstRow="0" w:lastRow="0" w:firstColumn="0" w:lastColumn="0" w:noHBand="0" w:noVBand="0"/>
      </w:tblPr>
      <w:tblGrid>
        <w:gridCol w:w="3828"/>
        <w:gridCol w:w="1276"/>
        <w:gridCol w:w="1418"/>
        <w:gridCol w:w="1417"/>
        <w:gridCol w:w="1418"/>
      </w:tblGrid>
      <w:tr w:rsidR="00B43D7D" w:rsidRPr="00175E32" w14:paraId="6550E1B6" w14:textId="77777777" w:rsidTr="00FF61B0">
        <w:trPr>
          <w:trHeight w:val="347"/>
        </w:trPr>
        <w:tc>
          <w:tcPr>
            <w:tcW w:w="3828" w:type="dxa"/>
            <w:vMerge w:val="restart"/>
            <w:tcBorders>
              <w:top w:val="single" w:sz="4" w:space="0" w:color="000000"/>
              <w:left w:val="single" w:sz="4" w:space="0" w:color="000000"/>
              <w:bottom w:val="single" w:sz="4" w:space="0" w:color="000000"/>
            </w:tcBorders>
            <w:shd w:val="clear" w:color="auto" w:fill="auto"/>
            <w:vAlign w:val="center"/>
          </w:tcPr>
          <w:p w14:paraId="62D365EF" w14:textId="77777777" w:rsidR="00B43D7D" w:rsidRPr="00175E32" w:rsidRDefault="00B43D7D" w:rsidP="00FF61B0">
            <w:pPr>
              <w:shd w:val="clear" w:color="auto" w:fill="FFFFFF"/>
              <w:ind w:firstLine="0"/>
              <w:jc w:val="center"/>
              <w:rPr>
                <w:szCs w:val="24"/>
                <w:shd w:val="clear" w:color="auto" w:fill="FFFFFF"/>
              </w:rPr>
            </w:pPr>
            <w:r w:rsidRPr="00175E32">
              <w:rPr>
                <w:szCs w:val="24"/>
                <w:shd w:val="clear" w:color="auto" w:fill="FFFFFF"/>
              </w:rPr>
              <w:t>Наименование показателя</w:t>
            </w:r>
          </w:p>
        </w:tc>
        <w:tc>
          <w:tcPr>
            <w:tcW w:w="1276" w:type="dxa"/>
            <w:vMerge w:val="restart"/>
            <w:tcBorders>
              <w:top w:val="single" w:sz="4" w:space="0" w:color="000000"/>
              <w:left w:val="single" w:sz="4" w:space="0" w:color="000000"/>
              <w:bottom w:val="single" w:sz="4" w:space="0" w:color="000000"/>
            </w:tcBorders>
            <w:shd w:val="clear" w:color="auto" w:fill="auto"/>
            <w:vAlign w:val="center"/>
          </w:tcPr>
          <w:p w14:paraId="62FA7FDA" w14:textId="77777777" w:rsidR="00B43D7D" w:rsidRPr="00175E32" w:rsidRDefault="00B43D7D" w:rsidP="00FF61B0">
            <w:pPr>
              <w:shd w:val="clear" w:color="auto" w:fill="FFFFFF"/>
              <w:ind w:firstLine="0"/>
              <w:jc w:val="center"/>
              <w:rPr>
                <w:szCs w:val="24"/>
                <w:shd w:val="clear" w:color="auto" w:fill="FFFFFF"/>
              </w:rPr>
            </w:pPr>
            <w:r w:rsidRPr="00175E32">
              <w:rPr>
                <w:szCs w:val="24"/>
                <w:shd w:val="clear" w:color="auto" w:fill="FFFFFF"/>
              </w:rPr>
              <w:t xml:space="preserve">Единица </w:t>
            </w:r>
            <w:proofErr w:type="spellStart"/>
            <w:r w:rsidRPr="00175E32">
              <w:rPr>
                <w:szCs w:val="24"/>
                <w:shd w:val="clear" w:color="auto" w:fill="FFFFFF"/>
              </w:rPr>
              <w:t>измере</w:t>
            </w:r>
            <w:proofErr w:type="spellEnd"/>
            <w:r w:rsidR="009C2F8D">
              <w:rPr>
                <w:szCs w:val="24"/>
                <w:shd w:val="clear" w:color="auto" w:fill="FFFFFF"/>
              </w:rPr>
              <w:t>-</w:t>
            </w:r>
          </w:p>
          <w:p w14:paraId="3F07BBF7" w14:textId="77777777" w:rsidR="00B43D7D" w:rsidRPr="00175E32" w:rsidRDefault="00B43D7D" w:rsidP="00FF61B0">
            <w:pPr>
              <w:shd w:val="clear" w:color="auto" w:fill="FFFFFF"/>
              <w:ind w:firstLine="0"/>
              <w:jc w:val="center"/>
              <w:rPr>
                <w:szCs w:val="24"/>
                <w:shd w:val="clear" w:color="auto" w:fill="FFFFFF"/>
              </w:rPr>
            </w:pPr>
            <w:proofErr w:type="spellStart"/>
            <w:r w:rsidRPr="00175E32">
              <w:rPr>
                <w:szCs w:val="24"/>
                <w:shd w:val="clear" w:color="auto" w:fill="FFFFFF"/>
              </w:rPr>
              <w:t>ния</w:t>
            </w:r>
            <w:proofErr w:type="spellEnd"/>
          </w:p>
        </w:tc>
        <w:tc>
          <w:tcPr>
            <w:tcW w:w="2835" w:type="dxa"/>
            <w:gridSpan w:val="2"/>
            <w:tcBorders>
              <w:top w:val="single" w:sz="4" w:space="0" w:color="000000"/>
              <w:left w:val="single" w:sz="4" w:space="0" w:color="000000"/>
              <w:bottom w:val="single" w:sz="4" w:space="0" w:color="000000"/>
            </w:tcBorders>
            <w:shd w:val="clear" w:color="auto" w:fill="auto"/>
            <w:vAlign w:val="center"/>
          </w:tcPr>
          <w:p w14:paraId="26C2D08B" w14:textId="77777777" w:rsidR="00B43D7D" w:rsidRPr="00175E32" w:rsidRDefault="00B43D7D" w:rsidP="00FF61B0">
            <w:pPr>
              <w:ind w:firstLine="0"/>
              <w:jc w:val="center"/>
              <w:rPr>
                <w:szCs w:val="24"/>
              </w:rPr>
            </w:pPr>
            <w:r w:rsidRPr="00175E32">
              <w:rPr>
                <w:szCs w:val="24"/>
              </w:rPr>
              <w:t>Прогноз на 2020 год</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AC727DC" w14:textId="77777777" w:rsidR="00B43D7D" w:rsidRPr="00175E32" w:rsidRDefault="00B43D7D" w:rsidP="00FF61B0">
            <w:pPr>
              <w:ind w:firstLine="0"/>
              <w:jc w:val="center"/>
              <w:rPr>
                <w:szCs w:val="24"/>
              </w:rPr>
            </w:pPr>
            <w:r w:rsidRPr="00175E32">
              <w:rPr>
                <w:szCs w:val="24"/>
              </w:rPr>
              <w:t>2020 год (оценка)</w:t>
            </w:r>
          </w:p>
        </w:tc>
      </w:tr>
      <w:tr w:rsidR="00B43D7D" w:rsidRPr="00175E32" w14:paraId="6AFA3D29" w14:textId="77777777" w:rsidTr="00FF61B0">
        <w:trPr>
          <w:trHeight w:val="425"/>
        </w:trPr>
        <w:tc>
          <w:tcPr>
            <w:tcW w:w="3828" w:type="dxa"/>
            <w:vMerge/>
            <w:tcBorders>
              <w:top w:val="single" w:sz="4" w:space="0" w:color="000000"/>
              <w:left w:val="single" w:sz="4" w:space="0" w:color="000000"/>
              <w:bottom w:val="single" w:sz="4" w:space="0" w:color="000000"/>
            </w:tcBorders>
          </w:tcPr>
          <w:p w14:paraId="6AEFE532" w14:textId="77777777" w:rsidR="00B43D7D" w:rsidRPr="00175E32" w:rsidRDefault="00B43D7D" w:rsidP="0048723E">
            <w:pPr>
              <w:shd w:val="clear" w:color="auto" w:fill="FFFFFF"/>
              <w:snapToGrid w:val="0"/>
              <w:ind w:firstLine="0"/>
              <w:jc w:val="center"/>
              <w:rPr>
                <w:szCs w:val="24"/>
                <w:shd w:val="clear" w:color="auto" w:fill="FFFFFF"/>
              </w:rPr>
            </w:pPr>
          </w:p>
        </w:tc>
        <w:tc>
          <w:tcPr>
            <w:tcW w:w="1276" w:type="dxa"/>
            <w:vMerge/>
            <w:tcBorders>
              <w:top w:val="single" w:sz="4" w:space="0" w:color="000000"/>
              <w:left w:val="single" w:sz="4" w:space="0" w:color="000000"/>
              <w:bottom w:val="single" w:sz="4" w:space="0" w:color="000000"/>
            </w:tcBorders>
          </w:tcPr>
          <w:p w14:paraId="1038A674" w14:textId="77777777" w:rsidR="00B43D7D" w:rsidRPr="00175E32" w:rsidRDefault="00B43D7D" w:rsidP="0048723E">
            <w:pPr>
              <w:shd w:val="clear" w:color="auto" w:fill="FFFFFF"/>
              <w:snapToGrid w:val="0"/>
              <w:ind w:firstLine="0"/>
              <w:jc w:val="center"/>
              <w:rPr>
                <w:szCs w:val="24"/>
                <w:shd w:val="clear" w:color="auto" w:fill="FFFFFF"/>
              </w:rPr>
            </w:pPr>
          </w:p>
        </w:tc>
        <w:tc>
          <w:tcPr>
            <w:tcW w:w="1418" w:type="dxa"/>
            <w:tcBorders>
              <w:top w:val="single" w:sz="4" w:space="0" w:color="000000"/>
              <w:left w:val="single" w:sz="4" w:space="0" w:color="000000"/>
              <w:bottom w:val="single" w:sz="4" w:space="0" w:color="000000"/>
            </w:tcBorders>
            <w:vAlign w:val="center"/>
          </w:tcPr>
          <w:p w14:paraId="68566A35" w14:textId="77777777" w:rsidR="00B43D7D" w:rsidRPr="00175E32" w:rsidRDefault="00B43D7D" w:rsidP="00FF61B0">
            <w:pPr>
              <w:ind w:firstLine="0"/>
              <w:jc w:val="center"/>
              <w:rPr>
                <w:szCs w:val="24"/>
              </w:rPr>
            </w:pPr>
            <w:r w:rsidRPr="00175E32">
              <w:rPr>
                <w:szCs w:val="24"/>
              </w:rPr>
              <w:t>1 вариант (консервативный)</w:t>
            </w:r>
          </w:p>
        </w:tc>
        <w:tc>
          <w:tcPr>
            <w:tcW w:w="1417" w:type="dxa"/>
            <w:tcBorders>
              <w:top w:val="single" w:sz="4" w:space="0" w:color="000000"/>
              <w:left w:val="single" w:sz="4" w:space="0" w:color="000000"/>
              <w:bottom w:val="single" w:sz="4" w:space="0" w:color="000000"/>
            </w:tcBorders>
            <w:vAlign w:val="center"/>
          </w:tcPr>
          <w:p w14:paraId="56356AB0" w14:textId="77777777" w:rsidR="00B43D7D" w:rsidRPr="00175E32" w:rsidRDefault="00B43D7D" w:rsidP="00FF61B0">
            <w:pPr>
              <w:ind w:firstLine="0"/>
              <w:jc w:val="center"/>
              <w:rPr>
                <w:szCs w:val="24"/>
              </w:rPr>
            </w:pPr>
            <w:r w:rsidRPr="00175E32">
              <w:rPr>
                <w:szCs w:val="24"/>
              </w:rPr>
              <w:t>2 вариант</w:t>
            </w:r>
          </w:p>
          <w:p w14:paraId="5A4AD04E" w14:textId="77777777" w:rsidR="00B43D7D" w:rsidRPr="00175E32" w:rsidRDefault="00B43D7D" w:rsidP="00FF61B0">
            <w:pPr>
              <w:ind w:firstLine="0"/>
              <w:jc w:val="center"/>
              <w:rPr>
                <w:szCs w:val="24"/>
              </w:rPr>
            </w:pPr>
            <w:r w:rsidRPr="00175E32">
              <w:rPr>
                <w:szCs w:val="24"/>
              </w:rPr>
              <w:t>(базовый)</w:t>
            </w:r>
          </w:p>
        </w:tc>
        <w:tc>
          <w:tcPr>
            <w:tcW w:w="1418" w:type="dxa"/>
            <w:vMerge/>
            <w:tcBorders>
              <w:top w:val="single" w:sz="4" w:space="0" w:color="000000"/>
              <w:left w:val="single" w:sz="4" w:space="0" w:color="000000"/>
              <w:bottom w:val="single" w:sz="4" w:space="0" w:color="000000"/>
              <w:right w:val="single" w:sz="4" w:space="0" w:color="000000"/>
            </w:tcBorders>
          </w:tcPr>
          <w:p w14:paraId="03262F89" w14:textId="77777777" w:rsidR="00B43D7D" w:rsidRPr="00175E32" w:rsidRDefault="00B43D7D" w:rsidP="0048723E">
            <w:pPr>
              <w:shd w:val="clear" w:color="auto" w:fill="FFFFFF"/>
              <w:snapToGrid w:val="0"/>
              <w:ind w:firstLine="0"/>
              <w:jc w:val="center"/>
              <w:rPr>
                <w:szCs w:val="24"/>
                <w:shd w:val="clear" w:color="auto" w:fill="FFFFFF"/>
              </w:rPr>
            </w:pPr>
          </w:p>
        </w:tc>
      </w:tr>
      <w:tr w:rsidR="00B43D7D" w:rsidRPr="00175E32" w14:paraId="339DB6B4" w14:textId="77777777" w:rsidTr="00FF61B0">
        <w:tc>
          <w:tcPr>
            <w:tcW w:w="3828" w:type="dxa"/>
            <w:tcBorders>
              <w:top w:val="single" w:sz="4" w:space="0" w:color="000000"/>
              <w:left w:val="single" w:sz="4" w:space="0" w:color="000000"/>
              <w:bottom w:val="single" w:sz="4" w:space="0" w:color="000000"/>
            </w:tcBorders>
          </w:tcPr>
          <w:p w14:paraId="1D09360D" w14:textId="77777777" w:rsidR="00B43D7D" w:rsidRPr="00175E32" w:rsidRDefault="00B43D7D" w:rsidP="00FF61B0">
            <w:pPr>
              <w:shd w:val="clear" w:color="auto" w:fill="FFFFFF"/>
              <w:ind w:firstLine="0"/>
              <w:jc w:val="left"/>
              <w:rPr>
                <w:szCs w:val="24"/>
                <w:shd w:val="clear" w:color="auto" w:fill="FFFFFF"/>
              </w:rPr>
            </w:pPr>
            <w:bookmarkStart w:id="9" w:name="_Hlk52449747"/>
            <w:r w:rsidRPr="00175E32">
              <w:rPr>
                <w:szCs w:val="24"/>
                <w:shd w:val="clear" w:color="auto" w:fill="FFFFFF"/>
              </w:rPr>
              <w:t>Объем вредных веществ, выбрасываемых в атмосферный воздух стационарными источниками загрязнения</w:t>
            </w:r>
            <w:bookmarkEnd w:id="9"/>
          </w:p>
        </w:tc>
        <w:tc>
          <w:tcPr>
            <w:tcW w:w="1276" w:type="dxa"/>
            <w:tcBorders>
              <w:top w:val="single" w:sz="4" w:space="0" w:color="000000"/>
              <w:left w:val="single" w:sz="4" w:space="0" w:color="000000"/>
              <w:bottom w:val="single" w:sz="4" w:space="0" w:color="000000"/>
            </w:tcBorders>
            <w:vAlign w:val="center"/>
          </w:tcPr>
          <w:p w14:paraId="056B4759" w14:textId="77777777" w:rsidR="00B43D7D" w:rsidRPr="00175E32" w:rsidRDefault="00B43D7D" w:rsidP="00FF61B0">
            <w:pPr>
              <w:shd w:val="clear" w:color="auto" w:fill="FFFFFF"/>
              <w:ind w:firstLine="0"/>
              <w:jc w:val="center"/>
              <w:rPr>
                <w:szCs w:val="24"/>
                <w:shd w:val="clear" w:color="auto" w:fill="FFFFFF"/>
              </w:rPr>
            </w:pPr>
            <w:r w:rsidRPr="00175E32">
              <w:rPr>
                <w:szCs w:val="24"/>
                <w:shd w:val="clear" w:color="auto" w:fill="FFFFFF"/>
              </w:rPr>
              <w:t>тыс. тонн</w:t>
            </w:r>
          </w:p>
        </w:tc>
        <w:tc>
          <w:tcPr>
            <w:tcW w:w="1418" w:type="dxa"/>
            <w:tcBorders>
              <w:top w:val="single" w:sz="4" w:space="0" w:color="000000"/>
              <w:left w:val="single" w:sz="4" w:space="0" w:color="000000"/>
              <w:bottom w:val="single" w:sz="4" w:space="0" w:color="000000"/>
            </w:tcBorders>
            <w:vAlign w:val="center"/>
          </w:tcPr>
          <w:p w14:paraId="7F9CE4C4" w14:textId="77777777" w:rsidR="00B43D7D" w:rsidRPr="00175E32" w:rsidRDefault="00A60BBF" w:rsidP="00FF61B0">
            <w:pPr>
              <w:shd w:val="clear" w:color="auto" w:fill="FFFFFF"/>
              <w:spacing w:line="276" w:lineRule="auto"/>
              <w:ind w:firstLine="0"/>
              <w:jc w:val="center"/>
              <w:rPr>
                <w:szCs w:val="24"/>
                <w:shd w:val="clear" w:color="auto" w:fill="FFFFFF"/>
                <w:lang w:val="en-US"/>
              </w:rPr>
            </w:pPr>
            <w:r w:rsidRPr="00175E32">
              <w:rPr>
                <w:szCs w:val="24"/>
                <w:shd w:val="clear" w:color="auto" w:fill="FFFFFF"/>
              </w:rPr>
              <w:t>25,1</w:t>
            </w:r>
          </w:p>
        </w:tc>
        <w:tc>
          <w:tcPr>
            <w:tcW w:w="1417" w:type="dxa"/>
            <w:tcBorders>
              <w:top w:val="single" w:sz="4" w:space="0" w:color="000000"/>
              <w:left w:val="single" w:sz="4" w:space="0" w:color="000000"/>
              <w:bottom w:val="single" w:sz="4" w:space="0" w:color="000000"/>
            </w:tcBorders>
            <w:vAlign w:val="center"/>
          </w:tcPr>
          <w:p w14:paraId="41011F53" w14:textId="77777777" w:rsidR="00B43D7D" w:rsidRPr="00175E32" w:rsidRDefault="00A60BBF" w:rsidP="00FF61B0">
            <w:pPr>
              <w:shd w:val="clear" w:color="auto" w:fill="FFFFFF"/>
              <w:spacing w:line="276" w:lineRule="auto"/>
              <w:ind w:firstLine="0"/>
              <w:jc w:val="center"/>
              <w:rPr>
                <w:szCs w:val="24"/>
                <w:shd w:val="clear" w:color="auto" w:fill="FFFFFF"/>
              </w:rPr>
            </w:pPr>
            <w:r w:rsidRPr="00175E32">
              <w:rPr>
                <w:szCs w:val="24"/>
                <w:shd w:val="clear" w:color="auto" w:fill="FFFFFF"/>
              </w:rPr>
              <w:t>25,0</w:t>
            </w:r>
          </w:p>
        </w:tc>
        <w:tc>
          <w:tcPr>
            <w:tcW w:w="1418" w:type="dxa"/>
            <w:tcBorders>
              <w:top w:val="single" w:sz="4" w:space="0" w:color="000000"/>
              <w:left w:val="single" w:sz="4" w:space="0" w:color="000000"/>
              <w:bottom w:val="single" w:sz="4" w:space="0" w:color="000000"/>
              <w:right w:val="single" w:sz="4" w:space="0" w:color="000000"/>
            </w:tcBorders>
            <w:vAlign w:val="center"/>
          </w:tcPr>
          <w:p w14:paraId="631B912F" w14:textId="77777777" w:rsidR="00B43D7D" w:rsidRPr="00175E32" w:rsidRDefault="00E512D0" w:rsidP="00FF61B0">
            <w:pPr>
              <w:shd w:val="clear" w:color="auto" w:fill="FFFFFF"/>
              <w:spacing w:line="276" w:lineRule="auto"/>
              <w:ind w:firstLine="0"/>
              <w:jc w:val="center"/>
              <w:rPr>
                <w:szCs w:val="24"/>
                <w:shd w:val="clear" w:color="auto" w:fill="FFFFFF"/>
                <w:lang w:val="en-US"/>
              </w:rPr>
            </w:pPr>
            <w:r w:rsidRPr="00175E32">
              <w:rPr>
                <w:szCs w:val="24"/>
                <w:shd w:val="clear" w:color="auto" w:fill="FFFFFF"/>
                <w:lang w:val="en-US"/>
              </w:rPr>
              <w:t>35</w:t>
            </w:r>
            <w:r w:rsidRPr="00175E32">
              <w:rPr>
                <w:szCs w:val="24"/>
                <w:shd w:val="clear" w:color="auto" w:fill="FFFFFF"/>
              </w:rPr>
              <w:t>,</w:t>
            </w:r>
            <w:r w:rsidRPr="00175E32">
              <w:rPr>
                <w:szCs w:val="24"/>
                <w:shd w:val="clear" w:color="auto" w:fill="FFFFFF"/>
                <w:lang w:val="en-US"/>
              </w:rPr>
              <w:t>7</w:t>
            </w:r>
          </w:p>
        </w:tc>
      </w:tr>
      <w:tr w:rsidR="00B43D7D" w:rsidRPr="00175E32" w14:paraId="1422FF70" w14:textId="77777777" w:rsidTr="00FF61B0">
        <w:tc>
          <w:tcPr>
            <w:tcW w:w="3828" w:type="dxa"/>
            <w:tcBorders>
              <w:top w:val="single" w:sz="4" w:space="0" w:color="000000"/>
              <w:left w:val="single" w:sz="4" w:space="0" w:color="000000"/>
              <w:bottom w:val="single" w:sz="4" w:space="0" w:color="000000"/>
            </w:tcBorders>
          </w:tcPr>
          <w:p w14:paraId="4476F02E" w14:textId="77777777" w:rsidR="00B43D7D" w:rsidRPr="00175E32" w:rsidRDefault="00B43D7D" w:rsidP="00FF61B0">
            <w:pPr>
              <w:shd w:val="clear" w:color="auto" w:fill="FFFFFF"/>
              <w:ind w:firstLine="0"/>
              <w:jc w:val="left"/>
              <w:rPr>
                <w:szCs w:val="24"/>
                <w:shd w:val="clear" w:color="auto" w:fill="FFFFFF"/>
              </w:rPr>
            </w:pPr>
            <w:r w:rsidRPr="00175E32">
              <w:rPr>
                <w:szCs w:val="24"/>
                <w:shd w:val="clear" w:color="auto" w:fill="FFFFFF"/>
              </w:rPr>
              <w:t>Объем сброса загрязнений сточных вод в поверхностные водные объекты</w:t>
            </w:r>
          </w:p>
        </w:tc>
        <w:tc>
          <w:tcPr>
            <w:tcW w:w="1276" w:type="dxa"/>
            <w:tcBorders>
              <w:top w:val="single" w:sz="4" w:space="0" w:color="000000"/>
              <w:left w:val="single" w:sz="4" w:space="0" w:color="000000"/>
              <w:bottom w:val="single" w:sz="4" w:space="0" w:color="000000"/>
            </w:tcBorders>
            <w:vAlign w:val="center"/>
          </w:tcPr>
          <w:p w14:paraId="21E8F7EB" w14:textId="77777777" w:rsidR="00B43D7D" w:rsidRPr="00175E32" w:rsidRDefault="00B43D7D" w:rsidP="00FF61B0">
            <w:pPr>
              <w:shd w:val="clear" w:color="auto" w:fill="FFFFFF"/>
              <w:spacing w:line="276" w:lineRule="auto"/>
              <w:ind w:firstLine="0"/>
              <w:jc w:val="center"/>
              <w:rPr>
                <w:szCs w:val="24"/>
                <w:shd w:val="clear" w:color="auto" w:fill="FFFFFF"/>
              </w:rPr>
            </w:pPr>
            <w:proofErr w:type="spellStart"/>
            <w:r w:rsidRPr="00175E32">
              <w:rPr>
                <w:szCs w:val="24"/>
                <w:shd w:val="clear" w:color="auto" w:fill="FFFFFF"/>
              </w:rPr>
              <w:t>тыс.куб.м</w:t>
            </w:r>
            <w:proofErr w:type="spellEnd"/>
          </w:p>
        </w:tc>
        <w:tc>
          <w:tcPr>
            <w:tcW w:w="1418" w:type="dxa"/>
            <w:tcBorders>
              <w:top w:val="single" w:sz="4" w:space="0" w:color="000000"/>
              <w:left w:val="single" w:sz="4" w:space="0" w:color="000000"/>
              <w:bottom w:val="single" w:sz="4" w:space="0" w:color="000000"/>
            </w:tcBorders>
            <w:vAlign w:val="center"/>
          </w:tcPr>
          <w:p w14:paraId="017BB8BC" w14:textId="77777777" w:rsidR="00B43D7D" w:rsidRPr="00175E32" w:rsidRDefault="00A60BBF" w:rsidP="00FF61B0">
            <w:pPr>
              <w:shd w:val="clear" w:color="auto" w:fill="FFFFFF"/>
              <w:spacing w:line="276" w:lineRule="auto"/>
              <w:ind w:firstLine="0"/>
              <w:jc w:val="center"/>
              <w:rPr>
                <w:szCs w:val="24"/>
                <w:shd w:val="clear" w:color="auto" w:fill="FFFFFF"/>
              </w:rPr>
            </w:pPr>
            <w:r w:rsidRPr="00175E32">
              <w:rPr>
                <w:szCs w:val="24"/>
                <w:shd w:val="clear" w:color="auto" w:fill="FFFFFF"/>
              </w:rPr>
              <w:t>117 727,0</w:t>
            </w:r>
          </w:p>
        </w:tc>
        <w:tc>
          <w:tcPr>
            <w:tcW w:w="1417" w:type="dxa"/>
            <w:tcBorders>
              <w:top w:val="single" w:sz="4" w:space="0" w:color="000000"/>
              <w:left w:val="single" w:sz="4" w:space="0" w:color="000000"/>
              <w:bottom w:val="single" w:sz="4" w:space="0" w:color="000000"/>
            </w:tcBorders>
            <w:vAlign w:val="center"/>
          </w:tcPr>
          <w:p w14:paraId="026AA6EB" w14:textId="77777777" w:rsidR="00B43D7D" w:rsidRPr="00175E32" w:rsidRDefault="00A60BBF" w:rsidP="00FF61B0">
            <w:pPr>
              <w:shd w:val="clear" w:color="auto" w:fill="FFFFFF"/>
              <w:spacing w:line="276" w:lineRule="auto"/>
              <w:ind w:firstLine="0"/>
              <w:jc w:val="center"/>
              <w:rPr>
                <w:szCs w:val="24"/>
                <w:shd w:val="clear" w:color="auto" w:fill="FFFFFF"/>
              </w:rPr>
            </w:pPr>
            <w:r w:rsidRPr="00175E32">
              <w:rPr>
                <w:szCs w:val="24"/>
                <w:shd w:val="clear" w:color="auto" w:fill="FFFFFF"/>
              </w:rPr>
              <w:t>117 225,7</w:t>
            </w:r>
          </w:p>
        </w:tc>
        <w:tc>
          <w:tcPr>
            <w:tcW w:w="1418" w:type="dxa"/>
            <w:tcBorders>
              <w:top w:val="single" w:sz="4" w:space="0" w:color="000000"/>
              <w:left w:val="single" w:sz="4" w:space="0" w:color="000000"/>
              <w:bottom w:val="single" w:sz="4" w:space="0" w:color="000000"/>
              <w:right w:val="single" w:sz="4" w:space="0" w:color="000000"/>
            </w:tcBorders>
            <w:vAlign w:val="center"/>
          </w:tcPr>
          <w:p w14:paraId="509235B3" w14:textId="77777777" w:rsidR="00B43D7D" w:rsidRPr="00175E32" w:rsidRDefault="00E512D0" w:rsidP="00FF61B0">
            <w:pPr>
              <w:shd w:val="clear" w:color="auto" w:fill="FFFFFF"/>
              <w:spacing w:line="276" w:lineRule="auto"/>
              <w:ind w:firstLine="0"/>
              <w:jc w:val="center"/>
              <w:rPr>
                <w:szCs w:val="24"/>
                <w:shd w:val="clear" w:color="auto" w:fill="FFFFFF"/>
              </w:rPr>
            </w:pPr>
            <w:r w:rsidRPr="00175E32">
              <w:rPr>
                <w:szCs w:val="24"/>
                <w:shd w:val="clear" w:color="auto" w:fill="FFFFFF"/>
              </w:rPr>
              <w:t>119 084,8</w:t>
            </w:r>
          </w:p>
        </w:tc>
      </w:tr>
    </w:tbl>
    <w:p w14:paraId="1DAE2A08" w14:textId="77777777" w:rsidR="00FF61B0" w:rsidRPr="00175E32" w:rsidRDefault="00FF61B0" w:rsidP="005C79FB">
      <w:pPr>
        <w:autoSpaceDE w:val="0"/>
        <w:autoSpaceDN w:val="0"/>
        <w:adjustRightInd w:val="0"/>
        <w:spacing w:line="276" w:lineRule="auto"/>
        <w:outlineLvl w:val="2"/>
        <w:rPr>
          <w:szCs w:val="24"/>
          <w:shd w:val="clear" w:color="auto" w:fill="FFFFFF"/>
        </w:rPr>
      </w:pPr>
    </w:p>
    <w:p w14:paraId="3D8F2D2E" w14:textId="77777777" w:rsidR="00A04094" w:rsidRPr="00175E32" w:rsidRDefault="008024D2" w:rsidP="00251693">
      <w:pPr>
        <w:widowControl w:val="0"/>
        <w:spacing w:line="276" w:lineRule="auto"/>
        <w:rPr>
          <w:rFonts w:eastAsia="Calibri"/>
          <w:szCs w:val="24"/>
        </w:rPr>
      </w:pPr>
      <w:r w:rsidRPr="00175E32">
        <w:rPr>
          <w:rFonts w:eastAsia="Calibri"/>
          <w:szCs w:val="24"/>
        </w:rPr>
        <w:t xml:space="preserve">Корректировка </w:t>
      </w:r>
      <w:r w:rsidR="003C448C" w:rsidRPr="00175E32">
        <w:rPr>
          <w:rFonts w:eastAsia="Calibri"/>
          <w:szCs w:val="24"/>
        </w:rPr>
        <w:t xml:space="preserve">значения </w:t>
      </w:r>
      <w:r w:rsidRPr="00175E32">
        <w:rPr>
          <w:rFonts w:eastAsia="Calibri"/>
          <w:szCs w:val="24"/>
        </w:rPr>
        <w:t>показателя «</w:t>
      </w:r>
      <w:r w:rsidRPr="00175E32">
        <w:rPr>
          <w:szCs w:val="24"/>
          <w:shd w:val="clear" w:color="auto" w:fill="FFFFFF"/>
        </w:rPr>
        <w:t xml:space="preserve">Объем вредных веществ, выбрасываемых в атмосферный воздух стационарными источниками загрязнения» по сравнением с прогнозом </w:t>
      </w:r>
      <w:r w:rsidR="003C448C" w:rsidRPr="00175E32">
        <w:rPr>
          <w:szCs w:val="24"/>
          <w:shd w:val="clear" w:color="auto" w:fill="FFFFFF"/>
        </w:rPr>
        <w:t>прошлого года связана с тем</w:t>
      </w:r>
      <w:r w:rsidRPr="00175E32">
        <w:rPr>
          <w:szCs w:val="24"/>
          <w:shd w:val="clear" w:color="auto" w:fill="FFFFFF"/>
        </w:rPr>
        <w:t>, что фактическое значение показателя за 2019 год сложилось выше, чем ожидалось ранее</w:t>
      </w:r>
      <w:r w:rsidRPr="00175E32">
        <w:rPr>
          <w:rFonts w:eastAsia="Calibri"/>
          <w:szCs w:val="24"/>
        </w:rPr>
        <w:t xml:space="preserve">. </w:t>
      </w:r>
      <w:r w:rsidR="00A04094" w:rsidRPr="00175E32">
        <w:rPr>
          <w:rFonts w:eastAsia="Calibri"/>
          <w:szCs w:val="24"/>
        </w:rPr>
        <w:t>В</w:t>
      </w:r>
      <w:r w:rsidR="00E037AA" w:rsidRPr="00175E32">
        <w:rPr>
          <w:rFonts w:eastAsia="Calibri"/>
          <w:szCs w:val="24"/>
        </w:rPr>
        <w:t xml:space="preserve"> связи с исключением </w:t>
      </w:r>
      <w:r w:rsidR="003C448C" w:rsidRPr="00175E32">
        <w:rPr>
          <w:rFonts w:eastAsia="Calibri"/>
          <w:szCs w:val="24"/>
        </w:rPr>
        <w:t xml:space="preserve">формы федерального </w:t>
      </w:r>
      <w:r w:rsidR="003C448C" w:rsidRPr="00175E32">
        <w:rPr>
          <w:rFonts w:eastAsia="Calibri"/>
          <w:szCs w:val="24"/>
        </w:rPr>
        <w:lastRenderedPageBreak/>
        <w:t>статистического наблюдения Приложение №</w:t>
      </w:r>
      <w:r w:rsidR="00FF61B0">
        <w:rPr>
          <w:rFonts w:eastAsia="Calibri"/>
          <w:szCs w:val="24"/>
        </w:rPr>
        <w:t> </w:t>
      </w:r>
      <w:r w:rsidR="003C448C" w:rsidRPr="00175E32">
        <w:rPr>
          <w:rFonts w:eastAsia="Calibri"/>
          <w:szCs w:val="24"/>
        </w:rPr>
        <w:t>2-</w:t>
      </w:r>
      <w:r w:rsidR="00FF61B0">
        <w:rPr>
          <w:rFonts w:eastAsia="Calibri"/>
          <w:szCs w:val="24"/>
        </w:rPr>
        <w:t>ТП </w:t>
      </w:r>
      <w:r w:rsidR="003C448C" w:rsidRPr="00175E32">
        <w:rPr>
          <w:rFonts w:eastAsia="Calibri"/>
          <w:szCs w:val="24"/>
        </w:rPr>
        <w:t>(воздух) «Сведения об охране атмосферного воздуха»</w:t>
      </w:r>
      <w:r w:rsidR="00F357FD" w:rsidRPr="00175E32">
        <w:rPr>
          <w:rFonts w:eastAsia="Calibri"/>
          <w:szCs w:val="24"/>
        </w:rPr>
        <w:t>,</w:t>
      </w:r>
      <w:r w:rsidR="00E037AA" w:rsidRPr="00175E32">
        <w:rPr>
          <w:rFonts w:eastAsia="Calibri"/>
          <w:szCs w:val="24"/>
        </w:rPr>
        <w:t xml:space="preserve"> оценка </w:t>
      </w:r>
      <w:r w:rsidR="00A04094" w:rsidRPr="00175E32">
        <w:rPr>
          <w:rFonts w:eastAsia="Calibri"/>
          <w:szCs w:val="24"/>
        </w:rPr>
        <w:t xml:space="preserve">и прогноз </w:t>
      </w:r>
      <w:r w:rsidR="00E037AA" w:rsidRPr="00175E32">
        <w:rPr>
          <w:rFonts w:eastAsia="Calibri"/>
          <w:szCs w:val="24"/>
        </w:rPr>
        <w:t>объема вредных веществ, выбрасываемых в атмосферный воздух стационарными источниками загрязнения</w:t>
      </w:r>
      <w:r w:rsidR="00A04094" w:rsidRPr="00175E32">
        <w:rPr>
          <w:rFonts w:eastAsia="Calibri"/>
          <w:szCs w:val="24"/>
        </w:rPr>
        <w:t xml:space="preserve"> рассчитаны</w:t>
      </w:r>
      <w:r w:rsidR="00E037AA" w:rsidRPr="00175E32">
        <w:rPr>
          <w:rFonts w:eastAsia="Calibri"/>
          <w:szCs w:val="24"/>
        </w:rPr>
        <w:t xml:space="preserve"> </w:t>
      </w:r>
      <w:r w:rsidR="00AD0866" w:rsidRPr="00175E32">
        <w:rPr>
          <w:rFonts w:eastAsia="Calibri"/>
          <w:szCs w:val="24"/>
        </w:rPr>
        <w:t xml:space="preserve">на основании </w:t>
      </w:r>
      <w:r w:rsidR="0031346E" w:rsidRPr="00175E32">
        <w:rPr>
          <w:rFonts w:eastAsia="Calibri"/>
          <w:szCs w:val="24"/>
        </w:rPr>
        <w:t>представленны</w:t>
      </w:r>
      <w:r w:rsidR="00AD0866" w:rsidRPr="00175E32">
        <w:rPr>
          <w:rFonts w:eastAsia="Calibri"/>
          <w:szCs w:val="24"/>
        </w:rPr>
        <w:t>х</w:t>
      </w:r>
      <w:r w:rsidR="0031346E" w:rsidRPr="00175E32">
        <w:rPr>
          <w:rFonts w:eastAsia="Calibri"/>
          <w:szCs w:val="24"/>
        </w:rPr>
        <w:t xml:space="preserve"> </w:t>
      </w:r>
      <w:r w:rsidR="00AD0866" w:rsidRPr="00175E32">
        <w:rPr>
          <w:rFonts w:eastAsia="Calibri"/>
          <w:szCs w:val="24"/>
        </w:rPr>
        <w:t>сведений от  крупнейших промышленных предприятий город</w:t>
      </w:r>
      <w:r w:rsidR="00506284">
        <w:rPr>
          <w:rFonts w:eastAsia="Calibri"/>
          <w:szCs w:val="24"/>
        </w:rPr>
        <w:t>ского округа Тольятти</w:t>
      </w:r>
      <w:r w:rsidR="00AD0866" w:rsidRPr="00175E32">
        <w:rPr>
          <w:rFonts w:eastAsia="Calibri"/>
          <w:szCs w:val="24"/>
        </w:rPr>
        <w:t xml:space="preserve"> </w:t>
      </w:r>
      <w:r w:rsidR="0031346E" w:rsidRPr="00175E32">
        <w:rPr>
          <w:rFonts w:eastAsia="Calibri"/>
          <w:szCs w:val="24"/>
        </w:rPr>
        <w:t>по запросу администрации</w:t>
      </w:r>
      <w:r w:rsidR="008D7A93" w:rsidRPr="00175E32">
        <w:rPr>
          <w:rFonts w:eastAsia="Calibri"/>
          <w:szCs w:val="24"/>
        </w:rPr>
        <w:t xml:space="preserve"> </w:t>
      </w:r>
      <w:r w:rsidR="008D7A93" w:rsidRPr="00175E32">
        <w:rPr>
          <w:shd w:val="clear" w:color="auto" w:fill="FFFFFF"/>
        </w:rPr>
        <w:t>городского округа Тольятти</w:t>
      </w:r>
      <w:r w:rsidR="00AD0866" w:rsidRPr="00175E32">
        <w:rPr>
          <w:rFonts w:eastAsia="Calibri"/>
          <w:szCs w:val="24"/>
        </w:rPr>
        <w:t>.</w:t>
      </w:r>
    </w:p>
    <w:p w14:paraId="38C500FF" w14:textId="77777777" w:rsidR="00A04094" w:rsidRPr="00175E32" w:rsidRDefault="00A04094" w:rsidP="00251693">
      <w:pPr>
        <w:widowControl w:val="0"/>
        <w:spacing w:line="276" w:lineRule="auto"/>
        <w:rPr>
          <w:rFonts w:eastAsia="Calibri"/>
          <w:szCs w:val="24"/>
        </w:rPr>
      </w:pPr>
    </w:p>
    <w:p w14:paraId="78C414D2" w14:textId="77777777" w:rsidR="002C47EC" w:rsidRPr="00175E32" w:rsidRDefault="002C47EC" w:rsidP="00251693">
      <w:pPr>
        <w:numPr>
          <w:ilvl w:val="0"/>
          <w:numId w:val="5"/>
        </w:numPr>
        <w:tabs>
          <w:tab w:val="left" w:pos="142"/>
          <w:tab w:val="left" w:pos="9720"/>
        </w:tabs>
        <w:suppressAutoHyphens w:val="0"/>
        <w:spacing w:after="160" w:line="276" w:lineRule="auto"/>
        <w:ind w:left="0" w:firstLine="709"/>
        <w:contextualSpacing/>
        <w:textAlignment w:val="top"/>
        <w:rPr>
          <w:szCs w:val="24"/>
          <w:lang w:eastAsia="ru-RU"/>
        </w:rPr>
      </w:pPr>
      <w:r w:rsidRPr="00175E32">
        <w:rPr>
          <w:szCs w:val="24"/>
          <w:lang w:eastAsia="ru-RU"/>
        </w:rPr>
        <w:t>Таким образом, анализ социально-экономической ситуации в городском округе Тольятти за 1 полугодие 2020 года показывает, что эпидемиологическая ситуация и ввод ограничительных мер, связанных с распространением новой коронавирусной инфекции, а также неблагоприятная внешнеэкономическая обстановка негативно сказались на экономике город</w:t>
      </w:r>
      <w:r w:rsidR="00506284">
        <w:rPr>
          <w:szCs w:val="24"/>
          <w:lang w:eastAsia="ru-RU"/>
        </w:rPr>
        <w:t>ского округа Тольятти</w:t>
      </w:r>
      <w:r w:rsidRPr="00175E32">
        <w:rPr>
          <w:szCs w:val="24"/>
          <w:lang w:eastAsia="ru-RU"/>
        </w:rPr>
        <w:t>, сни</w:t>
      </w:r>
      <w:r w:rsidR="009F0C1E" w:rsidRPr="00175E32">
        <w:rPr>
          <w:szCs w:val="24"/>
          <w:lang w:eastAsia="ru-RU"/>
        </w:rPr>
        <w:t>зив</w:t>
      </w:r>
      <w:r w:rsidRPr="00175E32">
        <w:rPr>
          <w:szCs w:val="24"/>
          <w:lang w:eastAsia="ru-RU"/>
        </w:rPr>
        <w:t xml:space="preserve"> экономическ</w:t>
      </w:r>
      <w:r w:rsidR="009F0C1E" w:rsidRPr="00175E32">
        <w:rPr>
          <w:szCs w:val="24"/>
          <w:lang w:eastAsia="ru-RU"/>
        </w:rPr>
        <w:t>ую</w:t>
      </w:r>
      <w:r w:rsidRPr="00175E32">
        <w:rPr>
          <w:szCs w:val="24"/>
          <w:lang w:eastAsia="ru-RU"/>
        </w:rPr>
        <w:t xml:space="preserve"> активност</w:t>
      </w:r>
      <w:r w:rsidR="009F0C1E" w:rsidRPr="00175E32">
        <w:rPr>
          <w:szCs w:val="24"/>
          <w:lang w:eastAsia="ru-RU"/>
        </w:rPr>
        <w:t>ь</w:t>
      </w:r>
      <w:r w:rsidRPr="00175E32">
        <w:rPr>
          <w:szCs w:val="24"/>
          <w:lang w:eastAsia="ru-RU"/>
        </w:rPr>
        <w:t xml:space="preserve"> во многих отраслях и секторах экономики.</w:t>
      </w:r>
    </w:p>
    <w:p w14:paraId="155FA27F" w14:textId="77777777" w:rsidR="002C47EC" w:rsidRPr="00175E32" w:rsidRDefault="009F0C1E" w:rsidP="00251693">
      <w:pPr>
        <w:numPr>
          <w:ilvl w:val="0"/>
          <w:numId w:val="5"/>
        </w:numPr>
        <w:tabs>
          <w:tab w:val="left" w:pos="142"/>
          <w:tab w:val="left" w:pos="9720"/>
        </w:tabs>
        <w:suppressAutoHyphens w:val="0"/>
        <w:spacing w:after="160" w:line="276" w:lineRule="auto"/>
        <w:ind w:left="0" w:firstLine="709"/>
        <w:contextualSpacing/>
        <w:textAlignment w:val="top"/>
        <w:rPr>
          <w:szCs w:val="24"/>
          <w:lang w:eastAsia="ru-RU"/>
        </w:rPr>
      </w:pPr>
      <w:r w:rsidRPr="00175E32">
        <w:rPr>
          <w:szCs w:val="24"/>
          <w:lang w:eastAsia="ru-RU"/>
        </w:rPr>
        <w:t>До конца</w:t>
      </w:r>
      <w:r w:rsidR="002C47EC" w:rsidRPr="00175E32">
        <w:rPr>
          <w:szCs w:val="24"/>
          <w:lang w:eastAsia="ru-RU"/>
        </w:rPr>
        <w:t xml:space="preserve">  2020 год</w:t>
      </w:r>
      <w:r w:rsidRPr="00175E32">
        <w:rPr>
          <w:szCs w:val="24"/>
          <w:lang w:eastAsia="ru-RU"/>
        </w:rPr>
        <w:t>а</w:t>
      </w:r>
      <w:r w:rsidR="002C47EC" w:rsidRPr="00175E32">
        <w:rPr>
          <w:szCs w:val="24"/>
          <w:lang w:eastAsia="ru-RU"/>
        </w:rPr>
        <w:t xml:space="preserve"> </w:t>
      </w:r>
      <w:r w:rsidRPr="00175E32">
        <w:rPr>
          <w:szCs w:val="24"/>
          <w:lang w:eastAsia="ru-RU"/>
        </w:rPr>
        <w:t>ожидается</w:t>
      </w:r>
      <w:r w:rsidR="002C47EC" w:rsidRPr="00175E32">
        <w:rPr>
          <w:szCs w:val="24"/>
          <w:lang w:eastAsia="ru-RU"/>
        </w:rPr>
        <w:t xml:space="preserve"> адаптационно-восстановительный процесс развития экономики к современным рискам и вызовам. В целях минимизации негативного влияния распространения нового коронавируса и недопущения ухудшения экономической ситуации принят и реализуется пакет федеральных и региональных антикризисных мер. Стоит задача по созданию условий для скорейшего восстановления экономики и наиболее полной реализации принятых мер по стабилизации экономической ситуации.</w:t>
      </w:r>
    </w:p>
    <w:p w14:paraId="10E98C53" w14:textId="77777777" w:rsidR="002473F6" w:rsidRPr="00175E32" w:rsidRDefault="002473F6" w:rsidP="00251693">
      <w:pPr>
        <w:numPr>
          <w:ilvl w:val="0"/>
          <w:numId w:val="5"/>
        </w:numPr>
        <w:tabs>
          <w:tab w:val="clear" w:pos="0"/>
          <w:tab w:val="num" w:pos="432"/>
        </w:tabs>
        <w:suppressAutoHyphens w:val="0"/>
        <w:spacing w:after="160" w:line="276" w:lineRule="auto"/>
        <w:ind w:left="0" w:firstLine="709"/>
        <w:contextualSpacing/>
        <w:rPr>
          <w:szCs w:val="24"/>
          <w:lang w:eastAsia="ru-RU"/>
        </w:rPr>
      </w:pPr>
      <w:r w:rsidRPr="00175E32">
        <w:rPr>
          <w:szCs w:val="24"/>
          <w:lang w:eastAsia="ru-RU"/>
        </w:rPr>
        <w:t>Восстановительный процесс экономики город</w:t>
      </w:r>
      <w:r w:rsidR="00591ECB">
        <w:rPr>
          <w:szCs w:val="24"/>
          <w:lang w:eastAsia="ru-RU"/>
        </w:rPr>
        <w:t>ского округа Тольятти</w:t>
      </w:r>
      <w:r w:rsidRPr="00175E32">
        <w:rPr>
          <w:szCs w:val="24"/>
          <w:lang w:eastAsia="ru-RU"/>
        </w:rPr>
        <w:t xml:space="preserve"> и региона в целом будет зависеть от эффективности предпринимаемых на все</w:t>
      </w:r>
      <w:r w:rsidR="00FF61B0">
        <w:rPr>
          <w:szCs w:val="24"/>
          <w:lang w:eastAsia="ru-RU"/>
        </w:rPr>
        <w:t>х уровнях власти мер поддержки.</w:t>
      </w:r>
    </w:p>
    <w:p w14:paraId="6AB909BE" w14:textId="77777777" w:rsidR="00195A96" w:rsidRDefault="00195A96" w:rsidP="00251693">
      <w:pPr>
        <w:spacing w:line="276" w:lineRule="auto"/>
        <w:outlineLvl w:val="0"/>
        <w:rPr>
          <w:szCs w:val="24"/>
        </w:rPr>
      </w:pPr>
    </w:p>
    <w:p w14:paraId="57B7A3B3" w14:textId="77777777" w:rsidR="00FF61B0" w:rsidRDefault="00FF61B0" w:rsidP="00251693">
      <w:pPr>
        <w:spacing w:line="276" w:lineRule="auto"/>
        <w:outlineLvl w:val="0"/>
        <w:rPr>
          <w:szCs w:val="24"/>
        </w:rPr>
      </w:pPr>
    </w:p>
    <w:p w14:paraId="3B0FF686" w14:textId="77777777" w:rsidR="007D5F6C" w:rsidRDefault="007D5F6C" w:rsidP="00251693">
      <w:pPr>
        <w:spacing w:line="276" w:lineRule="auto"/>
        <w:outlineLvl w:val="0"/>
        <w:rPr>
          <w:szCs w:val="24"/>
        </w:rPr>
      </w:pPr>
    </w:p>
    <w:p w14:paraId="6E714D1E" w14:textId="77777777" w:rsidR="007D5F6C" w:rsidRDefault="007D5F6C" w:rsidP="00251693">
      <w:pPr>
        <w:spacing w:line="276" w:lineRule="auto"/>
        <w:outlineLvl w:val="0"/>
        <w:rPr>
          <w:szCs w:val="24"/>
        </w:rPr>
      </w:pPr>
    </w:p>
    <w:p w14:paraId="0BA85AF5" w14:textId="77777777" w:rsidR="00FF61B0" w:rsidRPr="00175E32" w:rsidRDefault="00FF61B0" w:rsidP="00251693">
      <w:pPr>
        <w:spacing w:line="276" w:lineRule="auto"/>
        <w:outlineLvl w:val="0"/>
        <w:rPr>
          <w:szCs w:val="24"/>
        </w:rPr>
      </w:pPr>
    </w:p>
    <w:p w14:paraId="54B62193" w14:textId="77777777" w:rsidR="00552507" w:rsidRPr="00175E32" w:rsidRDefault="00074159" w:rsidP="0048723E">
      <w:pPr>
        <w:widowControl w:val="0"/>
        <w:ind w:firstLine="0"/>
        <w:rPr>
          <w:rFonts w:eastAsia="Calibri"/>
          <w:szCs w:val="24"/>
        </w:rPr>
      </w:pPr>
      <w:r w:rsidRPr="00175E32">
        <w:rPr>
          <w:rFonts w:eastAsia="Calibri"/>
          <w:szCs w:val="24"/>
        </w:rPr>
        <w:t>Р</w:t>
      </w:r>
      <w:r w:rsidR="00552507" w:rsidRPr="00175E32">
        <w:rPr>
          <w:rFonts w:eastAsia="Calibri"/>
          <w:szCs w:val="24"/>
        </w:rPr>
        <w:t>уководител</w:t>
      </w:r>
      <w:r w:rsidR="005319C7" w:rsidRPr="00175E32">
        <w:rPr>
          <w:rFonts w:eastAsia="Calibri"/>
          <w:szCs w:val="24"/>
        </w:rPr>
        <w:t>ь</w:t>
      </w:r>
      <w:r w:rsidR="00552507" w:rsidRPr="00175E32">
        <w:rPr>
          <w:rFonts w:eastAsia="Calibri"/>
          <w:szCs w:val="24"/>
        </w:rPr>
        <w:t xml:space="preserve"> департамента </w:t>
      </w:r>
    </w:p>
    <w:p w14:paraId="6A32E38F" w14:textId="77777777" w:rsidR="00C40086" w:rsidRPr="00175E32" w:rsidRDefault="00552507" w:rsidP="00FF61B0">
      <w:pPr>
        <w:widowControl w:val="0"/>
        <w:tabs>
          <w:tab w:val="left" w:pos="8080"/>
        </w:tabs>
        <w:ind w:firstLine="0"/>
        <w:rPr>
          <w:rFonts w:eastAsia="Calibri"/>
          <w:szCs w:val="24"/>
        </w:rPr>
      </w:pPr>
      <w:r w:rsidRPr="00175E32">
        <w:rPr>
          <w:rFonts w:eastAsia="Calibri"/>
          <w:szCs w:val="24"/>
        </w:rPr>
        <w:t>экономического развития</w:t>
      </w:r>
      <w:r w:rsidR="00FF61B0">
        <w:rPr>
          <w:rFonts w:eastAsia="Calibri"/>
          <w:szCs w:val="24"/>
        </w:rPr>
        <w:tab/>
      </w:r>
      <w:r w:rsidR="0048723E" w:rsidRPr="00175E32">
        <w:rPr>
          <w:rFonts w:eastAsia="Calibri"/>
          <w:szCs w:val="24"/>
        </w:rPr>
        <w:t>Е.В.</w:t>
      </w:r>
      <w:r w:rsidR="00591ECB">
        <w:rPr>
          <w:rFonts w:eastAsia="Calibri"/>
          <w:szCs w:val="24"/>
        </w:rPr>
        <w:t xml:space="preserve"> </w:t>
      </w:r>
      <w:r w:rsidR="0048723E" w:rsidRPr="00175E32">
        <w:rPr>
          <w:rFonts w:eastAsia="Calibri"/>
          <w:szCs w:val="24"/>
        </w:rPr>
        <w:t>Базаева</w:t>
      </w:r>
    </w:p>
    <w:p w14:paraId="3D50D903" w14:textId="77777777" w:rsidR="002C47EC" w:rsidRDefault="00A50BA4" w:rsidP="002C47EC">
      <w:pPr>
        <w:widowControl w:val="0"/>
        <w:rPr>
          <w:rFonts w:eastAsia="Calibri"/>
          <w:szCs w:val="24"/>
        </w:rPr>
      </w:pPr>
      <w:r w:rsidRPr="00175E32">
        <w:rPr>
          <w:rFonts w:eastAsia="Calibri"/>
          <w:szCs w:val="24"/>
        </w:rPr>
        <w:tab/>
      </w:r>
    </w:p>
    <w:p w14:paraId="61A22FCA" w14:textId="77777777" w:rsidR="00FF61B0" w:rsidRDefault="00FF61B0" w:rsidP="002C47EC">
      <w:pPr>
        <w:widowControl w:val="0"/>
        <w:rPr>
          <w:rFonts w:eastAsia="Calibri"/>
          <w:szCs w:val="24"/>
        </w:rPr>
      </w:pPr>
    </w:p>
    <w:p w14:paraId="26104136" w14:textId="77777777" w:rsidR="00FF61B0" w:rsidRDefault="00FF61B0" w:rsidP="002C47EC">
      <w:pPr>
        <w:widowControl w:val="0"/>
        <w:rPr>
          <w:rFonts w:eastAsia="Calibri"/>
          <w:szCs w:val="24"/>
        </w:rPr>
      </w:pPr>
    </w:p>
    <w:p w14:paraId="58A26C83" w14:textId="77777777" w:rsidR="00FF61B0" w:rsidRDefault="00FF61B0" w:rsidP="002C47EC">
      <w:pPr>
        <w:widowControl w:val="0"/>
        <w:rPr>
          <w:rFonts w:eastAsia="Calibri"/>
          <w:szCs w:val="24"/>
        </w:rPr>
      </w:pPr>
    </w:p>
    <w:p w14:paraId="6A29CAC2" w14:textId="77777777" w:rsidR="00FF61B0" w:rsidRDefault="00FF61B0" w:rsidP="002C47EC">
      <w:pPr>
        <w:widowControl w:val="0"/>
        <w:rPr>
          <w:rFonts w:eastAsia="Calibri"/>
          <w:szCs w:val="24"/>
        </w:rPr>
      </w:pPr>
    </w:p>
    <w:p w14:paraId="60546744" w14:textId="77777777" w:rsidR="00925E09" w:rsidRDefault="00925E09" w:rsidP="002C47EC">
      <w:pPr>
        <w:widowControl w:val="0"/>
        <w:rPr>
          <w:rFonts w:eastAsia="Calibri"/>
          <w:szCs w:val="24"/>
        </w:rPr>
      </w:pPr>
    </w:p>
    <w:p w14:paraId="210A8009" w14:textId="77777777" w:rsidR="00925E09" w:rsidRDefault="00925E09" w:rsidP="002C47EC">
      <w:pPr>
        <w:widowControl w:val="0"/>
        <w:rPr>
          <w:rFonts w:eastAsia="Calibri"/>
          <w:szCs w:val="24"/>
        </w:rPr>
      </w:pPr>
    </w:p>
    <w:p w14:paraId="2ADE9510" w14:textId="77777777" w:rsidR="00FF61B0" w:rsidRDefault="00FF61B0" w:rsidP="002C47EC">
      <w:pPr>
        <w:widowControl w:val="0"/>
        <w:rPr>
          <w:rFonts w:eastAsia="Calibri"/>
          <w:szCs w:val="24"/>
        </w:rPr>
      </w:pPr>
    </w:p>
    <w:p w14:paraId="38095EB4" w14:textId="77777777" w:rsidR="00FF61B0" w:rsidRPr="00175E32" w:rsidRDefault="00FF61B0" w:rsidP="002C47EC">
      <w:pPr>
        <w:widowControl w:val="0"/>
        <w:rPr>
          <w:rFonts w:eastAsia="Calibri"/>
          <w:szCs w:val="24"/>
        </w:rPr>
      </w:pPr>
    </w:p>
    <w:p w14:paraId="5A82FBB3" w14:textId="77777777" w:rsidR="009F0C1E" w:rsidRPr="00175E32" w:rsidRDefault="00A1310C" w:rsidP="0048723E">
      <w:pPr>
        <w:widowControl w:val="0"/>
        <w:ind w:firstLine="0"/>
        <w:rPr>
          <w:rFonts w:eastAsia="Calibri"/>
          <w:sz w:val="20"/>
        </w:rPr>
      </w:pPr>
      <w:r w:rsidRPr="00175E32">
        <w:rPr>
          <w:rFonts w:eastAsia="Calibri"/>
          <w:sz w:val="20"/>
        </w:rPr>
        <w:t>Кончева Н.В.</w:t>
      </w:r>
      <w:r w:rsidR="005F638D" w:rsidRPr="00175E32">
        <w:rPr>
          <w:rFonts w:eastAsia="Calibri"/>
          <w:sz w:val="20"/>
        </w:rPr>
        <w:t xml:space="preserve">, </w:t>
      </w:r>
    </w:p>
    <w:p w14:paraId="6DFEF9D6" w14:textId="77777777" w:rsidR="00A50BA4" w:rsidRPr="002C47EC" w:rsidRDefault="005F638D" w:rsidP="0048723E">
      <w:pPr>
        <w:widowControl w:val="0"/>
        <w:ind w:firstLine="0"/>
        <w:rPr>
          <w:sz w:val="20"/>
        </w:rPr>
      </w:pPr>
      <w:r w:rsidRPr="00175E32">
        <w:rPr>
          <w:rFonts w:eastAsia="Calibri"/>
          <w:sz w:val="20"/>
        </w:rPr>
        <w:t>54-32-76</w:t>
      </w:r>
    </w:p>
    <w:sectPr w:rsidR="00A50BA4" w:rsidRPr="002C47EC" w:rsidSect="00792212">
      <w:headerReference w:type="default" r:id="rId10"/>
      <w:pgSz w:w="11906" w:h="16838"/>
      <w:pgMar w:top="1134" w:right="851" w:bottom="1134" w:left="1701" w:header="709"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FC6FAB" w14:textId="77777777" w:rsidR="009C2F8D" w:rsidRDefault="009C2F8D">
      <w:r>
        <w:separator/>
      </w:r>
    </w:p>
  </w:endnote>
  <w:endnote w:type="continuationSeparator" w:id="0">
    <w:p w14:paraId="1ABA17D4" w14:textId="77777777" w:rsidR="009C2F8D" w:rsidRDefault="009C2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2A07C8" w14:textId="77777777" w:rsidR="009C2F8D" w:rsidRDefault="009C2F8D">
      <w:r>
        <w:separator/>
      </w:r>
    </w:p>
  </w:footnote>
  <w:footnote w:type="continuationSeparator" w:id="0">
    <w:p w14:paraId="5109B482" w14:textId="77777777" w:rsidR="009C2F8D" w:rsidRDefault="009C2F8D">
      <w:r>
        <w:continuationSeparator/>
      </w:r>
    </w:p>
  </w:footnote>
  <w:footnote w:id="1">
    <w:p w14:paraId="76C98B5A" w14:textId="77777777" w:rsidR="009C2F8D" w:rsidRPr="00C13E7E" w:rsidRDefault="009C2F8D">
      <w:pPr>
        <w:pStyle w:val="aff"/>
        <w:rPr>
          <w:sz w:val="18"/>
          <w:szCs w:val="18"/>
        </w:rPr>
      </w:pPr>
      <w:r w:rsidRPr="00C13E7E">
        <w:rPr>
          <w:rStyle w:val="affb"/>
          <w:sz w:val="18"/>
          <w:szCs w:val="18"/>
        </w:rPr>
        <w:footnoteRef/>
      </w:r>
      <w:r w:rsidRPr="00C13E7E">
        <w:rPr>
          <w:sz w:val="18"/>
          <w:szCs w:val="18"/>
        </w:rPr>
        <w:t xml:space="preserve"> http://economy.samregion.ru/activity/mun_razv/reitingi/gorodskie-okruga/.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93C72" w14:textId="77777777" w:rsidR="009C2F8D" w:rsidRDefault="009C2F8D">
    <w:pPr>
      <w:pStyle w:val="af7"/>
      <w:jc w:val="center"/>
    </w:pPr>
    <w:r>
      <w:fldChar w:fldCharType="begin"/>
    </w:r>
    <w:r>
      <w:instrText xml:space="preserve"> PAGE </w:instrText>
    </w:r>
    <w:r>
      <w:fldChar w:fldCharType="separate"/>
    </w:r>
    <w:r w:rsidR="00CF5C84">
      <w:rPr>
        <w:noProof/>
      </w:rPr>
      <w:t>41</w:t>
    </w:r>
    <w:r>
      <w:rPr>
        <w:noProof/>
      </w:rPr>
      <w:fldChar w:fldCharType="end"/>
    </w:r>
  </w:p>
  <w:p w14:paraId="29209797" w14:textId="77777777" w:rsidR="009C2F8D" w:rsidRDefault="009C2F8D">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pStyle w:val="2"/>
      <w:suff w:val="nothing"/>
      <w:lvlText w:val=""/>
      <w:lvlJc w:val="left"/>
      <w:pPr>
        <w:tabs>
          <w:tab w:val="num" w:pos="0"/>
        </w:tabs>
        <w:ind w:left="576" w:hanging="576"/>
      </w:pPr>
      <w:rPr>
        <w:rFonts w:cs="Times New Roman"/>
      </w:rPr>
    </w:lvl>
    <w:lvl w:ilvl="2">
      <w:start w:val="1"/>
      <w:numFmt w:val="none"/>
      <w:pStyle w:val="3"/>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pStyle w:val="7"/>
      <w:suff w:val="nothing"/>
      <w:lvlText w:val=""/>
      <w:lvlJc w:val="left"/>
      <w:pPr>
        <w:tabs>
          <w:tab w:val="num" w:pos="0"/>
        </w:tabs>
        <w:ind w:left="1296" w:hanging="1296"/>
      </w:pPr>
      <w:rPr>
        <w:rFonts w:cs="Times New Roman"/>
      </w:rPr>
    </w:lvl>
    <w:lvl w:ilvl="7">
      <w:start w:val="1"/>
      <w:numFmt w:val="none"/>
      <w:pStyle w:val="8"/>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3" w15:restartNumberingAfterBreak="0">
    <w:nsid w:val="0000000B"/>
    <w:multiLevelType w:val="singleLevel"/>
    <w:tmpl w:val="0000000B"/>
    <w:name w:val="WW8Num20"/>
    <w:lvl w:ilvl="0">
      <w:start w:val="1"/>
      <w:numFmt w:val="bullet"/>
      <w:lvlText w:val=""/>
      <w:lvlJc w:val="left"/>
      <w:pPr>
        <w:tabs>
          <w:tab w:val="num" w:pos="-180"/>
        </w:tabs>
        <w:ind w:left="180" w:hanging="360"/>
      </w:pPr>
      <w:rPr>
        <w:rFonts w:ascii="Symbol" w:hAnsi="Symbol" w:cs="Symbol"/>
      </w:rPr>
    </w:lvl>
  </w:abstractNum>
  <w:abstractNum w:abstractNumId="4" w15:restartNumberingAfterBreak="0">
    <w:nsid w:val="069A6F1D"/>
    <w:multiLevelType w:val="hybridMultilevel"/>
    <w:tmpl w:val="7454473C"/>
    <w:lvl w:ilvl="0" w:tplc="77628C3C">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5" w15:restartNumberingAfterBreak="0">
    <w:nsid w:val="0ED23F6F"/>
    <w:multiLevelType w:val="hybridMultilevel"/>
    <w:tmpl w:val="996E780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0F530EEE"/>
    <w:multiLevelType w:val="hybridMultilevel"/>
    <w:tmpl w:val="9000DC68"/>
    <w:lvl w:ilvl="0" w:tplc="1BEC7E02">
      <w:start w:val="46"/>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109605F1"/>
    <w:multiLevelType w:val="hybridMultilevel"/>
    <w:tmpl w:val="A47E07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C7450F6"/>
    <w:multiLevelType w:val="hybridMultilevel"/>
    <w:tmpl w:val="E264BE70"/>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4A1631D"/>
    <w:multiLevelType w:val="hybridMultilevel"/>
    <w:tmpl w:val="D222F0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8F746F4"/>
    <w:multiLevelType w:val="hybridMultilevel"/>
    <w:tmpl w:val="CA0E289E"/>
    <w:lvl w:ilvl="0" w:tplc="3DF8BF70">
      <w:start w:val="1"/>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15:restartNumberingAfterBreak="0">
    <w:nsid w:val="354B4E1C"/>
    <w:multiLevelType w:val="hybridMultilevel"/>
    <w:tmpl w:val="7A2EA5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E3F2D36"/>
    <w:multiLevelType w:val="hybridMultilevel"/>
    <w:tmpl w:val="22AA41DC"/>
    <w:lvl w:ilvl="0" w:tplc="94CE4436">
      <w:start w:val="4"/>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15:restartNumberingAfterBreak="0">
    <w:nsid w:val="49311A52"/>
    <w:multiLevelType w:val="hybridMultilevel"/>
    <w:tmpl w:val="E3D2A776"/>
    <w:lvl w:ilvl="0" w:tplc="8AD0F9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FF944B4"/>
    <w:multiLevelType w:val="hybridMultilevel"/>
    <w:tmpl w:val="A428FBBE"/>
    <w:lvl w:ilvl="0" w:tplc="55B2257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15:restartNumberingAfterBreak="0">
    <w:nsid w:val="530A5D15"/>
    <w:multiLevelType w:val="hybridMultilevel"/>
    <w:tmpl w:val="3E0CE002"/>
    <w:lvl w:ilvl="0" w:tplc="B0E48E2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4672D46"/>
    <w:multiLevelType w:val="hybridMultilevel"/>
    <w:tmpl w:val="85EE8240"/>
    <w:lvl w:ilvl="0" w:tplc="C65C3A8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15:restartNumberingAfterBreak="0">
    <w:nsid w:val="5F0D47E8"/>
    <w:multiLevelType w:val="hybridMultilevel"/>
    <w:tmpl w:val="9580BB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0D3588F"/>
    <w:multiLevelType w:val="hybridMultilevel"/>
    <w:tmpl w:val="F558D436"/>
    <w:lvl w:ilvl="0" w:tplc="D1125C7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15:restartNumberingAfterBreak="0">
    <w:nsid w:val="7C040711"/>
    <w:multiLevelType w:val="hybridMultilevel"/>
    <w:tmpl w:val="8096684C"/>
    <w:lvl w:ilvl="0" w:tplc="04190001">
      <w:start w:val="1"/>
      <w:numFmt w:val="bullet"/>
      <w:lvlText w:val=""/>
      <w:lvlJc w:val="left"/>
      <w:pPr>
        <w:ind w:left="1481" w:hanging="360"/>
      </w:pPr>
      <w:rPr>
        <w:rFonts w:ascii="Symbol" w:hAnsi="Symbol" w:hint="default"/>
      </w:rPr>
    </w:lvl>
    <w:lvl w:ilvl="1" w:tplc="04190003" w:tentative="1">
      <w:start w:val="1"/>
      <w:numFmt w:val="bullet"/>
      <w:lvlText w:val="o"/>
      <w:lvlJc w:val="left"/>
      <w:pPr>
        <w:ind w:left="2201" w:hanging="360"/>
      </w:pPr>
      <w:rPr>
        <w:rFonts w:ascii="Courier New" w:hAnsi="Courier New" w:cs="Courier New" w:hint="default"/>
      </w:rPr>
    </w:lvl>
    <w:lvl w:ilvl="2" w:tplc="04190005" w:tentative="1">
      <w:start w:val="1"/>
      <w:numFmt w:val="bullet"/>
      <w:lvlText w:val=""/>
      <w:lvlJc w:val="left"/>
      <w:pPr>
        <w:ind w:left="2921" w:hanging="360"/>
      </w:pPr>
      <w:rPr>
        <w:rFonts w:ascii="Wingdings" w:hAnsi="Wingdings" w:hint="default"/>
      </w:rPr>
    </w:lvl>
    <w:lvl w:ilvl="3" w:tplc="04190001" w:tentative="1">
      <w:start w:val="1"/>
      <w:numFmt w:val="bullet"/>
      <w:lvlText w:val=""/>
      <w:lvlJc w:val="left"/>
      <w:pPr>
        <w:ind w:left="3641" w:hanging="360"/>
      </w:pPr>
      <w:rPr>
        <w:rFonts w:ascii="Symbol" w:hAnsi="Symbol" w:hint="default"/>
      </w:rPr>
    </w:lvl>
    <w:lvl w:ilvl="4" w:tplc="04190003" w:tentative="1">
      <w:start w:val="1"/>
      <w:numFmt w:val="bullet"/>
      <w:lvlText w:val="o"/>
      <w:lvlJc w:val="left"/>
      <w:pPr>
        <w:ind w:left="4361" w:hanging="360"/>
      </w:pPr>
      <w:rPr>
        <w:rFonts w:ascii="Courier New" w:hAnsi="Courier New" w:cs="Courier New" w:hint="default"/>
      </w:rPr>
    </w:lvl>
    <w:lvl w:ilvl="5" w:tplc="04190005" w:tentative="1">
      <w:start w:val="1"/>
      <w:numFmt w:val="bullet"/>
      <w:lvlText w:val=""/>
      <w:lvlJc w:val="left"/>
      <w:pPr>
        <w:ind w:left="5081" w:hanging="360"/>
      </w:pPr>
      <w:rPr>
        <w:rFonts w:ascii="Wingdings" w:hAnsi="Wingdings" w:hint="default"/>
      </w:rPr>
    </w:lvl>
    <w:lvl w:ilvl="6" w:tplc="04190001" w:tentative="1">
      <w:start w:val="1"/>
      <w:numFmt w:val="bullet"/>
      <w:lvlText w:val=""/>
      <w:lvlJc w:val="left"/>
      <w:pPr>
        <w:ind w:left="5801" w:hanging="360"/>
      </w:pPr>
      <w:rPr>
        <w:rFonts w:ascii="Symbol" w:hAnsi="Symbol" w:hint="default"/>
      </w:rPr>
    </w:lvl>
    <w:lvl w:ilvl="7" w:tplc="04190003" w:tentative="1">
      <w:start w:val="1"/>
      <w:numFmt w:val="bullet"/>
      <w:lvlText w:val="o"/>
      <w:lvlJc w:val="left"/>
      <w:pPr>
        <w:ind w:left="6521" w:hanging="360"/>
      </w:pPr>
      <w:rPr>
        <w:rFonts w:ascii="Courier New" w:hAnsi="Courier New" w:cs="Courier New" w:hint="default"/>
      </w:rPr>
    </w:lvl>
    <w:lvl w:ilvl="8" w:tplc="04190005" w:tentative="1">
      <w:start w:val="1"/>
      <w:numFmt w:val="bullet"/>
      <w:lvlText w:val=""/>
      <w:lvlJc w:val="left"/>
      <w:pPr>
        <w:ind w:left="7241" w:hanging="360"/>
      </w:pPr>
      <w:rPr>
        <w:rFonts w:ascii="Wingdings" w:hAnsi="Wingdings" w:hint="default"/>
      </w:rPr>
    </w:lvl>
  </w:abstractNum>
  <w:abstractNum w:abstractNumId="20" w15:restartNumberingAfterBreak="0">
    <w:nsid w:val="7CFB0CBC"/>
    <w:multiLevelType w:val="hybridMultilevel"/>
    <w:tmpl w:val="66AC2B6A"/>
    <w:lvl w:ilvl="0" w:tplc="3104ECD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 w:numId="2">
    <w:abstractNumId w:val="1"/>
  </w:num>
  <w:num w:numId="3">
    <w:abstractNumId w:val="2"/>
  </w:num>
  <w:num w:numId="4">
    <w:abstractNumId w:val="1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4"/>
  </w:num>
  <w:num w:numId="8">
    <w:abstractNumId w:val="5"/>
  </w:num>
  <w:num w:numId="9">
    <w:abstractNumId w:val="18"/>
  </w:num>
  <w:num w:numId="10">
    <w:abstractNumId w:val="20"/>
  </w:num>
  <w:num w:numId="11">
    <w:abstractNumId w:val="7"/>
  </w:num>
  <w:num w:numId="12">
    <w:abstractNumId w:val="14"/>
  </w:num>
  <w:num w:numId="13">
    <w:abstractNumId w:val="19"/>
  </w:num>
  <w:num w:numId="14">
    <w:abstractNumId w:val="9"/>
  </w:num>
  <w:num w:numId="15">
    <w:abstractNumId w:val="13"/>
  </w:num>
  <w:num w:numId="16">
    <w:abstractNumId w:val="6"/>
  </w:num>
  <w:num w:numId="17">
    <w:abstractNumId w:val="8"/>
  </w:num>
  <w:num w:numId="18">
    <w:abstractNumId w:val="3"/>
  </w:num>
  <w:num w:numId="19">
    <w:abstractNumId w:val="11"/>
  </w:num>
  <w:num w:numId="20">
    <w:abstractNumId w:val="17"/>
  </w:num>
  <w:num w:numId="21">
    <w:abstractNumId w:val="1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C60A8"/>
    <w:rsid w:val="000007C6"/>
    <w:rsid w:val="00000D3B"/>
    <w:rsid w:val="00000D7A"/>
    <w:rsid w:val="00000DB9"/>
    <w:rsid w:val="00001381"/>
    <w:rsid w:val="00001F11"/>
    <w:rsid w:val="00002636"/>
    <w:rsid w:val="00003FA1"/>
    <w:rsid w:val="00004325"/>
    <w:rsid w:val="00006079"/>
    <w:rsid w:val="00010D06"/>
    <w:rsid w:val="000114D5"/>
    <w:rsid w:val="00012904"/>
    <w:rsid w:val="00012FC0"/>
    <w:rsid w:val="00014594"/>
    <w:rsid w:val="000145B6"/>
    <w:rsid w:val="000154F6"/>
    <w:rsid w:val="0001660B"/>
    <w:rsid w:val="0001678C"/>
    <w:rsid w:val="0001717F"/>
    <w:rsid w:val="00017390"/>
    <w:rsid w:val="00017E75"/>
    <w:rsid w:val="000203F9"/>
    <w:rsid w:val="000209B8"/>
    <w:rsid w:val="00021662"/>
    <w:rsid w:val="00021EC8"/>
    <w:rsid w:val="00021F14"/>
    <w:rsid w:val="0002266D"/>
    <w:rsid w:val="00022A8E"/>
    <w:rsid w:val="00022EEA"/>
    <w:rsid w:val="00023714"/>
    <w:rsid w:val="0002631F"/>
    <w:rsid w:val="00026601"/>
    <w:rsid w:val="000266F9"/>
    <w:rsid w:val="00027DB6"/>
    <w:rsid w:val="0003059F"/>
    <w:rsid w:val="00030683"/>
    <w:rsid w:val="00030C71"/>
    <w:rsid w:val="000316E5"/>
    <w:rsid w:val="0003336A"/>
    <w:rsid w:val="00033382"/>
    <w:rsid w:val="00034112"/>
    <w:rsid w:val="000343C8"/>
    <w:rsid w:val="00034540"/>
    <w:rsid w:val="00034B55"/>
    <w:rsid w:val="00034D05"/>
    <w:rsid w:val="000355FA"/>
    <w:rsid w:val="00035637"/>
    <w:rsid w:val="00035AF4"/>
    <w:rsid w:val="00035FAE"/>
    <w:rsid w:val="000361BF"/>
    <w:rsid w:val="000361CC"/>
    <w:rsid w:val="00036307"/>
    <w:rsid w:val="00036D9B"/>
    <w:rsid w:val="00037DBC"/>
    <w:rsid w:val="00040813"/>
    <w:rsid w:val="00040910"/>
    <w:rsid w:val="00041093"/>
    <w:rsid w:val="000420C4"/>
    <w:rsid w:val="00042595"/>
    <w:rsid w:val="00044238"/>
    <w:rsid w:val="000447D9"/>
    <w:rsid w:val="00044D69"/>
    <w:rsid w:val="00045EE6"/>
    <w:rsid w:val="000461F5"/>
    <w:rsid w:val="0004675F"/>
    <w:rsid w:val="00047083"/>
    <w:rsid w:val="000471E0"/>
    <w:rsid w:val="0005141D"/>
    <w:rsid w:val="0005237A"/>
    <w:rsid w:val="00052CC0"/>
    <w:rsid w:val="0005370E"/>
    <w:rsid w:val="00053D89"/>
    <w:rsid w:val="00055BD3"/>
    <w:rsid w:val="0005613F"/>
    <w:rsid w:val="00056B5C"/>
    <w:rsid w:val="000604DF"/>
    <w:rsid w:val="0006149C"/>
    <w:rsid w:val="0006286B"/>
    <w:rsid w:val="00062D16"/>
    <w:rsid w:val="000630E5"/>
    <w:rsid w:val="000648E6"/>
    <w:rsid w:val="00065118"/>
    <w:rsid w:val="0006581E"/>
    <w:rsid w:val="0006670E"/>
    <w:rsid w:val="00066E74"/>
    <w:rsid w:val="000672B5"/>
    <w:rsid w:val="00067BA5"/>
    <w:rsid w:val="00070DA2"/>
    <w:rsid w:val="00072DB6"/>
    <w:rsid w:val="00074159"/>
    <w:rsid w:val="00074376"/>
    <w:rsid w:val="0007494B"/>
    <w:rsid w:val="00075511"/>
    <w:rsid w:val="00076DD1"/>
    <w:rsid w:val="00077747"/>
    <w:rsid w:val="000821C9"/>
    <w:rsid w:val="00082903"/>
    <w:rsid w:val="00084E27"/>
    <w:rsid w:val="000855F9"/>
    <w:rsid w:val="00090080"/>
    <w:rsid w:val="0009090B"/>
    <w:rsid w:val="0009173C"/>
    <w:rsid w:val="000930C4"/>
    <w:rsid w:val="000932D5"/>
    <w:rsid w:val="00093E1E"/>
    <w:rsid w:val="00093EC9"/>
    <w:rsid w:val="00094DE7"/>
    <w:rsid w:val="00095150"/>
    <w:rsid w:val="00095C66"/>
    <w:rsid w:val="00095D52"/>
    <w:rsid w:val="000A214A"/>
    <w:rsid w:val="000A276D"/>
    <w:rsid w:val="000A2FDD"/>
    <w:rsid w:val="000A315C"/>
    <w:rsid w:val="000A35E6"/>
    <w:rsid w:val="000A372A"/>
    <w:rsid w:val="000A3D5D"/>
    <w:rsid w:val="000A469F"/>
    <w:rsid w:val="000A5B43"/>
    <w:rsid w:val="000A5FFF"/>
    <w:rsid w:val="000A6441"/>
    <w:rsid w:val="000A6988"/>
    <w:rsid w:val="000A7005"/>
    <w:rsid w:val="000A702F"/>
    <w:rsid w:val="000B04AD"/>
    <w:rsid w:val="000B16D3"/>
    <w:rsid w:val="000B1CDE"/>
    <w:rsid w:val="000B2048"/>
    <w:rsid w:val="000B230E"/>
    <w:rsid w:val="000B2CF6"/>
    <w:rsid w:val="000B3238"/>
    <w:rsid w:val="000B33C3"/>
    <w:rsid w:val="000B37F9"/>
    <w:rsid w:val="000B55CF"/>
    <w:rsid w:val="000B6108"/>
    <w:rsid w:val="000B7481"/>
    <w:rsid w:val="000B763D"/>
    <w:rsid w:val="000C0074"/>
    <w:rsid w:val="000C0544"/>
    <w:rsid w:val="000C0964"/>
    <w:rsid w:val="000C1CFC"/>
    <w:rsid w:val="000C4812"/>
    <w:rsid w:val="000C521E"/>
    <w:rsid w:val="000C5517"/>
    <w:rsid w:val="000C60F8"/>
    <w:rsid w:val="000C72C2"/>
    <w:rsid w:val="000C7967"/>
    <w:rsid w:val="000D0A06"/>
    <w:rsid w:val="000D15D8"/>
    <w:rsid w:val="000D2102"/>
    <w:rsid w:val="000D373A"/>
    <w:rsid w:val="000D3FB7"/>
    <w:rsid w:val="000D5F59"/>
    <w:rsid w:val="000D5F86"/>
    <w:rsid w:val="000D6067"/>
    <w:rsid w:val="000D625A"/>
    <w:rsid w:val="000D65F2"/>
    <w:rsid w:val="000E0070"/>
    <w:rsid w:val="000E0B35"/>
    <w:rsid w:val="000E21EE"/>
    <w:rsid w:val="000E3B4F"/>
    <w:rsid w:val="000E4BAA"/>
    <w:rsid w:val="000E5264"/>
    <w:rsid w:val="000E5757"/>
    <w:rsid w:val="000E5F1C"/>
    <w:rsid w:val="000E6A18"/>
    <w:rsid w:val="000E7694"/>
    <w:rsid w:val="000F2C3F"/>
    <w:rsid w:val="000F38A2"/>
    <w:rsid w:val="000F4707"/>
    <w:rsid w:val="000F5365"/>
    <w:rsid w:val="000F5D50"/>
    <w:rsid w:val="000F6FCF"/>
    <w:rsid w:val="000F7134"/>
    <w:rsid w:val="000F746B"/>
    <w:rsid w:val="000F750F"/>
    <w:rsid w:val="000F778D"/>
    <w:rsid w:val="00100E26"/>
    <w:rsid w:val="0010160E"/>
    <w:rsid w:val="00101706"/>
    <w:rsid w:val="0010177F"/>
    <w:rsid w:val="0010219E"/>
    <w:rsid w:val="00102828"/>
    <w:rsid w:val="0010299D"/>
    <w:rsid w:val="00107F63"/>
    <w:rsid w:val="00110699"/>
    <w:rsid w:val="00112977"/>
    <w:rsid w:val="0011346A"/>
    <w:rsid w:val="001137DB"/>
    <w:rsid w:val="001144E4"/>
    <w:rsid w:val="00114F76"/>
    <w:rsid w:val="00114F92"/>
    <w:rsid w:val="001159F3"/>
    <w:rsid w:val="00115D41"/>
    <w:rsid w:val="001176BE"/>
    <w:rsid w:val="00117ADB"/>
    <w:rsid w:val="00121538"/>
    <w:rsid w:val="001217FA"/>
    <w:rsid w:val="00121AEE"/>
    <w:rsid w:val="001222AA"/>
    <w:rsid w:val="00122A0C"/>
    <w:rsid w:val="001230CF"/>
    <w:rsid w:val="00123A7D"/>
    <w:rsid w:val="00123DEF"/>
    <w:rsid w:val="00123F4E"/>
    <w:rsid w:val="001252A0"/>
    <w:rsid w:val="0013060D"/>
    <w:rsid w:val="00130B51"/>
    <w:rsid w:val="00130DA4"/>
    <w:rsid w:val="00130FF5"/>
    <w:rsid w:val="00131A7B"/>
    <w:rsid w:val="00133CE0"/>
    <w:rsid w:val="001340F7"/>
    <w:rsid w:val="001344E4"/>
    <w:rsid w:val="00134880"/>
    <w:rsid w:val="00134BAD"/>
    <w:rsid w:val="00134EB1"/>
    <w:rsid w:val="001352A3"/>
    <w:rsid w:val="001401FE"/>
    <w:rsid w:val="00140D9A"/>
    <w:rsid w:val="001412E1"/>
    <w:rsid w:val="0014133C"/>
    <w:rsid w:val="0014212F"/>
    <w:rsid w:val="00143109"/>
    <w:rsid w:val="0014323C"/>
    <w:rsid w:val="00144617"/>
    <w:rsid w:val="00144B3F"/>
    <w:rsid w:val="00144F51"/>
    <w:rsid w:val="0014678A"/>
    <w:rsid w:val="001479D2"/>
    <w:rsid w:val="001500E7"/>
    <w:rsid w:val="00150E4F"/>
    <w:rsid w:val="00151614"/>
    <w:rsid w:val="00152108"/>
    <w:rsid w:val="00152387"/>
    <w:rsid w:val="00152576"/>
    <w:rsid w:val="001527B8"/>
    <w:rsid w:val="0015336A"/>
    <w:rsid w:val="001536D2"/>
    <w:rsid w:val="00153A3A"/>
    <w:rsid w:val="00153B9D"/>
    <w:rsid w:val="0015472F"/>
    <w:rsid w:val="00155DCC"/>
    <w:rsid w:val="00161D52"/>
    <w:rsid w:val="00162AA2"/>
    <w:rsid w:val="00163383"/>
    <w:rsid w:val="00163E05"/>
    <w:rsid w:val="0016546B"/>
    <w:rsid w:val="001659E8"/>
    <w:rsid w:val="00166C79"/>
    <w:rsid w:val="001671E2"/>
    <w:rsid w:val="00167E99"/>
    <w:rsid w:val="0017075F"/>
    <w:rsid w:val="00171AEB"/>
    <w:rsid w:val="001722D1"/>
    <w:rsid w:val="0017361F"/>
    <w:rsid w:val="00174517"/>
    <w:rsid w:val="00174B55"/>
    <w:rsid w:val="00175E32"/>
    <w:rsid w:val="00176C70"/>
    <w:rsid w:val="00177095"/>
    <w:rsid w:val="0017762F"/>
    <w:rsid w:val="00181CDE"/>
    <w:rsid w:val="001822F1"/>
    <w:rsid w:val="00182532"/>
    <w:rsid w:val="00182F98"/>
    <w:rsid w:val="0018310E"/>
    <w:rsid w:val="0018329D"/>
    <w:rsid w:val="001837CB"/>
    <w:rsid w:val="00184201"/>
    <w:rsid w:val="00184265"/>
    <w:rsid w:val="00184ED7"/>
    <w:rsid w:val="00185030"/>
    <w:rsid w:val="0018541F"/>
    <w:rsid w:val="00186591"/>
    <w:rsid w:val="00186D9A"/>
    <w:rsid w:val="001877B9"/>
    <w:rsid w:val="0018782E"/>
    <w:rsid w:val="00187AC1"/>
    <w:rsid w:val="00187C8C"/>
    <w:rsid w:val="00187E07"/>
    <w:rsid w:val="00191994"/>
    <w:rsid w:val="00192D4A"/>
    <w:rsid w:val="00193191"/>
    <w:rsid w:val="001945F2"/>
    <w:rsid w:val="00194DE6"/>
    <w:rsid w:val="00195594"/>
    <w:rsid w:val="00195A96"/>
    <w:rsid w:val="00195E24"/>
    <w:rsid w:val="00196C5D"/>
    <w:rsid w:val="00197010"/>
    <w:rsid w:val="001A0382"/>
    <w:rsid w:val="001A1C96"/>
    <w:rsid w:val="001A1E5D"/>
    <w:rsid w:val="001A4E08"/>
    <w:rsid w:val="001A5499"/>
    <w:rsid w:val="001A587D"/>
    <w:rsid w:val="001A650B"/>
    <w:rsid w:val="001A75B1"/>
    <w:rsid w:val="001B0BDD"/>
    <w:rsid w:val="001B16BB"/>
    <w:rsid w:val="001B1A42"/>
    <w:rsid w:val="001B2844"/>
    <w:rsid w:val="001B2F61"/>
    <w:rsid w:val="001B38A7"/>
    <w:rsid w:val="001B4DAC"/>
    <w:rsid w:val="001B56A5"/>
    <w:rsid w:val="001B56FC"/>
    <w:rsid w:val="001B585E"/>
    <w:rsid w:val="001B67B7"/>
    <w:rsid w:val="001B6970"/>
    <w:rsid w:val="001B6A79"/>
    <w:rsid w:val="001B7C9E"/>
    <w:rsid w:val="001C0044"/>
    <w:rsid w:val="001C0500"/>
    <w:rsid w:val="001C0638"/>
    <w:rsid w:val="001C0C40"/>
    <w:rsid w:val="001C1106"/>
    <w:rsid w:val="001C13A2"/>
    <w:rsid w:val="001C26BC"/>
    <w:rsid w:val="001C2AC2"/>
    <w:rsid w:val="001C3FED"/>
    <w:rsid w:val="001C4394"/>
    <w:rsid w:val="001C48D7"/>
    <w:rsid w:val="001C4C7B"/>
    <w:rsid w:val="001C5E83"/>
    <w:rsid w:val="001C685D"/>
    <w:rsid w:val="001C6CCE"/>
    <w:rsid w:val="001C72D8"/>
    <w:rsid w:val="001C7BA0"/>
    <w:rsid w:val="001D0AB2"/>
    <w:rsid w:val="001D1658"/>
    <w:rsid w:val="001D2C63"/>
    <w:rsid w:val="001D3079"/>
    <w:rsid w:val="001D468A"/>
    <w:rsid w:val="001D6AFD"/>
    <w:rsid w:val="001D7F51"/>
    <w:rsid w:val="001E1E26"/>
    <w:rsid w:val="001E2140"/>
    <w:rsid w:val="001E3B88"/>
    <w:rsid w:val="001E3FAB"/>
    <w:rsid w:val="001E4143"/>
    <w:rsid w:val="001E4304"/>
    <w:rsid w:val="001E50C5"/>
    <w:rsid w:val="001E521E"/>
    <w:rsid w:val="001E53FA"/>
    <w:rsid w:val="001E67F3"/>
    <w:rsid w:val="001E6966"/>
    <w:rsid w:val="001E6E29"/>
    <w:rsid w:val="001F09B3"/>
    <w:rsid w:val="001F1839"/>
    <w:rsid w:val="001F24D4"/>
    <w:rsid w:val="001F48B0"/>
    <w:rsid w:val="001F4ABD"/>
    <w:rsid w:val="001F4E94"/>
    <w:rsid w:val="001F5AB6"/>
    <w:rsid w:val="001F6122"/>
    <w:rsid w:val="001F76D7"/>
    <w:rsid w:val="00200853"/>
    <w:rsid w:val="002022CD"/>
    <w:rsid w:val="0020274E"/>
    <w:rsid w:val="00203520"/>
    <w:rsid w:val="0020368E"/>
    <w:rsid w:val="00204BD7"/>
    <w:rsid w:val="00205ECE"/>
    <w:rsid w:val="00207323"/>
    <w:rsid w:val="00207688"/>
    <w:rsid w:val="0021124E"/>
    <w:rsid w:val="00211A23"/>
    <w:rsid w:val="00211B38"/>
    <w:rsid w:val="00211E4E"/>
    <w:rsid w:val="00214E7B"/>
    <w:rsid w:val="002162B5"/>
    <w:rsid w:val="002167C7"/>
    <w:rsid w:val="00217DA2"/>
    <w:rsid w:val="0022026E"/>
    <w:rsid w:val="00220D51"/>
    <w:rsid w:val="002211E1"/>
    <w:rsid w:val="00221CF4"/>
    <w:rsid w:val="00222EF4"/>
    <w:rsid w:val="00224B44"/>
    <w:rsid w:val="00224B4F"/>
    <w:rsid w:val="00224F08"/>
    <w:rsid w:val="00226B4C"/>
    <w:rsid w:val="0022710F"/>
    <w:rsid w:val="00227FDE"/>
    <w:rsid w:val="0023072F"/>
    <w:rsid w:val="00230791"/>
    <w:rsid w:val="002333FC"/>
    <w:rsid w:val="0023482F"/>
    <w:rsid w:val="002366A7"/>
    <w:rsid w:val="00237449"/>
    <w:rsid w:val="00240A4D"/>
    <w:rsid w:val="00241C27"/>
    <w:rsid w:val="0024206C"/>
    <w:rsid w:val="002421C7"/>
    <w:rsid w:val="002421EC"/>
    <w:rsid w:val="00242DB1"/>
    <w:rsid w:val="00242FA8"/>
    <w:rsid w:val="00243A7E"/>
    <w:rsid w:val="00246F0D"/>
    <w:rsid w:val="002473F6"/>
    <w:rsid w:val="00247E8A"/>
    <w:rsid w:val="002504AC"/>
    <w:rsid w:val="00250556"/>
    <w:rsid w:val="0025141D"/>
    <w:rsid w:val="00251693"/>
    <w:rsid w:val="00251DD3"/>
    <w:rsid w:val="0025242F"/>
    <w:rsid w:val="002525E8"/>
    <w:rsid w:val="00252C91"/>
    <w:rsid w:val="00253082"/>
    <w:rsid w:val="00253551"/>
    <w:rsid w:val="00253F67"/>
    <w:rsid w:val="002546FC"/>
    <w:rsid w:val="00255B85"/>
    <w:rsid w:val="00255BA3"/>
    <w:rsid w:val="00255CF8"/>
    <w:rsid w:val="00256C36"/>
    <w:rsid w:val="00256C45"/>
    <w:rsid w:val="002574EC"/>
    <w:rsid w:val="00257C94"/>
    <w:rsid w:val="002600B1"/>
    <w:rsid w:val="00261604"/>
    <w:rsid w:val="00261A6E"/>
    <w:rsid w:val="00262AC7"/>
    <w:rsid w:val="00263DE4"/>
    <w:rsid w:val="0026455C"/>
    <w:rsid w:val="00264FBD"/>
    <w:rsid w:val="0026589B"/>
    <w:rsid w:val="00266321"/>
    <w:rsid w:val="002663E9"/>
    <w:rsid w:val="00266419"/>
    <w:rsid w:val="00267938"/>
    <w:rsid w:val="00270AC4"/>
    <w:rsid w:val="00270D94"/>
    <w:rsid w:val="00271409"/>
    <w:rsid w:val="00272724"/>
    <w:rsid w:val="0027426F"/>
    <w:rsid w:val="002742CE"/>
    <w:rsid w:val="00274806"/>
    <w:rsid w:val="00274C2E"/>
    <w:rsid w:val="002754E7"/>
    <w:rsid w:val="002756DD"/>
    <w:rsid w:val="00276468"/>
    <w:rsid w:val="002764C2"/>
    <w:rsid w:val="002766EE"/>
    <w:rsid w:val="0027674B"/>
    <w:rsid w:val="00276829"/>
    <w:rsid w:val="00276D5E"/>
    <w:rsid w:val="00280277"/>
    <w:rsid w:val="002802E1"/>
    <w:rsid w:val="00280760"/>
    <w:rsid w:val="00281C91"/>
    <w:rsid w:val="002822DB"/>
    <w:rsid w:val="00282625"/>
    <w:rsid w:val="00283D66"/>
    <w:rsid w:val="00283FF5"/>
    <w:rsid w:val="002841C9"/>
    <w:rsid w:val="00284999"/>
    <w:rsid w:val="0028609A"/>
    <w:rsid w:val="0028646C"/>
    <w:rsid w:val="00287CE2"/>
    <w:rsid w:val="002903D8"/>
    <w:rsid w:val="0029233B"/>
    <w:rsid w:val="00292871"/>
    <w:rsid w:val="00294480"/>
    <w:rsid w:val="002949F5"/>
    <w:rsid w:val="00294AA3"/>
    <w:rsid w:val="00294BAB"/>
    <w:rsid w:val="00294CA1"/>
    <w:rsid w:val="00294CC6"/>
    <w:rsid w:val="002951FD"/>
    <w:rsid w:val="00295A01"/>
    <w:rsid w:val="00296A3F"/>
    <w:rsid w:val="0029758C"/>
    <w:rsid w:val="002A026C"/>
    <w:rsid w:val="002A0CAD"/>
    <w:rsid w:val="002A2389"/>
    <w:rsid w:val="002A32D1"/>
    <w:rsid w:val="002A386D"/>
    <w:rsid w:val="002A4366"/>
    <w:rsid w:val="002A4BA9"/>
    <w:rsid w:val="002A4BDE"/>
    <w:rsid w:val="002A5241"/>
    <w:rsid w:val="002A65CC"/>
    <w:rsid w:val="002A789C"/>
    <w:rsid w:val="002B0189"/>
    <w:rsid w:val="002B0660"/>
    <w:rsid w:val="002B0A15"/>
    <w:rsid w:val="002B0A9C"/>
    <w:rsid w:val="002B19D9"/>
    <w:rsid w:val="002B2437"/>
    <w:rsid w:val="002B2C96"/>
    <w:rsid w:val="002B382C"/>
    <w:rsid w:val="002B3D0F"/>
    <w:rsid w:val="002B40E8"/>
    <w:rsid w:val="002B427D"/>
    <w:rsid w:val="002B5024"/>
    <w:rsid w:val="002B6471"/>
    <w:rsid w:val="002B6B82"/>
    <w:rsid w:val="002B7B2F"/>
    <w:rsid w:val="002C02AE"/>
    <w:rsid w:val="002C113E"/>
    <w:rsid w:val="002C1248"/>
    <w:rsid w:val="002C29BD"/>
    <w:rsid w:val="002C45DB"/>
    <w:rsid w:val="002C47EC"/>
    <w:rsid w:val="002C4D6C"/>
    <w:rsid w:val="002C6A11"/>
    <w:rsid w:val="002D0FA0"/>
    <w:rsid w:val="002D218C"/>
    <w:rsid w:val="002D3207"/>
    <w:rsid w:val="002D3CA4"/>
    <w:rsid w:val="002D689A"/>
    <w:rsid w:val="002E1824"/>
    <w:rsid w:val="002E2771"/>
    <w:rsid w:val="002E281A"/>
    <w:rsid w:val="002E2E87"/>
    <w:rsid w:val="002E4072"/>
    <w:rsid w:val="002E4DA4"/>
    <w:rsid w:val="002E4FC0"/>
    <w:rsid w:val="002E756D"/>
    <w:rsid w:val="002F127A"/>
    <w:rsid w:val="002F1CCE"/>
    <w:rsid w:val="002F31F7"/>
    <w:rsid w:val="002F3AD0"/>
    <w:rsid w:val="002F42D0"/>
    <w:rsid w:val="002F4919"/>
    <w:rsid w:val="002F5CB7"/>
    <w:rsid w:val="002F7A00"/>
    <w:rsid w:val="002F7BFD"/>
    <w:rsid w:val="00300FF8"/>
    <w:rsid w:val="00302822"/>
    <w:rsid w:val="00303B57"/>
    <w:rsid w:val="0030413B"/>
    <w:rsid w:val="00305C4E"/>
    <w:rsid w:val="00307119"/>
    <w:rsid w:val="0030735E"/>
    <w:rsid w:val="0030769A"/>
    <w:rsid w:val="00307822"/>
    <w:rsid w:val="00307943"/>
    <w:rsid w:val="00310CD0"/>
    <w:rsid w:val="00312DF1"/>
    <w:rsid w:val="003132E4"/>
    <w:rsid w:val="0031346E"/>
    <w:rsid w:val="00313C3B"/>
    <w:rsid w:val="0031526C"/>
    <w:rsid w:val="00316125"/>
    <w:rsid w:val="003165B6"/>
    <w:rsid w:val="003168E7"/>
    <w:rsid w:val="00317C62"/>
    <w:rsid w:val="00320E0B"/>
    <w:rsid w:val="00321E62"/>
    <w:rsid w:val="003220AD"/>
    <w:rsid w:val="003223CB"/>
    <w:rsid w:val="003227FD"/>
    <w:rsid w:val="00322960"/>
    <w:rsid w:val="00323267"/>
    <w:rsid w:val="00323830"/>
    <w:rsid w:val="00323D36"/>
    <w:rsid w:val="00323FBB"/>
    <w:rsid w:val="003245F2"/>
    <w:rsid w:val="00324BA6"/>
    <w:rsid w:val="003250E6"/>
    <w:rsid w:val="0032558C"/>
    <w:rsid w:val="00326226"/>
    <w:rsid w:val="00326ED6"/>
    <w:rsid w:val="0033116F"/>
    <w:rsid w:val="00331414"/>
    <w:rsid w:val="00331740"/>
    <w:rsid w:val="00331A4E"/>
    <w:rsid w:val="00333823"/>
    <w:rsid w:val="0033425F"/>
    <w:rsid w:val="00334672"/>
    <w:rsid w:val="00334ED8"/>
    <w:rsid w:val="003366ED"/>
    <w:rsid w:val="00336EFF"/>
    <w:rsid w:val="00337129"/>
    <w:rsid w:val="003402BB"/>
    <w:rsid w:val="00340C80"/>
    <w:rsid w:val="0034264B"/>
    <w:rsid w:val="00342822"/>
    <w:rsid w:val="003434B7"/>
    <w:rsid w:val="00343764"/>
    <w:rsid w:val="00343D9D"/>
    <w:rsid w:val="00343E7E"/>
    <w:rsid w:val="00344442"/>
    <w:rsid w:val="00345BF3"/>
    <w:rsid w:val="00345CD6"/>
    <w:rsid w:val="00346B8F"/>
    <w:rsid w:val="00350049"/>
    <w:rsid w:val="00350D81"/>
    <w:rsid w:val="0035385C"/>
    <w:rsid w:val="003549AF"/>
    <w:rsid w:val="00354A0B"/>
    <w:rsid w:val="00355505"/>
    <w:rsid w:val="00355BB1"/>
    <w:rsid w:val="00356A06"/>
    <w:rsid w:val="00356B26"/>
    <w:rsid w:val="00357298"/>
    <w:rsid w:val="00361837"/>
    <w:rsid w:val="00362A83"/>
    <w:rsid w:val="00363361"/>
    <w:rsid w:val="00365B99"/>
    <w:rsid w:val="00365DC1"/>
    <w:rsid w:val="0036741E"/>
    <w:rsid w:val="00370A1A"/>
    <w:rsid w:val="00370F4C"/>
    <w:rsid w:val="00370FDE"/>
    <w:rsid w:val="00371353"/>
    <w:rsid w:val="00371518"/>
    <w:rsid w:val="003725DD"/>
    <w:rsid w:val="00374742"/>
    <w:rsid w:val="00374873"/>
    <w:rsid w:val="003749DB"/>
    <w:rsid w:val="00374F38"/>
    <w:rsid w:val="00380B73"/>
    <w:rsid w:val="00380BFA"/>
    <w:rsid w:val="00381155"/>
    <w:rsid w:val="0038334C"/>
    <w:rsid w:val="003837EF"/>
    <w:rsid w:val="003838F4"/>
    <w:rsid w:val="00383B9B"/>
    <w:rsid w:val="00385EA4"/>
    <w:rsid w:val="00387E34"/>
    <w:rsid w:val="00390735"/>
    <w:rsid w:val="0039255B"/>
    <w:rsid w:val="00392DFF"/>
    <w:rsid w:val="003930B6"/>
    <w:rsid w:val="003935C4"/>
    <w:rsid w:val="00394A4D"/>
    <w:rsid w:val="00395368"/>
    <w:rsid w:val="0039540C"/>
    <w:rsid w:val="003968DD"/>
    <w:rsid w:val="00396E82"/>
    <w:rsid w:val="00396FCA"/>
    <w:rsid w:val="003978C8"/>
    <w:rsid w:val="003A0584"/>
    <w:rsid w:val="003A16B3"/>
    <w:rsid w:val="003A196A"/>
    <w:rsid w:val="003A2DD8"/>
    <w:rsid w:val="003A3963"/>
    <w:rsid w:val="003A4C12"/>
    <w:rsid w:val="003A55F6"/>
    <w:rsid w:val="003A64FD"/>
    <w:rsid w:val="003A6737"/>
    <w:rsid w:val="003B001D"/>
    <w:rsid w:val="003B10C1"/>
    <w:rsid w:val="003B1277"/>
    <w:rsid w:val="003B19AD"/>
    <w:rsid w:val="003B19E3"/>
    <w:rsid w:val="003B1B5C"/>
    <w:rsid w:val="003B2298"/>
    <w:rsid w:val="003B34DA"/>
    <w:rsid w:val="003B5074"/>
    <w:rsid w:val="003B50B9"/>
    <w:rsid w:val="003B59D5"/>
    <w:rsid w:val="003B681E"/>
    <w:rsid w:val="003B6AF7"/>
    <w:rsid w:val="003B724F"/>
    <w:rsid w:val="003B7DC4"/>
    <w:rsid w:val="003C1BEE"/>
    <w:rsid w:val="003C2266"/>
    <w:rsid w:val="003C2DA5"/>
    <w:rsid w:val="003C3D26"/>
    <w:rsid w:val="003C448C"/>
    <w:rsid w:val="003C5ACF"/>
    <w:rsid w:val="003C60A8"/>
    <w:rsid w:val="003C659A"/>
    <w:rsid w:val="003C75C2"/>
    <w:rsid w:val="003D0DEC"/>
    <w:rsid w:val="003D12B3"/>
    <w:rsid w:val="003D215D"/>
    <w:rsid w:val="003D30D1"/>
    <w:rsid w:val="003D3525"/>
    <w:rsid w:val="003D3EB9"/>
    <w:rsid w:val="003D6196"/>
    <w:rsid w:val="003D703D"/>
    <w:rsid w:val="003D7A6B"/>
    <w:rsid w:val="003E0164"/>
    <w:rsid w:val="003E0CAC"/>
    <w:rsid w:val="003E208E"/>
    <w:rsid w:val="003E2547"/>
    <w:rsid w:val="003E43EA"/>
    <w:rsid w:val="003E57C3"/>
    <w:rsid w:val="003E7122"/>
    <w:rsid w:val="003E77FB"/>
    <w:rsid w:val="003E780F"/>
    <w:rsid w:val="003F29E0"/>
    <w:rsid w:val="003F2C37"/>
    <w:rsid w:val="003F406A"/>
    <w:rsid w:val="003F48BF"/>
    <w:rsid w:val="003F4F2E"/>
    <w:rsid w:val="003F5041"/>
    <w:rsid w:val="003F5152"/>
    <w:rsid w:val="003F57D1"/>
    <w:rsid w:val="003F5A5E"/>
    <w:rsid w:val="003F74A7"/>
    <w:rsid w:val="00400AD2"/>
    <w:rsid w:val="00400D5D"/>
    <w:rsid w:val="004017B0"/>
    <w:rsid w:val="00401E67"/>
    <w:rsid w:val="004027F6"/>
    <w:rsid w:val="00402B1E"/>
    <w:rsid w:val="00403938"/>
    <w:rsid w:val="004048D8"/>
    <w:rsid w:val="00404FFF"/>
    <w:rsid w:val="004073E3"/>
    <w:rsid w:val="004106B0"/>
    <w:rsid w:val="0041224B"/>
    <w:rsid w:val="00412284"/>
    <w:rsid w:val="0041236D"/>
    <w:rsid w:val="00412AF5"/>
    <w:rsid w:val="00413709"/>
    <w:rsid w:val="00415338"/>
    <w:rsid w:val="00415884"/>
    <w:rsid w:val="004168B6"/>
    <w:rsid w:val="00417916"/>
    <w:rsid w:val="00417988"/>
    <w:rsid w:val="0042211A"/>
    <w:rsid w:val="00423AB1"/>
    <w:rsid w:val="00423ACC"/>
    <w:rsid w:val="00423B41"/>
    <w:rsid w:val="00423EDD"/>
    <w:rsid w:val="004247B6"/>
    <w:rsid w:val="00424AE5"/>
    <w:rsid w:val="00424FCB"/>
    <w:rsid w:val="00425C38"/>
    <w:rsid w:val="00427438"/>
    <w:rsid w:val="0043035E"/>
    <w:rsid w:val="00430614"/>
    <w:rsid w:val="00430F43"/>
    <w:rsid w:val="00430FCB"/>
    <w:rsid w:val="0043237E"/>
    <w:rsid w:val="00434444"/>
    <w:rsid w:val="00435C4F"/>
    <w:rsid w:val="00436CB8"/>
    <w:rsid w:val="0044094E"/>
    <w:rsid w:val="00440F18"/>
    <w:rsid w:val="0044189F"/>
    <w:rsid w:val="004421C7"/>
    <w:rsid w:val="00442E64"/>
    <w:rsid w:val="004432C0"/>
    <w:rsid w:val="004434AB"/>
    <w:rsid w:val="004435FA"/>
    <w:rsid w:val="00443E1D"/>
    <w:rsid w:val="00443E24"/>
    <w:rsid w:val="00443EE9"/>
    <w:rsid w:val="0044461E"/>
    <w:rsid w:val="00445D61"/>
    <w:rsid w:val="00446981"/>
    <w:rsid w:val="0044732A"/>
    <w:rsid w:val="004504C0"/>
    <w:rsid w:val="00450B72"/>
    <w:rsid w:val="00450DDB"/>
    <w:rsid w:val="0045166E"/>
    <w:rsid w:val="00452709"/>
    <w:rsid w:val="00453026"/>
    <w:rsid w:val="004539AA"/>
    <w:rsid w:val="00456C39"/>
    <w:rsid w:val="00456F03"/>
    <w:rsid w:val="004602F9"/>
    <w:rsid w:val="0046127B"/>
    <w:rsid w:val="004625E4"/>
    <w:rsid w:val="0046262B"/>
    <w:rsid w:val="004631AF"/>
    <w:rsid w:val="004647B1"/>
    <w:rsid w:val="00464E6A"/>
    <w:rsid w:val="00464EE1"/>
    <w:rsid w:val="00465771"/>
    <w:rsid w:val="00466830"/>
    <w:rsid w:val="00466F33"/>
    <w:rsid w:val="0047134E"/>
    <w:rsid w:val="0047174C"/>
    <w:rsid w:val="00472A0F"/>
    <w:rsid w:val="00474FD9"/>
    <w:rsid w:val="004750CE"/>
    <w:rsid w:val="00475CC6"/>
    <w:rsid w:val="00475F86"/>
    <w:rsid w:val="0047776E"/>
    <w:rsid w:val="00477A58"/>
    <w:rsid w:val="00480089"/>
    <w:rsid w:val="00480434"/>
    <w:rsid w:val="0048046B"/>
    <w:rsid w:val="00480F88"/>
    <w:rsid w:val="004818DD"/>
    <w:rsid w:val="0048228E"/>
    <w:rsid w:val="00483478"/>
    <w:rsid w:val="00483537"/>
    <w:rsid w:val="0048440B"/>
    <w:rsid w:val="004849DE"/>
    <w:rsid w:val="00484ECC"/>
    <w:rsid w:val="004860B6"/>
    <w:rsid w:val="00486670"/>
    <w:rsid w:val="0048673A"/>
    <w:rsid w:val="00486752"/>
    <w:rsid w:val="004867A9"/>
    <w:rsid w:val="0048723E"/>
    <w:rsid w:val="0049099D"/>
    <w:rsid w:val="00490B1D"/>
    <w:rsid w:val="0049135C"/>
    <w:rsid w:val="00491745"/>
    <w:rsid w:val="00493CBE"/>
    <w:rsid w:val="00493FC3"/>
    <w:rsid w:val="00495310"/>
    <w:rsid w:val="00495897"/>
    <w:rsid w:val="004A053C"/>
    <w:rsid w:val="004A060D"/>
    <w:rsid w:val="004A1F47"/>
    <w:rsid w:val="004A24B9"/>
    <w:rsid w:val="004A3FC1"/>
    <w:rsid w:val="004A41D0"/>
    <w:rsid w:val="004A426B"/>
    <w:rsid w:val="004A4357"/>
    <w:rsid w:val="004A455B"/>
    <w:rsid w:val="004A4689"/>
    <w:rsid w:val="004A46AA"/>
    <w:rsid w:val="004A47C7"/>
    <w:rsid w:val="004A704B"/>
    <w:rsid w:val="004B0EAE"/>
    <w:rsid w:val="004B150E"/>
    <w:rsid w:val="004B1810"/>
    <w:rsid w:val="004B43A3"/>
    <w:rsid w:val="004B5BD5"/>
    <w:rsid w:val="004B5D26"/>
    <w:rsid w:val="004B64C0"/>
    <w:rsid w:val="004B67FF"/>
    <w:rsid w:val="004B7045"/>
    <w:rsid w:val="004B77FC"/>
    <w:rsid w:val="004B7C3B"/>
    <w:rsid w:val="004C076B"/>
    <w:rsid w:val="004C0A26"/>
    <w:rsid w:val="004C3658"/>
    <w:rsid w:val="004C5140"/>
    <w:rsid w:val="004C5FF7"/>
    <w:rsid w:val="004C7610"/>
    <w:rsid w:val="004C7805"/>
    <w:rsid w:val="004C7840"/>
    <w:rsid w:val="004C7AAB"/>
    <w:rsid w:val="004C7E5D"/>
    <w:rsid w:val="004C7F25"/>
    <w:rsid w:val="004D0168"/>
    <w:rsid w:val="004D26F7"/>
    <w:rsid w:val="004D306A"/>
    <w:rsid w:val="004D3812"/>
    <w:rsid w:val="004D5B07"/>
    <w:rsid w:val="004D6CD5"/>
    <w:rsid w:val="004D720F"/>
    <w:rsid w:val="004D7DBE"/>
    <w:rsid w:val="004E0B46"/>
    <w:rsid w:val="004E1BF6"/>
    <w:rsid w:val="004E4A98"/>
    <w:rsid w:val="004E557E"/>
    <w:rsid w:val="004E5713"/>
    <w:rsid w:val="004E5BB1"/>
    <w:rsid w:val="004E6D5D"/>
    <w:rsid w:val="004E7351"/>
    <w:rsid w:val="004F1235"/>
    <w:rsid w:val="004F1319"/>
    <w:rsid w:val="004F1D2B"/>
    <w:rsid w:val="004F26D4"/>
    <w:rsid w:val="004F3741"/>
    <w:rsid w:val="004F3ED8"/>
    <w:rsid w:val="004F4D65"/>
    <w:rsid w:val="004F5DA9"/>
    <w:rsid w:val="004F5F5B"/>
    <w:rsid w:val="005002E1"/>
    <w:rsid w:val="00501BEA"/>
    <w:rsid w:val="00502633"/>
    <w:rsid w:val="00503E8D"/>
    <w:rsid w:val="00504302"/>
    <w:rsid w:val="00505472"/>
    <w:rsid w:val="00505AFD"/>
    <w:rsid w:val="00505CA1"/>
    <w:rsid w:val="00505F55"/>
    <w:rsid w:val="00506284"/>
    <w:rsid w:val="00506DD2"/>
    <w:rsid w:val="00507518"/>
    <w:rsid w:val="005077F7"/>
    <w:rsid w:val="00511581"/>
    <w:rsid w:val="00512861"/>
    <w:rsid w:val="00512EB3"/>
    <w:rsid w:val="00513D94"/>
    <w:rsid w:val="00515B96"/>
    <w:rsid w:val="0051664F"/>
    <w:rsid w:val="00517B24"/>
    <w:rsid w:val="00522C32"/>
    <w:rsid w:val="00524183"/>
    <w:rsid w:val="0052437D"/>
    <w:rsid w:val="00526B71"/>
    <w:rsid w:val="0052727C"/>
    <w:rsid w:val="00527891"/>
    <w:rsid w:val="00530199"/>
    <w:rsid w:val="0053060D"/>
    <w:rsid w:val="005312C4"/>
    <w:rsid w:val="005319C7"/>
    <w:rsid w:val="00532046"/>
    <w:rsid w:val="00532155"/>
    <w:rsid w:val="00533932"/>
    <w:rsid w:val="005349AB"/>
    <w:rsid w:val="00535249"/>
    <w:rsid w:val="005357B0"/>
    <w:rsid w:val="00536336"/>
    <w:rsid w:val="00536354"/>
    <w:rsid w:val="00536F3C"/>
    <w:rsid w:val="00540E1C"/>
    <w:rsid w:val="00540E8B"/>
    <w:rsid w:val="00540EF2"/>
    <w:rsid w:val="00541BAB"/>
    <w:rsid w:val="0054224F"/>
    <w:rsid w:val="00543DD0"/>
    <w:rsid w:val="00544676"/>
    <w:rsid w:val="00544EC5"/>
    <w:rsid w:val="005469D6"/>
    <w:rsid w:val="00546A46"/>
    <w:rsid w:val="005473C6"/>
    <w:rsid w:val="00547D18"/>
    <w:rsid w:val="005502D0"/>
    <w:rsid w:val="0055091F"/>
    <w:rsid w:val="00550B60"/>
    <w:rsid w:val="00552507"/>
    <w:rsid w:val="00553AA4"/>
    <w:rsid w:val="00555214"/>
    <w:rsid w:val="005552E7"/>
    <w:rsid w:val="005561AB"/>
    <w:rsid w:val="00557566"/>
    <w:rsid w:val="0055785A"/>
    <w:rsid w:val="00557D25"/>
    <w:rsid w:val="00560F75"/>
    <w:rsid w:val="0056180E"/>
    <w:rsid w:val="00561DA7"/>
    <w:rsid w:val="005642AD"/>
    <w:rsid w:val="00564EC9"/>
    <w:rsid w:val="00565991"/>
    <w:rsid w:val="00570164"/>
    <w:rsid w:val="0057017A"/>
    <w:rsid w:val="00571000"/>
    <w:rsid w:val="00571A39"/>
    <w:rsid w:val="005751E4"/>
    <w:rsid w:val="00580671"/>
    <w:rsid w:val="00580C1C"/>
    <w:rsid w:val="00580FAB"/>
    <w:rsid w:val="00581822"/>
    <w:rsid w:val="005833F3"/>
    <w:rsid w:val="00583714"/>
    <w:rsid w:val="00584017"/>
    <w:rsid w:val="00584F3A"/>
    <w:rsid w:val="00584F92"/>
    <w:rsid w:val="00584FD3"/>
    <w:rsid w:val="00585A26"/>
    <w:rsid w:val="00587D12"/>
    <w:rsid w:val="00587EDC"/>
    <w:rsid w:val="00590957"/>
    <w:rsid w:val="00590D85"/>
    <w:rsid w:val="00590E96"/>
    <w:rsid w:val="0059147F"/>
    <w:rsid w:val="00591ECB"/>
    <w:rsid w:val="00592717"/>
    <w:rsid w:val="005927F9"/>
    <w:rsid w:val="005928B7"/>
    <w:rsid w:val="00592BCD"/>
    <w:rsid w:val="0059435C"/>
    <w:rsid w:val="00595081"/>
    <w:rsid w:val="00595740"/>
    <w:rsid w:val="00595D6B"/>
    <w:rsid w:val="00597014"/>
    <w:rsid w:val="00597CFC"/>
    <w:rsid w:val="005A019D"/>
    <w:rsid w:val="005A0746"/>
    <w:rsid w:val="005A0E64"/>
    <w:rsid w:val="005A227E"/>
    <w:rsid w:val="005A311B"/>
    <w:rsid w:val="005A34F1"/>
    <w:rsid w:val="005A545B"/>
    <w:rsid w:val="005A6835"/>
    <w:rsid w:val="005A7B3B"/>
    <w:rsid w:val="005B0C8A"/>
    <w:rsid w:val="005B150F"/>
    <w:rsid w:val="005B1648"/>
    <w:rsid w:val="005B1E6C"/>
    <w:rsid w:val="005B2A1C"/>
    <w:rsid w:val="005B4052"/>
    <w:rsid w:val="005B4080"/>
    <w:rsid w:val="005B4E04"/>
    <w:rsid w:val="005B52A7"/>
    <w:rsid w:val="005B5576"/>
    <w:rsid w:val="005B5C4D"/>
    <w:rsid w:val="005B68A2"/>
    <w:rsid w:val="005C0476"/>
    <w:rsid w:val="005C1750"/>
    <w:rsid w:val="005C1F2B"/>
    <w:rsid w:val="005C4368"/>
    <w:rsid w:val="005C523D"/>
    <w:rsid w:val="005C79FB"/>
    <w:rsid w:val="005C7E6A"/>
    <w:rsid w:val="005D061D"/>
    <w:rsid w:val="005D0850"/>
    <w:rsid w:val="005D0C8E"/>
    <w:rsid w:val="005D1E8D"/>
    <w:rsid w:val="005D20F5"/>
    <w:rsid w:val="005D2716"/>
    <w:rsid w:val="005D2A90"/>
    <w:rsid w:val="005D35F1"/>
    <w:rsid w:val="005D35FE"/>
    <w:rsid w:val="005D4996"/>
    <w:rsid w:val="005D4DD7"/>
    <w:rsid w:val="005D4E71"/>
    <w:rsid w:val="005D5109"/>
    <w:rsid w:val="005D582A"/>
    <w:rsid w:val="005D5EF4"/>
    <w:rsid w:val="005D5FE2"/>
    <w:rsid w:val="005D6167"/>
    <w:rsid w:val="005D74F8"/>
    <w:rsid w:val="005E007E"/>
    <w:rsid w:val="005E05C9"/>
    <w:rsid w:val="005E1BAA"/>
    <w:rsid w:val="005E334E"/>
    <w:rsid w:val="005E346E"/>
    <w:rsid w:val="005E469F"/>
    <w:rsid w:val="005E4715"/>
    <w:rsid w:val="005E5389"/>
    <w:rsid w:val="005E5D9D"/>
    <w:rsid w:val="005E7943"/>
    <w:rsid w:val="005F090A"/>
    <w:rsid w:val="005F1035"/>
    <w:rsid w:val="005F1AF0"/>
    <w:rsid w:val="005F1AF9"/>
    <w:rsid w:val="005F2A7C"/>
    <w:rsid w:val="005F2B0A"/>
    <w:rsid w:val="005F318A"/>
    <w:rsid w:val="005F638D"/>
    <w:rsid w:val="005F6EB3"/>
    <w:rsid w:val="0060004C"/>
    <w:rsid w:val="0060322D"/>
    <w:rsid w:val="00603CC7"/>
    <w:rsid w:val="00603DB3"/>
    <w:rsid w:val="00603E1F"/>
    <w:rsid w:val="00604938"/>
    <w:rsid w:val="006059E1"/>
    <w:rsid w:val="00605BD8"/>
    <w:rsid w:val="00605C47"/>
    <w:rsid w:val="006061A2"/>
    <w:rsid w:val="00611EDB"/>
    <w:rsid w:val="0061259C"/>
    <w:rsid w:val="00613DAA"/>
    <w:rsid w:val="00613FA0"/>
    <w:rsid w:val="00614FD8"/>
    <w:rsid w:val="006159A8"/>
    <w:rsid w:val="00616D7E"/>
    <w:rsid w:val="00616DBF"/>
    <w:rsid w:val="00617918"/>
    <w:rsid w:val="0061794A"/>
    <w:rsid w:val="00620C61"/>
    <w:rsid w:val="0062162D"/>
    <w:rsid w:val="00621F7E"/>
    <w:rsid w:val="00622338"/>
    <w:rsid w:val="006230E3"/>
    <w:rsid w:val="0062396C"/>
    <w:rsid w:val="0062431A"/>
    <w:rsid w:val="006251D1"/>
    <w:rsid w:val="00626F05"/>
    <w:rsid w:val="006272F6"/>
    <w:rsid w:val="0062748E"/>
    <w:rsid w:val="00627E18"/>
    <w:rsid w:val="00627F5E"/>
    <w:rsid w:val="006302EB"/>
    <w:rsid w:val="0063180B"/>
    <w:rsid w:val="006320EA"/>
    <w:rsid w:val="006329AF"/>
    <w:rsid w:val="00633EB2"/>
    <w:rsid w:val="00635D16"/>
    <w:rsid w:val="0063629A"/>
    <w:rsid w:val="006370FF"/>
    <w:rsid w:val="00637A96"/>
    <w:rsid w:val="00637B52"/>
    <w:rsid w:val="00640BF8"/>
    <w:rsid w:val="00640EA3"/>
    <w:rsid w:val="00641513"/>
    <w:rsid w:val="0064196D"/>
    <w:rsid w:val="00642111"/>
    <w:rsid w:val="0064294F"/>
    <w:rsid w:val="00642DFD"/>
    <w:rsid w:val="0064491D"/>
    <w:rsid w:val="00645162"/>
    <w:rsid w:val="0064542F"/>
    <w:rsid w:val="006468B1"/>
    <w:rsid w:val="00647294"/>
    <w:rsid w:val="0064755B"/>
    <w:rsid w:val="00651F5A"/>
    <w:rsid w:val="0065276E"/>
    <w:rsid w:val="006549B9"/>
    <w:rsid w:val="00655BF5"/>
    <w:rsid w:val="00657335"/>
    <w:rsid w:val="00657646"/>
    <w:rsid w:val="0065785D"/>
    <w:rsid w:val="00661529"/>
    <w:rsid w:val="00662B5E"/>
    <w:rsid w:val="00663677"/>
    <w:rsid w:val="00663FFE"/>
    <w:rsid w:val="00664D00"/>
    <w:rsid w:val="00664E9A"/>
    <w:rsid w:val="006651C1"/>
    <w:rsid w:val="00666008"/>
    <w:rsid w:val="00666527"/>
    <w:rsid w:val="006668FD"/>
    <w:rsid w:val="00666B81"/>
    <w:rsid w:val="00667001"/>
    <w:rsid w:val="006674CF"/>
    <w:rsid w:val="00672E4C"/>
    <w:rsid w:val="00673800"/>
    <w:rsid w:val="00675D25"/>
    <w:rsid w:val="006767CA"/>
    <w:rsid w:val="006769D8"/>
    <w:rsid w:val="00676DD3"/>
    <w:rsid w:val="00676ECF"/>
    <w:rsid w:val="00676FE1"/>
    <w:rsid w:val="00680121"/>
    <w:rsid w:val="00680707"/>
    <w:rsid w:val="00680A03"/>
    <w:rsid w:val="00681CD0"/>
    <w:rsid w:val="00682AA7"/>
    <w:rsid w:val="00682D70"/>
    <w:rsid w:val="006833C7"/>
    <w:rsid w:val="0068360B"/>
    <w:rsid w:val="00683D33"/>
    <w:rsid w:val="006842AE"/>
    <w:rsid w:val="006851F7"/>
    <w:rsid w:val="00685ED9"/>
    <w:rsid w:val="006865BD"/>
    <w:rsid w:val="00687003"/>
    <w:rsid w:val="006870AD"/>
    <w:rsid w:val="0068738C"/>
    <w:rsid w:val="006873DA"/>
    <w:rsid w:val="006915B6"/>
    <w:rsid w:val="00691702"/>
    <w:rsid w:val="006926EC"/>
    <w:rsid w:val="00692B35"/>
    <w:rsid w:val="00693419"/>
    <w:rsid w:val="006943AF"/>
    <w:rsid w:val="0069477B"/>
    <w:rsid w:val="00696E9E"/>
    <w:rsid w:val="006975DC"/>
    <w:rsid w:val="006A067B"/>
    <w:rsid w:val="006A11D8"/>
    <w:rsid w:val="006A15ED"/>
    <w:rsid w:val="006A2191"/>
    <w:rsid w:val="006A26E7"/>
    <w:rsid w:val="006A4280"/>
    <w:rsid w:val="006A5CB4"/>
    <w:rsid w:val="006A649E"/>
    <w:rsid w:val="006A6602"/>
    <w:rsid w:val="006A739B"/>
    <w:rsid w:val="006A7542"/>
    <w:rsid w:val="006A76AE"/>
    <w:rsid w:val="006B02C5"/>
    <w:rsid w:val="006B0473"/>
    <w:rsid w:val="006B0D51"/>
    <w:rsid w:val="006B0F95"/>
    <w:rsid w:val="006B120A"/>
    <w:rsid w:val="006B180A"/>
    <w:rsid w:val="006B21E3"/>
    <w:rsid w:val="006B267A"/>
    <w:rsid w:val="006B26C4"/>
    <w:rsid w:val="006B2C81"/>
    <w:rsid w:val="006B3224"/>
    <w:rsid w:val="006B5913"/>
    <w:rsid w:val="006B631C"/>
    <w:rsid w:val="006B744C"/>
    <w:rsid w:val="006B7479"/>
    <w:rsid w:val="006C2CF0"/>
    <w:rsid w:val="006C2D59"/>
    <w:rsid w:val="006C44E6"/>
    <w:rsid w:val="006C4A01"/>
    <w:rsid w:val="006C5388"/>
    <w:rsid w:val="006C5A1F"/>
    <w:rsid w:val="006C6372"/>
    <w:rsid w:val="006D2148"/>
    <w:rsid w:val="006D49CE"/>
    <w:rsid w:val="006D5094"/>
    <w:rsid w:val="006D5FCF"/>
    <w:rsid w:val="006D7160"/>
    <w:rsid w:val="006D7805"/>
    <w:rsid w:val="006D7D34"/>
    <w:rsid w:val="006E022D"/>
    <w:rsid w:val="006E02E8"/>
    <w:rsid w:val="006E03DE"/>
    <w:rsid w:val="006E1B56"/>
    <w:rsid w:val="006E34CB"/>
    <w:rsid w:val="006E3772"/>
    <w:rsid w:val="006E379E"/>
    <w:rsid w:val="006E37A9"/>
    <w:rsid w:val="006E393E"/>
    <w:rsid w:val="006E4447"/>
    <w:rsid w:val="006E469E"/>
    <w:rsid w:val="006E5351"/>
    <w:rsid w:val="006E7153"/>
    <w:rsid w:val="006E7CE4"/>
    <w:rsid w:val="006E7D4E"/>
    <w:rsid w:val="006F03EB"/>
    <w:rsid w:val="006F0D8F"/>
    <w:rsid w:val="006F1B4B"/>
    <w:rsid w:val="006F236B"/>
    <w:rsid w:val="006F2421"/>
    <w:rsid w:val="006F257A"/>
    <w:rsid w:val="006F2E2A"/>
    <w:rsid w:val="006F3114"/>
    <w:rsid w:val="006F3415"/>
    <w:rsid w:val="006F3E1B"/>
    <w:rsid w:val="006F4FA1"/>
    <w:rsid w:val="006F5E54"/>
    <w:rsid w:val="006F6260"/>
    <w:rsid w:val="006F6BDD"/>
    <w:rsid w:val="006F6BF8"/>
    <w:rsid w:val="00700331"/>
    <w:rsid w:val="007011AE"/>
    <w:rsid w:val="007012B4"/>
    <w:rsid w:val="007046DC"/>
    <w:rsid w:val="00705086"/>
    <w:rsid w:val="00705260"/>
    <w:rsid w:val="00706026"/>
    <w:rsid w:val="007064B3"/>
    <w:rsid w:val="007066DD"/>
    <w:rsid w:val="007072E7"/>
    <w:rsid w:val="007103B4"/>
    <w:rsid w:val="007115AC"/>
    <w:rsid w:val="00711BC4"/>
    <w:rsid w:val="00712499"/>
    <w:rsid w:val="00712A49"/>
    <w:rsid w:val="00712C81"/>
    <w:rsid w:val="00713BCF"/>
    <w:rsid w:val="00716903"/>
    <w:rsid w:val="00716AEB"/>
    <w:rsid w:val="00720A77"/>
    <w:rsid w:val="007212A1"/>
    <w:rsid w:val="007216D4"/>
    <w:rsid w:val="00721BAA"/>
    <w:rsid w:val="00721FD2"/>
    <w:rsid w:val="00722680"/>
    <w:rsid w:val="00722683"/>
    <w:rsid w:val="00725C92"/>
    <w:rsid w:val="00726201"/>
    <w:rsid w:val="00726260"/>
    <w:rsid w:val="00726A23"/>
    <w:rsid w:val="00726A80"/>
    <w:rsid w:val="007272AA"/>
    <w:rsid w:val="00727475"/>
    <w:rsid w:val="007305B5"/>
    <w:rsid w:val="007322B4"/>
    <w:rsid w:val="00732F84"/>
    <w:rsid w:val="00733665"/>
    <w:rsid w:val="007342FC"/>
    <w:rsid w:val="00734FCF"/>
    <w:rsid w:val="00736025"/>
    <w:rsid w:val="00736B55"/>
    <w:rsid w:val="007403FF"/>
    <w:rsid w:val="00741459"/>
    <w:rsid w:val="00742686"/>
    <w:rsid w:val="00742910"/>
    <w:rsid w:val="00742E05"/>
    <w:rsid w:val="0074300F"/>
    <w:rsid w:val="0074347F"/>
    <w:rsid w:val="007435F0"/>
    <w:rsid w:val="007435FD"/>
    <w:rsid w:val="0074508F"/>
    <w:rsid w:val="0075001F"/>
    <w:rsid w:val="00750038"/>
    <w:rsid w:val="00750FC5"/>
    <w:rsid w:val="00751146"/>
    <w:rsid w:val="0075136E"/>
    <w:rsid w:val="0075205E"/>
    <w:rsid w:val="00752860"/>
    <w:rsid w:val="007538B6"/>
    <w:rsid w:val="0075509F"/>
    <w:rsid w:val="00755CA3"/>
    <w:rsid w:val="007565A5"/>
    <w:rsid w:val="00757378"/>
    <w:rsid w:val="00757B83"/>
    <w:rsid w:val="00757E70"/>
    <w:rsid w:val="007610E5"/>
    <w:rsid w:val="00761441"/>
    <w:rsid w:val="0076397A"/>
    <w:rsid w:val="0076436E"/>
    <w:rsid w:val="0076476B"/>
    <w:rsid w:val="0076650F"/>
    <w:rsid w:val="00767784"/>
    <w:rsid w:val="00767B8F"/>
    <w:rsid w:val="00772047"/>
    <w:rsid w:val="007721F3"/>
    <w:rsid w:val="00772BA4"/>
    <w:rsid w:val="0077498F"/>
    <w:rsid w:val="007755A0"/>
    <w:rsid w:val="007761AF"/>
    <w:rsid w:val="00776B1E"/>
    <w:rsid w:val="00777029"/>
    <w:rsid w:val="00777567"/>
    <w:rsid w:val="00777F6C"/>
    <w:rsid w:val="0078137D"/>
    <w:rsid w:val="0078167F"/>
    <w:rsid w:val="00783740"/>
    <w:rsid w:val="00784373"/>
    <w:rsid w:val="007852B3"/>
    <w:rsid w:val="0078642D"/>
    <w:rsid w:val="00787598"/>
    <w:rsid w:val="00787DDB"/>
    <w:rsid w:val="0079069E"/>
    <w:rsid w:val="007906DF"/>
    <w:rsid w:val="0079118E"/>
    <w:rsid w:val="00791D6B"/>
    <w:rsid w:val="00792023"/>
    <w:rsid w:val="00792212"/>
    <w:rsid w:val="007931B4"/>
    <w:rsid w:val="00795D37"/>
    <w:rsid w:val="00797741"/>
    <w:rsid w:val="00797B35"/>
    <w:rsid w:val="007A05CC"/>
    <w:rsid w:val="007A0B64"/>
    <w:rsid w:val="007A223A"/>
    <w:rsid w:val="007A279D"/>
    <w:rsid w:val="007A38CE"/>
    <w:rsid w:val="007A52BE"/>
    <w:rsid w:val="007A5639"/>
    <w:rsid w:val="007A575A"/>
    <w:rsid w:val="007A5820"/>
    <w:rsid w:val="007A6A08"/>
    <w:rsid w:val="007A6A4F"/>
    <w:rsid w:val="007A717F"/>
    <w:rsid w:val="007A7291"/>
    <w:rsid w:val="007B1195"/>
    <w:rsid w:val="007B1DC1"/>
    <w:rsid w:val="007B47E4"/>
    <w:rsid w:val="007B482B"/>
    <w:rsid w:val="007B727C"/>
    <w:rsid w:val="007C0D98"/>
    <w:rsid w:val="007C18D7"/>
    <w:rsid w:val="007C266B"/>
    <w:rsid w:val="007C33C0"/>
    <w:rsid w:val="007D31FB"/>
    <w:rsid w:val="007D471D"/>
    <w:rsid w:val="007D521A"/>
    <w:rsid w:val="007D5F6C"/>
    <w:rsid w:val="007D6040"/>
    <w:rsid w:val="007D6F4E"/>
    <w:rsid w:val="007E2F44"/>
    <w:rsid w:val="007E3258"/>
    <w:rsid w:val="007E5AE6"/>
    <w:rsid w:val="007E5C03"/>
    <w:rsid w:val="007E5C09"/>
    <w:rsid w:val="007E64C7"/>
    <w:rsid w:val="007E6ACF"/>
    <w:rsid w:val="007E6EBF"/>
    <w:rsid w:val="007F039F"/>
    <w:rsid w:val="007F0963"/>
    <w:rsid w:val="007F0F9D"/>
    <w:rsid w:val="007F15A7"/>
    <w:rsid w:val="007F27C0"/>
    <w:rsid w:val="007F3831"/>
    <w:rsid w:val="007F5BA9"/>
    <w:rsid w:val="007F613C"/>
    <w:rsid w:val="007F7D89"/>
    <w:rsid w:val="00800241"/>
    <w:rsid w:val="00800E2B"/>
    <w:rsid w:val="008014FF"/>
    <w:rsid w:val="00801511"/>
    <w:rsid w:val="0080183D"/>
    <w:rsid w:val="008018CD"/>
    <w:rsid w:val="008019AC"/>
    <w:rsid w:val="008024D2"/>
    <w:rsid w:val="008024E7"/>
    <w:rsid w:val="00802ED5"/>
    <w:rsid w:val="00803182"/>
    <w:rsid w:val="00805B3A"/>
    <w:rsid w:val="00805C4B"/>
    <w:rsid w:val="00807440"/>
    <w:rsid w:val="0081226A"/>
    <w:rsid w:val="00812346"/>
    <w:rsid w:val="00812573"/>
    <w:rsid w:val="00812D6F"/>
    <w:rsid w:val="00812F0A"/>
    <w:rsid w:val="00812FD5"/>
    <w:rsid w:val="00813059"/>
    <w:rsid w:val="00814490"/>
    <w:rsid w:val="00814792"/>
    <w:rsid w:val="00815413"/>
    <w:rsid w:val="00815BBC"/>
    <w:rsid w:val="008161C2"/>
    <w:rsid w:val="0081693B"/>
    <w:rsid w:val="00816BF9"/>
    <w:rsid w:val="00817029"/>
    <w:rsid w:val="008177FB"/>
    <w:rsid w:val="0082039B"/>
    <w:rsid w:val="008219F0"/>
    <w:rsid w:val="0082247D"/>
    <w:rsid w:val="008240CD"/>
    <w:rsid w:val="008247D5"/>
    <w:rsid w:val="00825109"/>
    <w:rsid w:val="00825444"/>
    <w:rsid w:val="00826444"/>
    <w:rsid w:val="0082663A"/>
    <w:rsid w:val="00826C7D"/>
    <w:rsid w:val="00826CC0"/>
    <w:rsid w:val="00827393"/>
    <w:rsid w:val="00827A0C"/>
    <w:rsid w:val="008306F3"/>
    <w:rsid w:val="0083074C"/>
    <w:rsid w:val="00830E2A"/>
    <w:rsid w:val="00834002"/>
    <w:rsid w:val="00834886"/>
    <w:rsid w:val="00834C16"/>
    <w:rsid w:val="008356D3"/>
    <w:rsid w:val="008362DB"/>
    <w:rsid w:val="0083633B"/>
    <w:rsid w:val="00836F1E"/>
    <w:rsid w:val="0083781B"/>
    <w:rsid w:val="00840AB3"/>
    <w:rsid w:val="008410DB"/>
    <w:rsid w:val="00841968"/>
    <w:rsid w:val="00841E85"/>
    <w:rsid w:val="00842426"/>
    <w:rsid w:val="00842C84"/>
    <w:rsid w:val="00843EA1"/>
    <w:rsid w:val="008441AB"/>
    <w:rsid w:val="00844405"/>
    <w:rsid w:val="00844823"/>
    <w:rsid w:val="00845C2D"/>
    <w:rsid w:val="00846D11"/>
    <w:rsid w:val="008476DF"/>
    <w:rsid w:val="0085024B"/>
    <w:rsid w:val="00850B87"/>
    <w:rsid w:val="008512B1"/>
    <w:rsid w:val="00851BDF"/>
    <w:rsid w:val="00853F65"/>
    <w:rsid w:val="008545B0"/>
    <w:rsid w:val="00854713"/>
    <w:rsid w:val="008552C3"/>
    <w:rsid w:val="00856B8F"/>
    <w:rsid w:val="00857411"/>
    <w:rsid w:val="0085788A"/>
    <w:rsid w:val="00860DA6"/>
    <w:rsid w:val="00860E97"/>
    <w:rsid w:val="00860EDC"/>
    <w:rsid w:val="00861936"/>
    <w:rsid w:val="00861CFB"/>
    <w:rsid w:val="00862AB1"/>
    <w:rsid w:val="00864676"/>
    <w:rsid w:val="00865152"/>
    <w:rsid w:val="008658F9"/>
    <w:rsid w:val="008668A3"/>
    <w:rsid w:val="00866F48"/>
    <w:rsid w:val="0087160F"/>
    <w:rsid w:val="0087175B"/>
    <w:rsid w:val="00871DDD"/>
    <w:rsid w:val="00871E87"/>
    <w:rsid w:val="0087288B"/>
    <w:rsid w:val="00872F73"/>
    <w:rsid w:val="008746AF"/>
    <w:rsid w:val="0087520C"/>
    <w:rsid w:val="00875E11"/>
    <w:rsid w:val="00876A31"/>
    <w:rsid w:val="00880F88"/>
    <w:rsid w:val="00881B90"/>
    <w:rsid w:val="00881CEC"/>
    <w:rsid w:val="00882D04"/>
    <w:rsid w:val="00884A12"/>
    <w:rsid w:val="00885506"/>
    <w:rsid w:val="00885537"/>
    <w:rsid w:val="008855D6"/>
    <w:rsid w:val="008857F1"/>
    <w:rsid w:val="0088654A"/>
    <w:rsid w:val="00886A91"/>
    <w:rsid w:val="00887150"/>
    <w:rsid w:val="00887343"/>
    <w:rsid w:val="008874C4"/>
    <w:rsid w:val="00887D53"/>
    <w:rsid w:val="00891EC7"/>
    <w:rsid w:val="00892327"/>
    <w:rsid w:val="00893A1D"/>
    <w:rsid w:val="008942B7"/>
    <w:rsid w:val="00894CC3"/>
    <w:rsid w:val="00897B12"/>
    <w:rsid w:val="008A1EBE"/>
    <w:rsid w:val="008A1FC2"/>
    <w:rsid w:val="008A2AF8"/>
    <w:rsid w:val="008A331D"/>
    <w:rsid w:val="008A3AF4"/>
    <w:rsid w:val="008A51D3"/>
    <w:rsid w:val="008A651E"/>
    <w:rsid w:val="008A6F3A"/>
    <w:rsid w:val="008A6FF5"/>
    <w:rsid w:val="008A7073"/>
    <w:rsid w:val="008A716A"/>
    <w:rsid w:val="008A7DBA"/>
    <w:rsid w:val="008B146B"/>
    <w:rsid w:val="008B20F2"/>
    <w:rsid w:val="008B3795"/>
    <w:rsid w:val="008B3B6B"/>
    <w:rsid w:val="008B3D58"/>
    <w:rsid w:val="008B3E2A"/>
    <w:rsid w:val="008B56F9"/>
    <w:rsid w:val="008B6D01"/>
    <w:rsid w:val="008B7A4D"/>
    <w:rsid w:val="008C028C"/>
    <w:rsid w:val="008C0775"/>
    <w:rsid w:val="008C07C7"/>
    <w:rsid w:val="008C1239"/>
    <w:rsid w:val="008C1240"/>
    <w:rsid w:val="008C237E"/>
    <w:rsid w:val="008C2B8E"/>
    <w:rsid w:val="008C3010"/>
    <w:rsid w:val="008C3306"/>
    <w:rsid w:val="008C3AA5"/>
    <w:rsid w:val="008C5724"/>
    <w:rsid w:val="008C5D64"/>
    <w:rsid w:val="008C5E8A"/>
    <w:rsid w:val="008C5F4E"/>
    <w:rsid w:val="008D0359"/>
    <w:rsid w:val="008D0800"/>
    <w:rsid w:val="008D41DF"/>
    <w:rsid w:val="008D4737"/>
    <w:rsid w:val="008D49BC"/>
    <w:rsid w:val="008D4AE9"/>
    <w:rsid w:val="008D5240"/>
    <w:rsid w:val="008D5CA7"/>
    <w:rsid w:val="008D5D71"/>
    <w:rsid w:val="008D5FFA"/>
    <w:rsid w:val="008D6039"/>
    <w:rsid w:val="008D65B1"/>
    <w:rsid w:val="008D6853"/>
    <w:rsid w:val="008D7166"/>
    <w:rsid w:val="008D7A93"/>
    <w:rsid w:val="008E0EDD"/>
    <w:rsid w:val="008E22AA"/>
    <w:rsid w:val="008E27BE"/>
    <w:rsid w:val="008E2B33"/>
    <w:rsid w:val="008E44E4"/>
    <w:rsid w:val="008E4FCB"/>
    <w:rsid w:val="008E67D5"/>
    <w:rsid w:val="008E731B"/>
    <w:rsid w:val="008E74AC"/>
    <w:rsid w:val="008E79C1"/>
    <w:rsid w:val="008F1F7A"/>
    <w:rsid w:val="008F2025"/>
    <w:rsid w:val="008F2915"/>
    <w:rsid w:val="008F34A6"/>
    <w:rsid w:val="008F46ED"/>
    <w:rsid w:val="008F5429"/>
    <w:rsid w:val="008F595B"/>
    <w:rsid w:val="008F5CC5"/>
    <w:rsid w:val="008F60EE"/>
    <w:rsid w:val="008F6506"/>
    <w:rsid w:val="008F73C5"/>
    <w:rsid w:val="009000B6"/>
    <w:rsid w:val="009002F2"/>
    <w:rsid w:val="00901484"/>
    <w:rsid w:val="00901754"/>
    <w:rsid w:val="00901C78"/>
    <w:rsid w:val="0090434E"/>
    <w:rsid w:val="009056DF"/>
    <w:rsid w:val="00905C1D"/>
    <w:rsid w:val="0090607E"/>
    <w:rsid w:val="009064A9"/>
    <w:rsid w:val="009069BB"/>
    <w:rsid w:val="009069E0"/>
    <w:rsid w:val="00907092"/>
    <w:rsid w:val="00907F0B"/>
    <w:rsid w:val="00910145"/>
    <w:rsid w:val="00912D2E"/>
    <w:rsid w:val="00912FEE"/>
    <w:rsid w:val="0091392B"/>
    <w:rsid w:val="00913C45"/>
    <w:rsid w:val="0091529C"/>
    <w:rsid w:val="00915495"/>
    <w:rsid w:val="00921BE5"/>
    <w:rsid w:val="00922393"/>
    <w:rsid w:val="00923023"/>
    <w:rsid w:val="00923A31"/>
    <w:rsid w:val="00923CF5"/>
    <w:rsid w:val="00925E09"/>
    <w:rsid w:val="00926B2F"/>
    <w:rsid w:val="00927D22"/>
    <w:rsid w:val="00930FDA"/>
    <w:rsid w:val="00933690"/>
    <w:rsid w:val="00933EE2"/>
    <w:rsid w:val="00934687"/>
    <w:rsid w:val="00934F02"/>
    <w:rsid w:val="0093504D"/>
    <w:rsid w:val="00935A83"/>
    <w:rsid w:val="00935FF0"/>
    <w:rsid w:val="009360F1"/>
    <w:rsid w:val="00937E10"/>
    <w:rsid w:val="00940468"/>
    <w:rsid w:val="009405E7"/>
    <w:rsid w:val="00941F18"/>
    <w:rsid w:val="00941F84"/>
    <w:rsid w:val="00942759"/>
    <w:rsid w:val="00943D49"/>
    <w:rsid w:val="00944C2B"/>
    <w:rsid w:val="00944E3C"/>
    <w:rsid w:val="00945999"/>
    <w:rsid w:val="0094696B"/>
    <w:rsid w:val="00947A1A"/>
    <w:rsid w:val="00947FE4"/>
    <w:rsid w:val="009500E3"/>
    <w:rsid w:val="00953BED"/>
    <w:rsid w:val="00954399"/>
    <w:rsid w:val="00954982"/>
    <w:rsid w:val="00954E8F"/>
    <w:rsid w:val="0095634B"/>
    <w:rsid w:val="009569A4"/>
    <w:rsid w:val="0095708D"/>
    <w:rsid w:val="00961EB9"/>
    <w:rsid w:val="00961FEC"/>
    <w:rsid w:val="009622E4"/>
    <w:rsid w:val="00963947"/>
    <w:rsid w:val="00963F1B"/>
    <w:rsid w:val="009646B9"/>
    <w:rsid w:val="00964F44"/>
    <w:rsid w:val="00965D64"/>
    <w:rsid w:val="0096671B"/>
    <w:rsid w:val="00967095"/>
    <w:rsid w:val="009676F0"/>
    <w:rsid w:val="00970682"/>
    <w:rsid w:val="00970FC5"/>
    <w:rsid w:val="00972BC8"/>
    <w:rsid w:val="009731DC"/>
    <w:rsid w:val="00973CF7"/>
    <w:rsid w:val="00974690"/>
    <w:rsid w:val="0097519B"/>
    <w:rsid w:val="009753C6"/>
    <w:rsid w:val="00975CB1"/>
    <w:rsid w:val="00975F10"/>
    <w:rsid w:val="009765AA"/>
    <w:rsid w:val="00976ADE"/>
    <w:rsid w:val="00980D2D"/>
    <w:rsid w:val="00980DE4"/>
    <w:rsid w:val="009824E1"/>
    <w:rsid w:val="00982A64"/>
    <w:rsid w:val="00982E9E"/>
    <w:rsid w:val="00985439"/>
    <w:rsid w:val="00985F7E"/>
    <w:rsid w:val="00986984"/>
    <w:rsid w:val="00986BFC"/>
    <w:rsid w:val="00986DF9"/>
    <w:rsid w:val="00987AFA"/>
    <w:rsid w:val="00987FDC"/>
    <w:rsid w:val="009904A4"/>
    <w:rsid w:val="00992C1B"/>
    <w:rsid w:val="00992D53"/>
    <w:rsid w:val="00993FAA"/>
    <w:rsid w:val="0099419D"/>
    <w:rsid w:val="00994721"/>
    <w:rsid w:val="00994F79"/>
    <w:rsid w:val="00995660"/>
    <w:rsid w:val="0099596F"/>
    <w:rsid w:val="0099731C"/>
    <w:rsid w:val="009A3861"/>
    <w:rsid w:val="009A397F"/>
    <w:rsid w:val="009A3B1B"/>
    <w:rsid w:val="009A47E3"/>
    <w:rsid w:val="009A4CFB"/>
    <w:rsid w:val="009A6189"/>
    <w:rsid w:val="009A6F20"/>
    <w:rsid w:val="009A6F4A"/>
    <w:rsid w:val="009A707A"/>
    <w:rsid w:val="009A744E"/>
    <w:rsid w:val="009A7AF1"/>
    <w:rsid w:val="009B04B3"/>
    <w:rsid w:val="009B09FE"/>
    <w:rsid w:val="009B149D"/>
    <w:rsid w:val="009B1EF7"/>
    <w:rsid w:val="009B2067"/>
    <w:rsid w:val="009B2161"/>
    <w:rsid w:val="009B2B22"/>
    <w:rsid w:val="009B35A8"/>
    <w:rsid w:val="009B43C8"/>
    <w:rsid w:val="009B57FC"/>
    <w:rsid w:val="009B6BAA"/>
    <w:rsid w:val="009B703E"/>
    <w:rsid w:val="009B76B3"/>
    <w:rsid w:val="009B7ADC"/>
    <w:rsid w:val="009C01A1"/>
    <w:rsid w:val="009C16F6"/>
    <w:rsid w:val="009C2F8D"/>
    <w:rsid w:val="009C3A8D"/>
    <w:rsid w:val="009C43CE"/>
    <w:rsid w:val="009C47C5"/>
    <w:rsid w:val="009C5060"/>
    <w:rsid w:val="009C548D"/>
    <w:rsid w:val="009C5974"/>
    <w:rsid w:val="009C5B40"/>
    <w:rsid w:val="009C730D"/>
    <w:rsid w:val="009C7E32"/>
    <w:rsid w:val="009D1153"/>
    <w:rsid w:val="009D231A"/>
    <w:rsid w:val="009D4575"/>
    <w:rsid w:val="009D6130"/>
    <w:rsid w:val="009D660D"/>
    <w:rsid w:val="009E09D8"/>
    <w:rsid w:val="009E1E16"/>
    <w:rsid w:val="009E219F"/>
    <w:rsid w:val="009E2CDA"/>
    <w:rsid w:val="009E46F7"/>
    <w:rsid w:val="009E4C34"/>
    <w:rsid w:val="009E681D"/>
    <w:rsid w:val="009E79F8"/>
    <w:rsid w:val="009F08D7"/>
    <w:rsid w:val="009F0C1E"/>
    <w:rsid w:val="009F0D7D"/>
    <w:rsid w:val="009F2C67"/>
    <w:rsid w:val="009F3411"/>
    <w:rsid w:val="009F3E1C"/>
    <w:rsid w:val="009F4BE3"/>
    <w:rsid w:val="009F5E37"/>
    <w:rsid w:val="009F62AE"/>
    <w:rsid w:val="009F67BD"/>
    <w:rsid w:val="009F680A"/>
    <w:rsid w:val="009F741B"/>
    <w:rsid w:val="009F74EE"/>
    <w:rsid w:val="009F7E35"/>
    <w:rsid w:val="00A01010"/>
    <w:rsid w:val="00A02382"/>
    <w:rsid w:val="00A03A77"/>
    <w:rsid w:val="00A04094"/>
    <w:rsid w:val="00A0515E"/>
    <w:rsid w:val="00A0516C"/>
    <w:rsid w:val="00A06023"/>
    <w:rsid w:val="00A06230"/>
    <w:rsid w:val="00A07228"/>
    <w:rsid w:val="00A11169"/>
    <w:rsid w:val="00A12879"/>
    <w:rsid w:val="00A128F0"/>
    <w:rsid w:val="00A1310C"/>
    <w:rsid w:val="00A13A44"/>
    <w:rsid w:val="00A13C97"/>
    <w:rsid w:val="00A13E21"/>
    <w:rsid w:val="00A14624"/>
    <w:rsid w:val="00A146D4"/>
    <w:rsid w:val="00A14FC0"/>
    <w:rsid w:val="00A1583E"/>
    <w:rsid w:val="00A1623E"/>
    <w:rsid w:val="00A16950"/>
    <w:rsid w:val="00A169FA"/>
    <w:rsid w:val="00A16AB9"/>
    <w:rsid w:val="00A2067A"/>
    <w:rsid w:val="00A21783"/>
    <w:rsid w:val="00A21AEE"/>
    <w:rsid w:val="00A21C9C"/>
    <w:rsid w:val="00A22DBC"/>
    <w:rsid w:val="00A25AB3"/>
    <w:rsid w:val="00A27586"/>
    <w:rsid w:val="00A3186A"/>
    <w:rsid w:val="00A318EB"/>
    <w:rsid w:val="00A31DC0"/>
    <w:rsid w:val="00A33B33"/>
    <w:rsid w:val="00A34716"/>
    <w:rsid w:val="00A359C9"/>
    <w:rsid w:val="00A37018"/>
    <w:rsid w:val="00A370CD"/>
    <w:rsid w:val="00A3743A"/>
    <w:rsid w:val="00A423B6"/>
    <w:rsid w:val="00A42762"/>
    <w:rsid w:val="00A42832"/>
    <w:rsid w:val="00A43039"/>
    <w:rsid w:val="00A43FB6"/>
    <w:rsid w:val="00A44276"/>
    <w:rsid w:val="00A4496F"/>
    <w:rsid w:val="00A457CE"/>
    <w:rsid w:val="00A4676A"/>
    <w:rsid w:val="00A4714B"/>
    <w:rsid w:val="00A47BEA"/>
    <w:rsid w:val="00A50BA4"/>
    <w:rsid w:val="00A51B30"/>
    <w:rsid w:val="00A526A9"/>
    <w:rsid w:val="00A53425"/>
    <w:rsid w:val="00A53D87"/>
    <w:rsid w:val="00A53DB5"/>
    <w:rsid w:val="00A5453E"/>
    <w:rsid w:val="00A54736"/>
    <w:rsid w:val="00A54B0D"/>
    <w:rsid w:val="00A552AC"/>
    <w:rsid w:val="00A55BAC"/>
    <w:rsid w:val="00A560F3"/>
    <w:rsid w:val="00A56A63"/>
    <w:rsid w:val="00A56BE8"/>
    <w:rsid w:val="00A577DB"/>
    <w:rsid w:val="00A5786E"/>
    <w:rsid w:val="00A60BBF"/>
    <w:rsid w:val="00A6114B"/>
    <w:rsid w:val="00A61228"/>
    <w:rsid w:val="00A61574"/>
    <w:rsid w:val="00A63C57"/>
    <w:rsid w:val="00A64BD4"/>
    <w:rsid w:val="00A655A3"/>
    <w:rsid w:val="00A65B77"/>
    <w:rsid w:val="00A65FD4"/>
    <w:rsid w:val="00A6681A"/>
    <w:rsid w:val="00A679F4"/>
    <w:rsid w:val="00A7199A"/>
    <w:rsid w:val="00A71A2C"/>
    <w:rsid w:val="00A71AC8"/>
    <w:rsid w:val="00A73686"/>
    <w:rsid w:val="00A737E4"/>
    <w:rsid w:val="00A73C6E"/>
    <w:rsid w:val="00A73E6A"/>
    <w:rsid w:val="00A73E7F"/>
    <w:rsid w:val="00A74ED4"/>
    <w:rsid w:val="00A757BC"/>
    <w:rsid w:val="00A7630D"/>
    <w:rsid w:val="00A806FC"/>
    <w:rsid w:val="00A80E02"/>
    <w:rsid w:val="00A810DD"/>
    <w:rsid w:val="00A8117F"/>
    <w:rsid w:val="00A8179A"/>
    <w:rsid w:val="00A8189E"/>
    <w:rsid w:val="00A82442"/>
    <w:rsid w:val="00A83058"/>
    <w:rsid w:val="00A83E0F"/>
    <w:rsid w:val="00A85FE3"/>
    <w:rsid w:val="00A86ACB"/>
    <w:rsid w:val="00A86F52"/>
    <w:rsid w:val="00A8787A"/>
    <w:rsid w:val="00A90834"/>
    <w:rsid w:val="00A912AA"/>
    <w:rsid w:val="00A91FD3"/>
    <w:rsid w:val="00A92456"/>
    <w:rsid w:val="00A932B1"/>
    <w:rsid w:val="00A93572"/>
    <w:rsid w:val="00A93743"/>
    <w:rsid w:val="00A93FE2"/>
    <w:rsid w:val="00A94169"/>
    <w:rsid w:val="00A94341"/>
    <w:rsid w:val="00A943CB"/>
    <w:rsid w:val="00A94584"/>
    <w:rsid w:val="00A945E2"/>
    <w:rsid w:val="00A955FD"/>
    <w:rsid w:val="00A95EC1"/>
    <w:rsid w:val="00A9624F"/>
    <w:rsid w:val="00A97370"/>
    <w:rsid w:val="00A974F7"/>
    <w:rsid w:val="00A978F3"/>
    <w:rsid w:val="00A97F64"/>
    <w:rsid w:val="00AA034A"/>
    <w:rsid w:val="00AA0A92"/>
    <w:rsid w:val="00AA0BD6"/>
    <w:rsid w:val="00AA1C78"/>
    <w:rsid w:val="00AA292B"/>
    <w:rsid w:val="00AA3193"/>
    <w:rsid w:val="00AA4400"/>
    <w:rsid w:val="00AA4480"/>
    <w:rsid w:val="00AA47D8"/>
    <w:rsid w:val="00AA48BE"/>
    <w:rsid w:val="00AA5078"/>
    <w:rsid w:val="00AA546B"/>
    <w:rsid w:val="00AA6406"/>
    <w:rsid w:val="00AA65D6"/>
    <w:rsid w:val="00AA6638"/>
    <w:rsid w:val="00AA7354"/>
    <w:rsid w:val="00AA78B0"/>
    <w:rsid w:val="00AA7C29"/>
    <w:rsid w:val="00AB33AC"/>
    <w:rsid w:val="00AB4F96"/>
    <w:rsid w:val="00AC00F1"/>
    <w:rsid w:val="00AC01F5"/>
    <w:rsid w:val="00AC2661"/>
    <w:rsid w:val="00AC2A5C"/>
    <w:rsid w:val="00AC4076"/>
    <w:rsid w:val="00AC4115"/>
    <w:rsid w:val="00AC42B1"/>
    <w:rsid w:val="00AC548D"/>
    <w:rsid w:val="00AC58DC"/>
    <w:rsid w:val="00AC76BE"/>
    <w:rsid w:val="00AC7FC1"/>
    <w:rsid w:val="00AD0866"/>
    <w:rsid w:val="00AD29B1"/>
    <w:rsid w:val="00AD3271"/>
    <w:rsid w:val="00AD4D49"/>
    <w:rsid w:val="00AD4E99"/>
    <w:rsid w:val="00AD5CB2"/>
    <w:rsid w:val="00AD605E"/>
    <w:rsid w:val="00AD7B03"/>
    <w:rsid w:val="00AE13C4"/>
    <w:rsid w:val="00AE1934"/>
    <w:rsid w:val="00AE222F"/>
    <w:rsid w:val="00AE4252"/>
    <w:rsid w:val="00AE4A4C"/>
    <w:rsid w:val="00AE4EB6"/>
    <w:rsid w:val="00AE51FC"/>
    <w:rsid w:val="00AE66FF"/>
    <w:rsid w:val="00AE67B5"/>
    <w:rsid w:val="00AE7214"/>
    <w:rsid w:val="00AE7ED1"/>
    <w:rsid w:val="00AF14A8"/>
    <w:rsid w:val="00AF1BB5"/>
    <w:rsid w:val="00AF2FF9"/>
    <w:rsid w:val="00AF452D"/>
    <w:rsid w:val="00AF47E7"/>
    <w:rsid w:val="00AF54CB"/>
    <w:rsid w:val="00AF5607"/>
    <w:rsid w:val="00AF628F"/>
    <w:rsid w:val="00AF6C26"/>
    <w:rsid w:val="00AF7711"/>
    <w:rsid w:val="00AF7DDC"/>
    <w:rsid w:val="00B005F0"/>
    <w:rsid w:val="00B021E6"/>
    <w:rsid w:val="00B023C8"/>
    <w:rsid w:val="00B02419"/>
    <w:rsid w:val="00B02721"/>
    <w:rsid w:val="00B028A0"/>
    <w:rsid w:val="00B03880"/>
    <w:rsid w:val="00B03CA4"/>
    <w:rsid w:val="00B05479"/>
    <w:rsid w:val="00B061A0"/>
    <w:rsid w:val="00B06214"/>
    <w:rsid w:val="00B068F6"/>
    <w:rsid w:val="00B07CA0"/>
    <w:rsid w:val="00B12136"/>
    <w:rsid w:val="00B13E1F"/>
    <w:rsid w:val="00B13EEF"/>
    <w:rsid w:val="00B147D5"/>
    <w:rsid w:val="00B1584E"/>
    <w:rsid w:val="00B159EE"/>
    <w:rsid w:val="00B15B4A"/>
    <w:rsid w:val="00B16402"/>
    <w:rsid w:val="00B17431"/>
    <w:rsid w:val="00B17787"/>
    <w:rsid w:val="00B2126E"/>
    <w:rsid w:val="00B21A45"/>
    <w:rsid w:val="00B21F18"/>
    <w:rsid w:val="00B22387"/>
    <w:rsid w:val="00B259C2"/>
    <w:rsid w:val="00B3196A"/>
    <w:rsid w:val="00B32F9C"/>
    <w:rsid w:val="00B33F03"/>
    <w:rsid w:val="00B352D4"/>
    <w:rsid w:val="00B35D55"/>
    <w:rsid w:val="00B35FA1"/>
    <w:rsid w:val="00B365C4"/>
    <w:rsid w:val="00B37165"/>
    <w:rsid w:val="00B40221"/>
    <w:rsid w:val="00B4027A"/>
    <w:rsid w:val="00B40A44"/>
    <w:rsid w:val="00B40C3E"/>
    <w:rsid w:val="00B40CDE"/>
    <w:rsid w:val="00B411A8"/>
    <w:rsid w:val="00B411B0"/>
    <w:rsid w:val="00B43B6F"/>
    <w:rsid w:val="00B43D7D"/>
    <w:rsid w:val="00B44981"/>
    <w:rsid w:val="00B46063"/>
    <w:rsid w:val="00B46B60"/>
    <w:rsid w:val="00B46C08"/>
    <w:rsid w:val="00B518A6"/>
    <w:rsid w:val="00B51B15"/>
    <w:rsid w:val="00B524B9"/>
    <w:rsid w:val="00B52AF1"/>
    <w:rsid w:val="00B54078"/>
    <w:rsid w:val="00B54A85"/>
    <w:rsid w:val="00B54F4C"/>
    <w:rsid w:val="00B55019"/>
    <w:rsid w:val="00B5539F"/>
    <w:rsid w:val="00B55AF6"/>
    <w:rsid w:val="00B56140"/>
    <w:rsid w:val="00B5704C"/>
    <w:rsid w:val="00B572A8"/>
    <w:rsid w:val="00B60011"/>
    <w:rsid w:val="00B602AE"/>
    <w:rsid w:val="00B60A69"/>
    <w:rsid w:val="00B60C92"/>
    <w:rsid w:val="00B61639"/>
    <w:rsid w:val="00B61C94"/>
    <w:rsid w:val="00B61EEC"/>
    <w:rsid w:val="00B622C7"/>
    <w:rsid w:val="00B6276C"/>
    <w:rsid w:val="00B62B58"/>
    <w:rsid w:val="00B64AF5"/>
    <w:rsid w:val="00B64BCD"/>
    <w:rsid w:val="00B6661D"/>
    <w:rsid w:val="00B666AE"/>
    <w:rsid w:val="00B668AF"/>
    <w:rsid w:val="00B66A8C"/>
    <w:rsid w:val="00B66BBC"/>
    <w:rsid w:val="00B677A1"/>
    <w:rsid w:val="00B67E96"/>
    <w:rsid w:val="00B7102D"/>
    <w:rsid w:val="00B7105C"/>
    <w:rsid w:val="00B742AB"/>
    <w:rsid w:val="00B742D7"/>
    <w:rsid w:val="00B759E8"/>
    <w:rsid w:val="00B761EE"/>
    <w:rsid w:val="00B81862"/>
    <w:rsid w:val="00B81C57"/>
    <w:rsid w:val="00B82803"/>
    <w:rsid w:val="00B84BCA"/>
    <w:rsid w:val="00B857DC"/>
    <w:rsid w:val="00B8594E"/>
    <w:rsid w:val="00B86BA5"/>
    <w:rsid w:val="00B8743B"/>
    <w:rsid w:val="00B87A6E"/>
    <w:rsid w:val="00B87ED9"/>
    <w:rsid w:val="00B903BD"/>
    <w:rsid w:val="00B90411"/>
    <w:rsid w:val="00B90F43"/>
    <w:rsid w:val="00B912D1"/>
    <w:rsid w:val="00B92512"/>
    <w:rsid w:val="00B93EAF"/>
    <w:rsid w:val="00B941BE"/>
    <w:rsid w:val="00B94590"/>
    <w:rsid w:val="00B9460E"/>
    <w:rsid w:val="00B9481A"/>
    <w:rsid w:val="00B94B99"/>
    <w:rsid w:val="00B958C0"/>
    <w:rsid w:val="00B97814"/>
    <w:rsid w:val="00B97A86"/>
    <w:rsid w:val="00BA13B1"/>
    <w:rsid w:val="00BA2412"/>
    <w:rsid w:val="00BA373B"/>
    <w:rsid w:val="00BA39B6"/>
    <w:rsid w:val="00BA41CE"/>
    <w:rsid w:val="00BA4EE3"/>
    <w:rsid w:val="00BA4F66"/>
    <w:rsid w:val="00BA5B90"/>
    <w:rsid w:val="00BA6B35"/>
    <w:rsid w:val="00BA6D74"/>
    <w:rsid w:val="00BA70CA"/>
    <w:rsid w:val="00BB029A"/>
    <w:rsid w:val="00BB0A8B"/>
    <w:rsid w:val="00BB2021"/>
    <w:rsid w:val="00BB2CD4"/>
    <w:rsid w:val="00BB4671"/>
    <w:rsid w:val="00BB58AA"/>
    <w:rsid w:val="00BB5B7D"/>
    <w:rsid w:val="00BB68D3"/>
    <w:rsid w:val="00BB6948"/>
    <w:rsid w:val="00BB6DCC"/>
    <w:rsid w:val="00BB727B"/>
    <w:rsid w:val="00BB75E6"/>
    <w:rsid w:val="00BC00C7"/>
    <w:rsid w:val="00BC0451"/>
    <w:rsid w:val="00BC1920"/>
    <w:rsid w:val="00BC1992"/>
    <w:rsid w:val="00BC372E"/>
    <w:rsid w:val="00BC5375"/>
    <w:rsid w:val="00BC55D0"/>
    <w:rsid w:val="00BC5775"/>
    <w:rsid w:val="00BC64F5"/>
    <w:rsid w:val="00BC65FE"/>
    <w:rsid w:val="00BC6DE3"/>
    <w:rsid w:val="00BC6FE1"/>
    <w:rsid w:val="00BC7456"/>
    <w:rsid w:val="00BC7AC4"/>
    <w:rsid w:val="00BC7EB7"/>
    <w:rsid w:val="00BD0775"/>
    <w:rsid w:val="00BD1C44"/>
    <w:rsid w:val="00BD24BD"/>
    <w:rsid w:val="00BD390B"/>
    <w:rsid w:val="00BD4310"/>
    <w:rsid w:val="00BD4FBD"/>
    <w:rsid w:val="00BD6897"/>
    <w:rsid w:val="00BD6A24"/>
    <w:rsid w:val="00BD6D70"/>
    <w:rsid w:val="00BE02C2"/>
    <w:rsid w:val="00BE0BE0"/>
    <w:rsid w:val="00BE0E7B"/>
    <w:rsid w:val="00BE2537"/>
    <w:rsid w:val="00BE2E1A"/>
    <w:rsid w:val="00BE5E3C"/>
    <w:rsid w:val="00BE6173"/>
    <w:rsid w:val="00BE750F"/>
    <w:rsid w:val="00BF02A9"/>
    <w:rsid w:val="00BF03F5"/>
    <w:rsid w:val="00BF0D02"/>
    <w:rsid w:val="00BF1FDA"/>
    <w:rsid w:val="00BF24DE"/>
    <w:rsid w:val="00BF2A25"/>
    <w:rsid w:val="00BF2A2D"/>
    <w:rsid w:val="00BF33BF"/>
    <w:rsid w:val="00BF3475"/>
    <w:rsid w:val="00BF387B"/>
    <w:rsid w:val="00BF3B56"/>
    <w:rsid w:val="00BF40F9"/>
    <w:rsid w:val="00BF42DA"/>
    <w:rsid w:val="00BF4B71"/>
    <w:rsid w:val="00BF4E15"/>
    <w:rsid w:val="00BF54FF"/>
    <w:rsid w:val="00BF56F5"/>
    <w:rsid w:val="00BF5954"/>
    <w:rsid w:val="00BF7093"/>
    <w:rsid w:val="00C00212"/>
    <w:rsid w:val="00C015CA"/>
    <w:rsid w:val="00C01A7C"/>
    <w:rsid w:val="00C02724"/>
    <w:rsid w:val="00C02BDC"/>
    <w:rsid w:val="00C032F4"/>
    <w:rsid w:val="00C03B05"/>
    <w:rsid w:val="00C03F62"/>
    <w:rsid w:val="00C04432"/>
    <w:rsid w:val="00C04D8D"/>
    <w:rsid w:val="00C04F47"/>
    <w:rsid w:val="00C05BBC"/>
    <w:rsid w:val="00C05BCB"/>
    <w:rsid w:val="00C060DF"/>
    <w:rsid w:val="00C06859"/>
    <w:rsid w:val="00C071EB"/>
    <w:rsid w:val="00C1033B"/>
    <w:rsid w:val="00C11A87"/>
    <w:rsid w:val="00C124B0"/>
    <w:rsid w:val="00C12B13"/>
    <w:rsid w:val="00C13656"/>
    <w:rsid w:val="00C13B37"/>
    <w:rsid w:val="00C13E7E"/>
    <w:rsid w:val="00C14FD1"/>
    <w:rsid w:val="00C16500"/>
    <w:rsid w:val="00C16689"/>
    <w:rsid w:val="00C16AFB"/>
    <w:rsid w:val="00C16FFD"/>
    <w:rsid w:val="00C172C9"/>
    <w:rsid w:val="00C17504"/>
    <w:rsid w:val="00C17E47"/>
    <w:rsid w:val="00C20BDB"/>
    <w:rsid w:val="00C20E99"/>
    <w:rsid w:val="00C21C73"/>
    <w:rsid w:val="00C21EDB"/>
    <w:rsid w:val="00C23471"/>
    <w:rsid w:val="00C23B76"/>
    <w:rsid w:val="00C2461D"/>
    <w:rsid w:val="00C24CDA"/>
    <w:rsid w:val="00C321BF"/>
    <w:rsid w:val="00C32733"/>
    <w:rsid w:val="00C32856"/>
    <w:rsid w:val="00C32967"/>
    <w:rsid w:val="00C32E13"/>
    <w:rsid w:val="00C33923"/>
    <w:rsid w:val="00C33AE7"/>
    <w:rsid w:val="00C3522F"/>
    <w:rsid w:val="00C37459"/>
    <w:rsid w:val="00C37816"/>
    <w:rsid w:val="00C40086"/>
    <w:rsid w:val="00C400AA"/>
    <w:rsid w:val="00C4157E"/>
    <w:rsid w:val="00C415AC"/>
    <w:rsid w:val="00C41755"/>
    <w:rsid w:val="00C4217B"/>
    <w:rsid w:val="00C4277F"/>
    <w:rsid w:val="00C43217"/>
    <w:rsid w:val="00C438A0"/>
    <w:rsid w:val="00C443FE"/>
    <w:rsid w:val="00C45261"/>
    <w:rsid w:val="00C45939"/>
    <w:rsid w:val="00C46C87"/>
    <w:rsid w:val="00C47F3A"/>
    <w:rsid w:val="00C519A1"/>
    <w:rsid w:val="00C51B3C"/>
    <w:rsid w:val="00C51C07"/>
    <w:rsid w:val="00C52C3F"/>
    <w:rsid w:val="00C52F69"/>
    <w:rsid w:val="00C548D6"/>
    <w:rsid w:val="00C561C8"/>
    <w:rsid w:val="00C5633B"/>
    <w:rsid w:val="00C569E3"/>
    <w:rsid w:val="00C612E7"/>
    <w:rsid w:val="00C624DB"/>
    <w:rsid w:val="00C62735"/>
    <w:rsid w:val="00C657BA"/>
    <w:rsid w:val="00C6673A"/>
    <w:rsid w:val="00C67199"/>
    <w:rsid w:val="00C70110"/>
    <w:rsid w:val="00C704AE"/>
    <w:rsid w:val="00C70EBF"/>
    <w:rsid w:val="00C718AE"/>
    <w:rsid w:val="00C720B9"/>
    <w:rsid w:val="00C72521"/>
    <w:rsid w:val="00C733B9"/>
    <w:rsid w:val="00C7403B"/>
    <w:rsid w:val="00C74A51"/>
    <w:rsid w:val="00C75C70"/>
    <w:rsid w:val="00C75FDF"/>
    <w:rsid w:val="00C76035"/>
    <w:rsid w:val="00C7618D"/>
    <w:rsid w:val="00C76C8B"/>
    <w:rsid w:val="00C76D59"/>
    <w:rsid w:val="00C81374"/>
    <w:rsid w:val="00C81F63"/>
    <w:rsid w:val="00C821FA"/>
    <w:rsid w:val="00C82256"/>
    <w:rsid w:val="00C84C3A"/>
    <w:rsid w:val="00C853E2"/>
    <w:rsid w:val="00C85417"/>
    <w:rsid w:val="00C86B59"/>
    <w:rsid w:val="00C86C0F"/>
    <w:rsid w:val="00C8788A"/>
    <w:rsid w:val="00C90084"/>
    <w:rsid w:val="00C900DF"/>
    <w:rsid w:val="00C9231E"/>
    <w:rsid w:val="00C9408C"/>
    <w:rsid w:val="00C949C7"/>
    <w:rsid w:val="00C94F2B"/>
    <w:rsid w:val="00C952D2"/>
    <w:rsid w:val="00C95775"/>
    <w:rsid w:val="00C95BA9"/>
    <w:rsid w:val="00C962D2"/>
    <w:rsid w:val="00C963C0"/>
    <w:rsid w:val="00C96987"/>
    <w:rsid w:val="00C96C23"/>
    <w:rsid w:val="00C9708A"/>
    <w:rsid w:val="00C972F2"/>
    <w:rsid w:val="00C97EA2"/>
    <w:rsid w:val="00CA0B77"/>
    <w:rsid w:val="00CA3BCC"/>
    <w:rsid w:val="00CA63A1"/>
    <w:rsid w:val="00CA6950"/>
    <w:rsid w:val="00CA6EF1"/>
    <w:rsid w:val="00CA6F93"/>
    <w:rsid w:val="00CB0001"/>
    <w:rsid w:val="00CB0334"/>
    <w:rsid w:val="00CB0641"/>
    <w:rsid w:val="00CB07D4"/>
    <w:rsid w:val="00CB111D"/>
    <w:rsid w:val="00CB1496"/>
    <w:rsid w:val="00CB18FC"/>
    <w:rsid w:val="00CB3B0F"/>
    <w:rsid w:val="00CB6685"/>
    <w:rsid w:val="00CB7E97"/>
    <w:rsid w:val="00CC0394"/>
    <w:rsid w:val="00CC1BCB"/>
    <w:rsid w:val="00CC2014"/>
    <w:rsid w:val="00CC2D95"/>
    <w:rsid w:val="00CC3523"/>
    <w:rsid w:val="00CC395B"/>
    <w:rsid w:val="00CC514D"/>
    <w:rsid w:val="00CC71EF"/>
    <w:rsid w:val="00CD2958"/>
    <w:rsid w:val="00CD36A3"/>
    <w:rsid w:val="00CD4081"/>
    <w:rsid w:val="00CD4336"/>
    <w:rsid w:val="00CD43C6"/>
    <w:rsid w:val="00CD440C"/>
    <w:rsid w:val="00CD4711"/>
    <w:rsid w:val="00CD480A"/>
    <w:rsid w:val="00CD4AE0"/>
    <w:rsid w:val="00CD58A8"/>
    <w:rsid w:val="00CD6669"/>
    <w:rsid w:val="00CD6D97"/>
    <w:rsid w:val="00CD7173"/>
    <w:rsid w:val="00CE09E6"/>
    <w:rsid w:val="00CE10AE"/>
    <w:rsid w:val="00CE258F"/>
    <w:rsid w:val="00CE4AA8"/>
    <w:rsid w:val="00CE53E9"/>
    <w:rsid w:val="00CE5495"/>
    <w:rsid w:val="00CE5DFC"/>
    <w:rsid w:val="00CE67C5"/>
    <w:rsid w:val="00CE6FFA"/>
    <w:rsid w:val="00CE763B"/>
    <w:rsid w:val="00CF0230"/>
    <w:rsid w:val="00CF0AA9"/>
    <w:rsid w:val="00CF0E0D"/>
    <w:rsid w:val="00CF18D0"/>
    <w:rsid w:val="00CF1CBC"/>
    <w:rsid w:val="00CF574A"/>
    <w:rsid w:val="00CF584C"/>
    <w:rsid w:val="00CF5973"/>
    <w:rsid w:val="00CF5C84"/>
    <w:rsid w:val="00CF5D7B"/>
    <w:rsid w:val="00CF6F12"/>
    <w:rsid w:val="00CF7308"/>
    <w:rsid w:val="00CF734B"/>
    <w:rsid w:val="00CF73E2"/>
    <w:rsid w:val="00CF7E6D"/>
    <w:rsid w:val="00D001DB"/>
    <w:rsid w:val="00D00C49"/>
    <w:rsid w:val="00D011E7"/>
    <w:rsid w:val="00D02652"/>
    <w:rsid w:val="00D036C5"/>
    <w:rsid w:val="00D05495"/>
    <w:rsid w:val="00D0603F"/>
    <w:rsid w:val="00D06063"/>
    <w:rsid w:val="00D0645A"/>
    <w:rsid w:val="00D069B4"/>
    <w:rsid w:val="00D10456"/>
    <w:rsid w:val="00D1081C"/>
    <w:rsid w:val="00D10C58"/>
    <w:rsid w:val="00D126DE"/>
    <w:rsid w:val="00D12AB1"/>
    <w:rsid w:val="00D12B8E"/>
    <w:rsid w:val="00D12D95"/>
    <w:rsid w:val="00D12FDA"/>
    <w:rsid w:val="00D131F2"/>
    <w:rsid w:val="00D1404E"/>
    <w:rsid w:val="00D162BB"/>
    <w:rsid w:val="00D163FB"/>
    <w:rsid w:val="00D16CD0"/>
    <w:rsid w:val="00D17780"/>
    <w:rsid w:val="00D17948"/>
    <w:rsid w:val="00D17E21"/>
    <w:rsid w:val="00D17ED4"/>
    <w:rsid w:val="00D21BEC"/>
    <w:rsid w:val="00D221BA"/>
    <w:rsid w:val="00D24B42"/>
    <w:rsid w:val="00D250F8"/>
    <w:rsid w:val="00D261C1"/>
    <w:rsid w:val="00D26531"/>
    <w:rsid w:val="00D26E37"/>
    <w:rsid w:val="00D271F5"/>
    <w:rsid w:val="00D27C0F"/>
    <w:rsid w:val="00D27F46"/>
    <w:rsid w:val="00D31884"/>
    <w:rsid w:val="00D31D2B"/>
    <w:rsid w:val="00D320F4"/>
    <w:rsid w:val="00D33AB6"/>
    <w:rsid w:val="00D35F6D"/>
    <w:rsid w:val="00D371F8"/>
    <w:rsid w:val="00D3777D"/>
    <w:rsid w:val="00D401F2"/>
    <w:rsid w:val="00D43371"/>
    <w:rsid w:val="00D43676"/>
    <w:rsid w:val="00D43DC7"/>
    <w:rsid w:val="00D440AD"/>
    <w:rsid w:val="00D447A5"/>
    <w:rsid w:val="00D45248"/>
    <w:rsid w:val="00D45989"/>
    <w:rsid w:val="00D45FE8"/>
    <w:rsid w:val="00D4613F"/>
    <w:rsid w:val="00D4724A"/>
    <w:rsid w:val="00D50F76"/>
    <w:rsid w:val="00D52669"/>
    <w:rsid w:val="00D53F15"/>
    <w:rsid w:val="00D53FEE"/>
    <w:rsid w:val="00D544BC"/>
    <w:rsid w:val="00D553C6"/>
    <w:rsid w:val="00D557CD"/>
    <w:rsid w:val="00D55ABA"/>
    <w:rsid w:val="00D56D2A"/>
    <w:rsid w:val="00D57987"/>
    <w:rsid w:val="00D57AA5"/>
    <w:rsid w:val="00D57C22"/>
    <w:rsid w:val="00D6092E"/>
    <w:rsid w:val="00D60CA4"/>
    <w:rsid w:val="00D6431A"/>
    <w:rsid w:val="00D657E9"/>
    <w:rsid w:val="00D65D02"/>
    <w:rsid w:val="00D65FAC"/>
    <w:rsid w:val="00D66002"/>
    <w:rsid w:val="00D66943"/>
    <w:rsid w:val="00D67416"/>
    <w:rsid w:val="00D67DFC"/>
    <w:rsid w:val="00D67F89"/>
    <w:rsid w:val="00D7019A"/>
    <w:rsid w:val="00D70534"/>
    <w:rsid w:val="00D71160"/>
    <w:rsid w:val="00D71626"/>
    <w:rsid w:val="00D72CCF"/>
    <w:rsid w:val="00D74080"/>
    <w:rsid w:val="00D74260"/>
    <w:rsid w:val="00D753A0"/>
    <w:rsid w:val="00D758BB"/>
    <w:rsid w:val="00D758E8"/>
    <w:rsid w:val="00D75FCF"/>
    <w:rsid w:val="00D76B08"/>
    <w:rsid w:val="00D8064B"/>
    <w:rsid w:val="00D83028"/>
    <w:rsid w:val="00D8341C"/>
    <w:rsid w:val="00D84F7A"/>
    <w:rsid w:val="00D850DA"/>
    <w:rsid w:val="00D852C9"/>
    <w:rsid w:val="00D87011"/>
    <w:rsid w:val="00D872C0"/>
    <w:rsid w:val="00D87F15"/>
    <w:rsid w:val="00D923F6"/>
    <w:rsid w:val="00D93663"/>
    <w:rsid w:val="00D93B0F"/>
    <w:rsid w:val="00D9551A"/>
    <w:rsid w:val="00D955F2"/>
    <w:rsid w:val="00D95608"/>
    <w:rsid w:val="00D9739C"/>
    <w:rsid w:val="00D976A6"/>
    <w:rsid w:val="00D97D3F"/>
    <w:rsid w:val="00DA02A2"/>
    <w:rsid w:val="00DA1C7A"/>
    <w:rsid w:val="00DA3524"/>
    <w:rsid w:val="00DA59F0"/>
    <w:rsid w:val="00DA63A5"/>
    <w:rsid w:val="00DB01BF"/>
    <w:rsid w:val="00DB03E7"/>
    <w:rsid w:val="00DB2005"/>
    <w:rsid w:val="00DB2057"/>
    <w:rsid w:val="00DB37CC"/>
    <w:rsid w:val="00DB4B77"/>
    <w:rsid w:val="00DB50D0"/>
    <w:rsid w:val="00DB5EA3"/>
    <w:rsid w:val="00DB6803"/>
    <w:rsid w:val="00DB788B"/>
    <w:rsid w:val="00DB7EEB"/>
    <w:rsid w:val="00DC0D24"/>
    <w:rsid w:val="00DC13E1"/>
    <w:rsid w:val="00DC1420"/>
    <w:rsid w:val="00DC148B"/>
    <w:rsid w:val="00DC18BC"/>
    <w:rsid w:val="00DC23C7"/>
    <w:rsid w:val="00DC2593"/>
    <w:rsid w:val="00DC2EB8"/>
    <w:rsid w:val="00DC30D0"/>
    <w:rsid w:val="00DC409C"/>
    <w:rsid w:val="00DC5570"/>
    <w:rsid w:val="00DC5772"/>
    <w:rsid w:val="00DC6205"/>
    <w:rsid w:val="00DC68CF"/>
    <w:rsid w:val="00DC68D3"/>
    <w:rsid w:val="00DC68FE"/>
    <w:rsid w:val="00DC6912"/>
    <w:rsid w:val="00DC6A71"/>
    <w:rsid w:val="00DC7133"/>
    <w:rsid w:val="00DC754C"/>
    <w:rsid w:val="00DD0F01"/>
    <w:rsid w:val="00DD108B"/>
    <w:rsid w:val="00DD18DC"/>
    <w:rsid w:val="00DD3BA8"/>
    <w:rsid w:val="00DD424D"/>
    <w:rsid w:val="00DD44A8"/>
    <w:rsid w:val="00DD505B"/>
    <w:rsid w:val="00DD56D7"/>
    <w:rsid w:val="00DD5A9B"/>
    <w:rsid w:val="00DD748D"/>
    <w:rsid w:val="00DE06A9"/>
    <w:rsid w:val="00DE0838"/>
    <w:rsid w:val="00DE0931"/>
    <w:rsid w:val="00DE17D7"/>
    <w:rsid w:val="00DE2A9A"/>
    <w:rsid w:val="00DE33EA"/>
    <w:rsid w:val="00DE61AC"/>
    <w:rsid w:val="00DE7292"/>
    <w:rsid w:val="00DE77A6"/>
    <w:rsid w:val="00DE79B4"/>
    <w:rsid w:val="00DF005A"/>
    <w:rsid w:val="00DF030A"/>
    <w:rsid w:val="00DF03AE"/>
    <w:rsid w:val="00DF0923"/>
    <w:rsid w:val="00DF1951"/>
    <w:rsid w:val="00DF1D71"/>
    <w:rsid w:val="00DF2A49"/>
    <w:rsid w:val="00DF2C3B"/>
    <w:rsid w:val="00DF2D87"/>
    <w:rsid w:val="00DF3E06"/>
    <w:rsid w:val="00DF43F0"/>
    <w:rsid w:val="00DF7133"/>
    <w:rsid w:val="00DF725A"/>
    <w:rsid w:val="00DF72CF"/>
    <w:rsid w:val="00E0010A"/>
    <w:rsid w:val="00E0011E"/>
    <w:rsid w:val="00E001EA"/>
    <w:rsid w:val="00E02229"/>
    <w:rsid w:val="00E037AA"/>
    <w:rsid w:val="00E04D3F"/>
    <w:rsid w:val="00E05256"/>
    <w:rsid w:val="00E054A5"/>
    <w:rsid w:val="00E0662C"/>
    <w:rsid w:val="00E06C63"/>
    <w:rsid w:val="00E10055"/>
    <w:rsid w:val="00E1146E"/>
    <w:rsid w:val="00E132CC"/>
    <w:rsid w:val="00E135D6"/>
    <w:rsid w:val="00E1534A"/>
    <w:rsid w:val="00E153B5"/>
    <w:rsid w:val="00E15BDB"/>
    <w:rsid w:val="00E1711B"/>
    <w:rsid w:val="00E17DEF"/>
    <w:rsid w:val="00E17EEF"/>
    <w:rsid w:val="00E17FA7"/>
    <w:rsid w:val="00E200AA"/>
    <w:rsid w:val="00E2158C"/>
    <w:rsid w:val="00E22293"/>
    <w:rsid w:val="00E2243B"/>
    <w:rsid w:val="00E23715"/>
    <w:rsid w:val="00E23E31"/>
    <w:rsid w:val="00E24194"/>
    <w:rsid w:val="00E24C4B"/>
    <w:rsid w:val="00E251BD"/>
    <w:rsid w:val="00E27474"/>
    <w:rsid w:val="00E30010"/>
    <w:rsid w:val="00E304B0"/>
    <w:rsid w:val="00E330B2"/>
    <w:rsid w:val="00E33D25"/>
    <w:rsid w:val="00E3413F"/>
    <w:rsid w:val="00E3433B"/>
    <w:rsid w:val="00E3435E"/>
    <w:rsid w:val="00E34BDD"/>
    <w:rsid w:val="00E36538"/>
    <w:rsid w:val="00E3664D"/>
    <w:rsid w:val="00E367AD"/>
    <w:rsid w:val="00E36C3F"/>
    <w:rsid w:val="00E37CA8"/>
    <w:rsid w:val="00E401CB"/>
    <w:rsid w:val="00E40574"/>
    <w:rsid w:val="00E4137C"/>
    <w:rsid w:val="00E41963"/>
    <w:rsid w:val="00E41A5D"/>
    <w:rsid w:val="00E429AD"/>
    <w:rsid w:val="00E42A0D"/>
    <w:rsid w:val="00E42DD2"/>
    <w:rsid w:val="00E43294"/>
    <w:rsid w:val="00E43A87"/>
    <w:rsid w:val="00E451FC"/>
    <w:rsid w:val="00E45518"/>
    <w:rsid w:val="00E46348"/>
    <w:rsid w:val="00E5097D"/>
    <w:rsid w:val="00E512D0"/>
    <w:rsid w:val="00E51EEA"/>
    <w:rsid w:val="00E5243F"/>
    <w:rsid w:val="00E52DB5"/>
    <w:rsid w:val="00E5550D"/>
    <w:rsid w:val="00E55EDC"/>
    <w:rsid w:val="00E562C1"/>
    <w:rsid w:val="00E56CDB"/>
    <w:rsid w:val="00E57019"/>
    <w:rsid w:val="00E57FD9"/>
    <w:rsid w:val="00E60005"/>
    <w:rsid w:val="00E605C5"/>
    <w:rsid w:val="00E609D6"/>
    <w:rsid w:val="00E611CE"/>
    <w:rsid w:val="00E61EA5"/>
    <w:rsid w:val="00E62336"/>
    <w:rsid w:val="00E62BCA"/>
    <w:rsid w:val="00E62F76"/>
    <w:rsid w:val="00E63073"/>
    <w:rsid w:val="00E630DE"/>
    <w:rsid w:val="00E63B0F"/>
    <w:rsid w:val="00E6424A"/>
    <w:rsid w:val="00E64BF7"/>
    <w:rsid w:val="00E6563F"/>
    <w:rsid w:val="00E70D79"/>
    <w:rsid w:val="00E72F82"/>
    <w:rsid w:val="00E73724"/>
    <w:rsid w:val="00E73A4C"/>
    <w:rsid w:val="00E748E8"/>
    <w:rsid w:val="00E755AF"/>
    <w:rsid w:val="00E75C99"/>
    <w:rsid w:val="00E80BC2"/>
    <w:rsid w:val="00E80FC3"/>
    <w:rsid w:val="00E8146F"/>
    <w:rsid w:val="00E818CF"/>
    <w:rsid w:val="00E81DBD"/>
    <w:rsid w:val="00E81E8A"/>
    <w:rsid w:val="00E81E8C"/>
    <w:rsid w:val="00E828C3"/>
    <w:rsid w:val="00E8298C"/>
    <w:rsid w:val="00E829C8"/>
    <w:rsid w:val="00E830FC"/>
    <w:rsid w:val="00E8369C"/>
    <w:rsid w:val="00E8379C"/>
    <w:rsid w:val="00E840CD"/>
    <w:rsid w:val="00E84E5C"/>
    <w:rsid w:val="00E8621B"/>
    <w:rsid w:val="00E86B65"/>
    <w:rsid w:val="00E86C9A"/>
    <w:rsid w:val="00E86D13"/>
    <w:rsid w:val="00E8718A"/>
    <w:rsid w:val="00E9108A"/>
    <w:rsid w:val="00E9253D"/>
    <w:rsid w:val="00E92ADE"/>
    <w:rsid w:val="00E93390"/>
    <w:rsid w:val="00E93532"/>
    <w:rsid w:val="00E9409B"/>
    <w:rsid w:val="00E941F0"/>
    <w:rsid w:val="00E9507F"/>
    <w:rsid w:val="00E952EC"/>
    <w:rsid w:val="00E97494"/>
    <w:rsid w:val="00EA21FA"/>
    <w:rsid w:val="00EA2B1A"/>
    <w:rsid w:val="00EA2C91"/>
    <w:rsid w:val="00EA31AC"/>
    <w:rsid w:val="00EA4191"/>
    <w:rsid w:val="00EA5136"/>
    <w:rsid w:val="00EA521F"/>
    <w:rsid w:val="00EA5AC7"/>
    <w:rsid w:val="00EA642E"/>
    <w:rsid w:val="00EA7F89"/>
    <w:rsid w:val="00EB0825"/>
    <w:rsid w:val="00EB2D68"/>
    <w:rsid w:val="00EB3339"/>
    <w:rsid w:val="00EB3776"/>
    <w:rsid w:val="00EB459D"/>
    <w:rsid w:val="00EB4A4D"/>
    <w:rsid w:val="00EB58EA"/>
    <w:rsid w:val="00EB772E"/>
    <w:rsid w:val="00EB7B3A"/>
    <w:rsid w:val="00EB7F75"/>
    <w:rsid w:val="00EC17CB"/>
    <w:rsid w:val="00EC1F32"/>
    <w:rsid w:val="00EC2E81"/>
    <w:rsid w:val="00EC2E92"/>
    <w:rsid w:val="00EC3323"/>
    <w:rsid w:val="00EC3AC0"/>
    <w:rsid w:val="00EC41EF"/>
    <w:rsid w:val="00EC4C4A"/>
    <w:rsid w:val="00EC63A4"/>
    <w:rsid w:val="00EC6D31"/>
    <w:rsid w:val="00ED1D42"/>
    <w:rsid w:val="00ED2819"/>
    <w:rsid w:val="00ED2858"/>
    <w:rsid w:val="00ED3A00"/>
    <w:rsid w:val="00ED3BBF"/>
    <w:rsid w:val="00ED42DC"/>
    <w:rsid w:val="00ED477F"/>
    <w:rsid w:val="00ED5876"/>
    <w:rsid w:val="00ED6012"/>
    <w:rsid w:val="00ED63FC"/>
    <w:rsid w:val="00ED6401"/>
    <w:rsid w:val="00ED6C3D"/>
    <w:rsid w:val="00ED765E"/>
    <w:rsid w:val="00ED7973"/>
    <w:rsid w:val="00EE0689"/>
    <w:rsid w:val="00EE07EB"/>
    <w:rsid w:val="00EE07F3"/>
    <w:rsid w:val="00EE0BEC"/>
    <w:rsid w:val="00EE1F79"/>
    <w:rsid w:val="00EE20D8"/>
    <w:rsid w:val="00EE4418"/>
    <w:rsid w:val="00EE4E46"/>
    <w:rsid w:val="00EE5D87"/>
    <w:rsid w:val="00EE625C"/>
    <w:rsid w:val="00EE7103"/>
    <w:rsid w:val="00EF04E9"/>
    <w:rsid w:val="00EF168F"/>
    <w:rsid w:val="00EF31E5"/>
    <w:rsid w:val="00EF41C8"/>
    <w:rsid w:val="00EF4E81"/>
    <w:rsid w:val="00EF5400"/>
    <w:rsid w:val="00EF5A36"/>
    <w:rsid w:val="00EF679A"/>
    <w:rsid w:val="00EF794F"/>
    <w:rsid w:val="00F013AC"/>
    <w:rsid w:val="00F01860"/>
    <w:rsid w:val="00F022A5"/>
    <w:rsid w:val="00F024A7"/>
    <w:rsid w:val="00F05667"/>
    <w:rsid w:val="00F063D6"/>
    <w:rsid w:val="00F07621"/>
    <w:rsid w:val="00F07BB6"/>
    <w:rsid w:val="00F118D0"/>
    <w:rsid w:val="00F136B4"/>
    <w:rsid w:val="00F137AB"/>
    <w:rsid w:val="00F13B4E"/>
    <w:rsid w:val="00F143BF"/>
    <w:rsid w:val="00F1547A"/>
    <w:rsid w:val="00F15DD7"/>
    <w:rsid w:val="00F1650A"/>
    <w:rsid w:val="00F16DAF"/>
    <w:rsid w:val="00F17056"/>
    <w:rsid w:val="00F20D67"/>
    <w:rsid w:val="00F2220C"/>
    <w:rsid w:val="00F22F92"/>
    <w:rsid w:val="00F25DAE"/>
    <w:rsid w:val="00F269F6"/>
    <w:rsid w:val="00F26D3F"/>
    <w:rsid w:val="00F2765D"/>
    <w:rsid w:val="00F27737"/>
    <w:rsid w:val="00F300DF"/>
    <w:rsid w:val="00F302AF"/>
    <w:rsid w:val="00F307FB"/>
    <w:rsid w:val="00F30A9B"/>
    <w:rsid w:val="00F30C99"/>
    <w:rsid w:val="00F32388"/>
    <w:rsid w:val="00F32EDE"/>
    <w:rsid w:val="00F33497"/>
    <w:rsid w:val="00F336DE"/>
    <w:rsid w:val="00F33B85"/>
    <w:rsid w:val="00F340FE"/>
    <w:rsid w:val="00F357FD"/>
    <w:rsid w:val="00F361B4"/>
    <w:rsid w:val="00F3629B"/>
    <w:rsid w:val="00F3642E"/>
    <w:rsid w:val="00F36ABE"/>
    <w:rsid w:val="00F372B8"/>
    <w:rsid w:val="00F375A6"/>
    <w:rsid w:val="00F37B75"/>
    <w:rsid w:val="00F37D47"/>
    <w:rsid w:val="00F4030C"/>
    <w:rsid w:val="00F41846"/>
    <w:rsid w:val="00F42D95"/>
    <w:rsid w:val="00F45939"/>
    <w:rsid w:val="00F47244"/>
    <w:rsid w:val="00F472A5"/>
    <w:rsid w:val="00F50215"/>
    <w:rsid w:val="00F51659"/>
    <w:rsid w:val="00F51D71"/>
    <w:rsid w:val="00F525D1"/>
    <w:rsid w:val="00F5277D"/>
    <w:rsid w:val="00F53CED"/>
    <w:rsid w:val="00F54569"/>
    <w:rsid w:val="00F6055C"/>
    <w:rsid w:val="00F6177D"/>
    <w:rsid w:val="00F61FDD"/>
    <w:rsid w:val="00F6509A"/>
    <w:rsid w:val="00F6573D"/>
    <w:rsid w:val="00F66698"/>
    <w:rsid w:val="00F66700"/>
    <w:rsid w:val="00F66BD8"/>
    <w:rsid w:val="00F66E1C"/>
    <w:rsid w:val="00F66EFF"/>
    <w:rsid w:val="00F710FE"/>
    <w:rsid w:val="00F7161C"/>
    <w:rsid w:val="00F72B0B"/>
    <w:rsid w:val="00F740B2"/>
    <w:rsid w:val="00F75273"/>
    <w:rsid w:val="00F762F3"/>
    <w:rsid w:val="00F76355"/>
    <w:rsid w:val="00F76565"/>
    <w:rsid w:val="00F7737A"/>
    <w:rsid w:val="00F77DAD"/>
    <w:rsid w:val="00F77E93"/>
    <w:rsid w:val="00F80255"/>
    <w:rsid w:val="00F81DD0"/>
    <w:rsid w:val="00F82E1F"/>
    <w:rsid w:val="00F83262"/>
    <w:rsid w:val="00F836D3"/>
    <w:rsid w:val="00F846E0"/>
    <w:rsid w:val="00F851C0"/>
    <w:rsid w:val="00F866A0"/>
    <w:rsid w:val="00F87DD3"/>
    <w:rsid w:val="00F91BA6"/>
    <w:rsid w:val="00F921B5"/>
    <w:rsid w:val="00F948F8"/>
    <w:rsid w:val="00F94E15"/>
    <w:rsid w:val="00F95750"/>
    <w:rsid w:val="00F965A3"/>
    <w:rsid w:val="00F96B48"/>
    <w:rsid w:val="00FA01F7"/>
    <w:rsid w:val="00FA1C9E"/>
    <w:rsid w:val="00FA2372"/>
    <w:rsid w:val="00FA2779"/>
    <w:rsid w:val="00FA2D4B"/>
    <w:rsid w:val="00FA2DF3"/>
    <w:rsid w:val="00FA384E"/>
    <w:rsid w:val="00FA3F3A"/>
    <w:rsid w:val="00FA430E"/>
    <w:rsid w:val="00FA5226"/>
    <w:rsid w:val="00FA601B"/>
    <w:rsid w:val="00FA78F0"/>
    <w:rsid w:val="00FB00E9"/>
    <w:rsid w:val="00FB2F61"/>
    <w:rsid w:val="00FB3104"/>
    <w:rsid w:val="00FB3A0D"/>
    <w:rsid w:val="00FB4E2F"/>
    <w:rsid w:val="00FB51D0"/>
    <w:rsid w:val="00FB71FD"/>
    <w:rsid w:val="00FB73F2"/>
    <w:rsid w:val="00FC0177"/>
    <w:rsid w:val="00FC03A9"/>
    <w:rsid w:val="00FC040F"/>
    <w:rsid w:val="00FC0F4D"/>
    <w:rsid w:val="00FC11CF"/>
    <w:rsid w:val="00FC139F"/>
    <w:rsid w:val="00FC1775"/>
    <w:rsid w:val="00FC1AB4"/>
    <w:rsid w:val="00FC1C3D"/>
    <w:rsid w:val="00FC2169"/>
    <w:rsid w:val="00FC4C30"/>
    <w:rsid w:val="00FC515F"/>
    <w:rsid w:val="00FC52D0"/>
    <w:rsid w:val="00FC5DCB"/>
    <w:rsid w:val="00FC6471"/>
    <w:rsid w:val="00FC757A"/>
    <w:rsid w:val="00FD0E72"/>
    <w:rsid w:val="00FD10B9"/>
    <w:rsid w:val="00FD1191"/>
    <w:rsid w:val="00FD1BA1"/>
    <w:rsid w:val="00FD2747"/>
    <w:rsid w:val="00FD28BF"/>
    <w:rsid w:val="00FD2BF8"/>
    <w:rsid w:val="00FD3068"/>
    <w:rsid w:val="00FD35CF"/>
    <w:rsid w:val="00FD3C4E"/>
    <w:rsid w:val="00FD4065"/>
    <w:rsid w:val="00FD40D3"/>
    <w:rsid w:val="00FD4384"/>
    <w:rsid w:val="00FD473B"/>
    <w:rsid w:val="00FD5D36"/>
    <w:rsid w:val="00FD681A"/>
    <w:rsid w:val="00FD78C5"/>
    <w:rsid w:val="00FE0778"/>
    <w:rsid w:val="00FE0BD3"/>
    <w:rsid w:val="00FE1E7D"/>
    <w:rsid w:val="00FE1FAF"/>
    <w:rsid w:val="00FE2888"/>
    <w:rsid w:val="00FE2C89"/>
    <w:rsid w:val="00FE3161"/>
    <w:rsid w:val="00FE4380"/>
    <w:rsid w:val="00FE503A"/>
    <w:rsid w:val="00FF021D"/>
    <w:rsid w:val="00FF12AF"/>
    <w:rsid w:val="00FF3341"/>
    <w:rsid w:val="00FF34A8"/>
    <w:rsid w:val="00FF36F2"/>
    <w:rsid w:val="00FF3ABA"/>
    <w:rsid w:val="00FF42B9"/>
    <w:rsid w:val="00FF61B0"/>
    <w:rsid w:val="00FF624C"/>
    <w:rsid w:val="00FF6ECA"/>
    <w:rsid w:val="00FF7C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25CB7F2"/>
  <w15:docId w15:val="{81439072-A3D4-4639-8DE4-F6CCA1DD7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iPriority="0"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723E"/>
    <w:pPr>
      <w:suppressAutoHyphens/>
      <w:ind w:firstLine="709"/>
      <w:jc w:val="both"/>
    </w:pPr>
    <w:rPr>
      <w:sz w:val="24"/>
      <w:szCs w:val="20"/>
      <w:lang w:eastAsia="zh-CN"/>
    </w:rPr>
  </w:style>
  <w:style w:type="paragraph" w:styleId="1">
    <w:name w:val="heading 1"/>
    <w:basedOn w:val="a"/>
    <w:next w:val="a"/>
    <w:link w:val="11"/>
    <w:uiPriority w:val="99"/>
    <w:qFormat/>
    <w:rsid w:val="00826C7D"/>
    <w:pPr>
      <w:keepNext/>
      <w:numPr>
        <w:numId w:val="1"/>
      </w:numPr>
      <w:jc w:val="center"/>
      <w:outlineLvl w:val="0"/>
    </w:pPr>
    <w:rPr>
      <w:b/>
      <w:bCs/>
      <w:u w:val="single"/>
    </w:rPr>
  </w:style>
  <w:style w:type="paragraph" w:styleId="2">
    <w:name w:val="heading 2"/>
    <w:basedOn w:val="a"/>
    <w:next w:val="a"/>
    <w:link w:val="21"/>
    <w:uiPriority w:val="99"/>
    <w:qFormat/>
    <w:rsid w:val="00826C7D"/>
    <w:pPr>
      <w:keepNext/>
      <w:numPr>
        <w:ilvl w:val="1"/>
        <w:numId w:val="1"/>
      </w:numPr>
      <w:outlineLvl w:val="1"/>
    </w:pPr>
    <w:rPr>
      <w:rFonts w:eastAsia="Arial Unicode MS"/>
      <w:sz w:val="28"/>
    </w:rPr>
  </w:style>
  <w:style w:type="paragraph" w:styleId="3">
    <w:name w:val="heading 3"/>
    <w:basedOn w:val="a"/>
    <w:next w:val="a"/>
    <w:link w:val="31"/>
    <w:uiPriority w:val="99"/>
    <w:qFormat/>
    <w:rsid w:val="00826C7D"/>
    <w:pPr>
      <w:keepNext/>
      <w:numPr>
        <w:ilvl w:val="2"/>
        <w:numId w:val="1"/>
      </w:numPr>
      <w:jc w:val="center"/>
      <w:outlineLvl w:val="2"/>
    </w:pPr>
    <w:rPr>
      <w:b/>
    </w:rPr>
  </w:style>
  <w:style w:type="paragraph" w:styleId="4">
    <w:name w:val="heading 4"/>
    <w:basedOn w:val="a"/>
    <w:next w:val="a"/>
    <w:link w:val="41"/>
    <w:uiPriority w:val="99"/>
    <w:qFormat/>
    <w:rsid w:val="00826C7D"/>
    <w:pPr>
      <w:keepNext/>
      <w:tabs>
        <w:tab w:val="left" w:pos="0"/>
      </w:tabs>
      <w:spacing w:before="240" w:after="60" w:line="276" w:lineRule="auto"/>
      <w:ind w:left="864" w:hanging="864"/>
      <w:outlineLvl w:val="3"/>
    </w:pPr>
    <w:rPr>
      <w:rFonts w:ascii="Calibri" w:hAnsi="Calibri" w:cs="Calibri"/>
      <w:b/>
      <w:bCs/>
      <w:sz w:val="28"/>
      <w:szCs w:val="28"/>
    </w:rPr>
  </w:style>
  <w:style w:type="paragraph" w:styleId="7">
    <w:name w:val="heading 7"/>
    <w:basedOn w:val="a"/>
    <w:next w:val="a"/>
    <w:link w:val="71"/>
    <w:uiPriority w:val="99"/>
    <w:qFormat/>
    <w:rsid w:val="00826C7D"/>
    <w:pPr>
      <w:numPr>
        <w:ilvl w:val="6"/>
        <w:numId w:val="1"/>
      </w:numPr>
      <w:spacing w:before="240" w:after="60" w:line="276" w:lineRule="auto"/>
      <w:outlineLvl w:val="6"/>
    </w:pPr>
    <w:rPr>
      <w:rFonts w:ascii="Calibri" w:hAnsi="Calibri" w:cs="Calibri"/>
      <w:szCs w:val="24"/>
    </w:rPr>
  </w:style>
  <w:style w:type="paragraph" w:styleId="8">
    <w:name w:val="heading 8"/>
    <w:basedOn w:val="a"/>
    <w:next w:val="a"/>
    <w:link w:val="81"/>
    <w:uiPriority w:val="99"/>
    <w:qFormat/>
    <w:rsid w:val="00826C7D"/>
    <w:pPr>
      <w:numPr>
        <w:ilvl w:val="7"/>
        <w:numId w:val="1"/>
      </w:numPr>
      <w:spacing w:before="240" w:after="60" w:line="276" w:lineRule="auto"/>
      <w:outlineLvl w:val="7"/>
    </w:pPr>
    <w:rPr>
      <w:rFonts w:ascii="Calibri" w:hAnsi="Calibri" w:cs="Calibri"/>
      <w:i/>
      <w:i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uiPriority w:val="99"/>
    <w:locked/>
    <w:rsid w:val="00284999"/>
    <w:rPr>
      <w:rFonts w:ascii="Cambria" w:hAnsi="Cambria" w:cs="Times New Roman"/>
      <w:b/>
      <w:bCs/>
      <w:kern w:val="32"/>
      <w:sz w:val="32"/>
      <w:szCs w:val="32"/>
      <w:lang w:eastAsia="zh-CN"/>
    </w:rPr>
  </w:style>
  <w:style w:type="character" w:customStyle="1" w:styleId="21">
    <w:name w:val="Заголовок 2 Знак1"/>
    <w:basedOn w:val="a0"/>
    <w:link w:val="2"/>
    <w:uiPriority w:val="99"/>
    <w:semiHidden/>
    <w:locked/>
    <w:rsid w:val="00284999"/>
    <w:rPr>
      <w:rFonts w:ascii="Cambria" w:hAnsi="Cambria" w:cs="Times New Roman"/>
      <w:b/>
      <w:bCs/>
      <w:i/>
      <w:iCs/>
      <w:sz w:val="28"/>
      <w:szCs w:val="28"/>
      <w:lang w:eastAsia="zh-CN"/>
    </w:rPr>
  </w:style>
  <w:style w:type="character" w:customStyle="1" w:styleId="31">
    <w:name w:val="Заголовок 3 Знак1"/>
    <w:basedOn w:val="a0"/>
    <w:link w:val="3"/>
    <w:uiPriority w:val="99"/>
    <w:semiHidden/>
    <w:locked/>
    <w:rsid w:val="00284999"/>
    <w:rPr>
      <w:rFonts w:ascii="Cambria" w:hAnsi="Cambria" w:cs="Times New Roman"/>
      <w:b/>
      <w:bCs/>
      <w:sz w:val="26"/>
      <w:szCs w:val="26"/>
      <w:lang w:eastAsia="zh-CN"/>
    </w:rPr>
  </w:style>
  <w:style w:type="character" w:customStyle="1" w:styleId="41">
    <w:name w:val="Заголовок 4 Знак1"/>
    <w:basedOn w:val="a0"/>
    <w:link w:val="4"/>
    <w:uiPriority w:val="99"/>
    <w:semiHidden/>
    <w:locked/>
    <w:rsid w:val="00284999"/>
    <w:rPr>
      <w:rFonts w:ascii="Calibri" w:hAnsi="Calibri" w:cs="Times New Roman"/>
      <w:b/>
      <w:bCs/>
      <w:sz w:val="28"/>
      <w:szCs w:val="28"/>
      <w:lang w:eastAsia="zh-CN"/>
    </w:rPr>
  </w:style>
  <w:style w:type="character" w:customStyle="1" w:styleId="71">
    <w:name w:val="Заголовок 7 Знак1"/>
    <w:basedOn w:val="a0"/>
    <w:link w:val="7"/>
    <w:uiPriority w:val="99"/>
    <w:semiHidden/>
    <w:locked/>
    <w:rsid w:val="00284999"/>
    <w:rPr>
      <w:rFonts w:ascii="Calibri" w:hAnsi="Calibri" w:cs="Times New Roman"/>
      <w:sz w:val="24"/>
      <w:szCs w:val="24"/>
      <w:lang w:eastAsia="zh-CN"/>
    </w:rPr>
  </w:style>
  <w:style w:type="character" w:customStyle="1" w:styleId="81">
    <w:name w:val="Заголовок 8 Знак1"/>
    <w:basedOn w:val="a0"/>
    <w:link w:val="8"/>
    <w:uiPriority w:val="99"/>
    <w:semiHidden/>
    <w:locked/>
    <w:rsid w:val="00284999"/>
    <w:rPr>
      <w:rFonts w:ascii="Calibri" w:hAnsi="Calibri" w:cs="Times New Roman"/>
      <w:i/>
      <w:iCs/>
      <w:sz w:val="24"/>
      <w:szCs w:val="24"/>
      <w:lang w:eastAsia="zh-CN"/>
    </w:rPr>
  </w:style>
  <w:style w:type="character" w:customStyle="1" w:styleId="12">
    <w:name w:val="Основной шрифт абзаца12"/>
    <w:uiPriority w:val="99"/>
    <w:rsid w:val="00826C7D"/>
  </w:style>
  <w:style w:type="character" w:customStyle="1" w:styleId="110">
    <w:name w:val="Основной шрифт абзаца11"/>
    <w:uiPriority w:val="99"/>
    <w:rsid w:val="00826C7D"/>
  </w:style>
  <w:style w:type="character" w:customStyle="1" w:styleId="10">
    <w:name w:val="Основной шрифт абзаца10"/>
    <w:uiPriority w:val="99"/>
    <w:rsid w:val="00826C7D"/>
  </w:style>
  <w:style w:type="character" w:customStyle="1" w:styleId="Absatz-Standardschriftart">
    <w:name w:val="Absatz-Standardschriftart"/>
    <w:uiPriority w:val="99"/>
    <w:rsid w:val="00826C7D"/>
  </w:style>
  <w:style w:type="character" w:customStyle="1" w:styleId="9">
    <w:name w:val="Основной шрифт абзаца9"/>
    <w:uiPriority w:val="99"/>
    <w:rsid w:val="00826C7D"/>
  </w:style>
  <w:style w:type="character" w:customStyle="1" w:styleId="80">
    <w:name w:val="Основной шрифт абзаца8"/>
    <w:uiPriority w:val="99"/>
    <w:rsid w:val="00826C7D"/>
  </w:style>
  <w:style w:type="character" w:customStyle="1" w:styleId="70">
    <w:name w:val="Основной шрифт абзаца7"/>
    <w:uiPriority w:val="99"/>
    <w:rsid w:val="00826C7D"/>
  </w:style>
  <w:style w:type="character" w:customStyle="1" w:styleId="6">
    <w:name w:val="Основной шрифт абзаца6"/>
    <w:uiPriority w:val="99"/>
    <w:rsid w:val="00826C7D"/>
  </w:style>
  <w:style w:type="character" w:customStyle="1" w:styleId="5">
    <w:name w:val="Основной шрифт абзаца5"/>
    <w:uiPriority w:val="99"/>
    <w:rsid w:val="00826C7D"/>
  </w:style>
  <w:style w:type="character" w:customStyle="1" w:styleId="WW-Absatz-Standardschriftart">
    <w:name w:val="WW-Absatz-Standardschriftart"/>
    <w:uiPriority w:val="99"/>
    <w:rsid w:val="00826C7D"/>
  </w:style>
  <w:style w:type="character" w:customStyle="1" w:styleId="40">
    <w:name w:val="Основной шрифт абзаца4"/>
    <w:uiPriority w:val="99"/>
    <w:rsid w:val="00826C7D"/>
  </w:style>
  <w:style w:type="character" w:customStyle="1" w:styleId="WW-Absatz-Standardschriftart1">
    <w:name w:val="WW-Absatz-Standardschriftart1"/>
    <w:uiPriority w:val="99"/>
    <w:rsid w:val="00826C7D"/>
  </w:style>
  <w:style w:type="character" w:customStyle="1" w:styleId="30">
    <w:name w:val="Основной шрифт абзаца3"/>
    <w:uiPriority w:val="99"/>
    <w:rsid w:val="00826C7D"/>
  </w:style>
  <w:style w:type="character" w:customStyle="1" w:styleId="WW-Absatz-Standardschriftart11">
    <w:name w:val="WW-Absatz-Standardschriftart11"/>
    <w:uiPriority w:val="99"/>
    <w:rsid w:val="00826C7D"/>
  </w:style>
  <w:style w:type="character" w:customStyle="1" w:styleId="WW-Absatz-Standardschriftart111">
    <w:name w:val="WW-Absatz-Standardschriftart111"/>
    <w:uiPriority w:val="99"/>
    <w:rsid w:val="00826C7D"/>
  </w:style>
  <w:style w:type="character" w:customStyle="1" w:styleId="WW-Absatz-Standardschriftart1111">
    <w:name w:val="WW-Absatz-Standardschriftart1111"/>
    <w:uiPriority w:val="99"/>
    <w:rsid w:val="00826C7D"/>
  </w:style>
  <w:style w:type="character" w:customStyle="1" w:styleId="WW-Absatz-Standardschriftart11111">
    <w:name w:val="WW-Absatz-Standardschriftart11111"/>
    <w:uiPriority w:val="99"/>
    <w:rsid w:val="00826C7D"/>
  </w:style>
  <w:style w:type="character" w:customStyle="1" w:styleId="WW8Num2z0">
    <w:name w:val="WW8Num2z0"/>
    <w:uiPriority w:val="99"/>
    <w:rsid w:val="00826C7D"/>
    <w:rPr>
      <w:rFonts w:ascii="Times New Roman" w:hAnsi="Times New Roman"/>
    </w:rPr>
  </w:style>
  <w:style w:type="character" w:customStyle="1" w:styleId="20">
    <w:name w:val="Основной шрифт абзаца2"/>
    <w:uiPriority w:val="99"/>
    <w:rsid w:val="00826C7D"/>
  </w:style>
  <w:style w:type="character" w:customStyle="1" w:styleId="WW8Num1z0">
    <w:name w:val="WW8Num1z0"/>
    <w:uiPriority w:val="99"/>
    <w:rsid w:val="00826C7D"/>
    <w:rPr>
      <w:rFonts w:ascii="Times New Roman" w:hAnsi="Times New Roman"/>
    </w:rPr>
  </w:style>
  <w:style w:type="character" w:customStyle="1" w:styleId="WW8Num2z1">
    <w:name w:val="WW8Num2z1"/>
    <w:uiPriority w:val="99"/>
    <w:rsid w:val="00826C7D"/>
    <w:rPr>
      <w:rFonts w:ascii="Courier New" w:hAnsi="Courier New"/>
    </w:rPr>
  </w:style>
  <w:style w:type="character" w:customStyle="1" w:styleId="WW8Num2z2">
    <w:name w:val="WW8Num2z2"/>
    <w:uiPriority w:val="99"/>
    <w:rsid w:val="00826C7D"/>
    <w:rPr>
      <w:rFonts w:ascii="Wingdings" w:hAnsi="Wingdings"/>
    </w:rPr>
  </w:style>
  <w:style w:type="character" w:customStyle="1" w:styleId="WW8Num2z3">
    <w:name w:val="WW8Num2z3"/>
    <w:uiPriority w:val="99"/>
    <w:rsid w:val="00826C7D"/>
    <w:rPr>
      <w:rFonts w:ascii="Symbol" w:hAnsi="Symbol"/>
    </w:rPr>
  </w:style>
  <w:style w:type="character" w:customStyle="1" w:styleId="WW8Num6z0">
    <w:name w:val="WW8Num6z0"/>
    <w:uiPriority w:val="99"/>
    <w:rsid w:val="00826C7D"/>
    <w:rPr>
      <w:rFonts w:ascii="Wingdings" w:hAnsi="Wingdings"/>
    </w:rPr>
  </w:style>
  <w:style w:type="character" w:customStyle="1" w:styleId="WW8Num6z1">
    <w:name w:val="WW8Num6z1"/>
    <w:uiPriority w:val="99"/>
    <w:rsid w:val="00826C7D"/>
    <w:rPr>
      <w:rFonts w:ascii="Courier New" w:hAnsi="Courier New"/>
    </w:rPr>
  </w:style>
  <w:style w:type="character" w:customStyle="1" w:styleId="WW8Num6z3">
    <w:name w:val="WW8Num6z3"/>
    <w:uiPriority w:val="99"/>
    <w:rsid w:val="00826C7D"/>
    <w:rPr>
      <w:rFonts w:ascii="Symbol" w:hAnsi="Symbol"/>
    </w:rPr>
  </w:style>
  <w:style w:type="character" w:customStyle="1" w:styleId="WW8Num7z0">
    <w:name w:val="WW8Num7z0"/>
    <w:uiPriority w:val="99"/>
    <w:rsid w:val="00826C7D"/>
    <w:rPr>
      <w:rFonts w:ascii="Symbol" w:hAnsi="Symbol"/>
    </w:rPr>
  </w:style>
  <w:style w:type="character" w:customStyle="1" w:styleId="WW8Num7z1">
    <w:name w:val="WW8Num7z1"/>
    <w:uiPriority w:val="99"/>
    <w:rsid w:val="00826C7D"/>
    <w:rPr>
      <w:rFonts w:ascii="Courier New" w:hAnsi="Courier New"/>
    </w:rPr>
  </w:style>
  <w:style w:type="character" w:customStyle="1" w:styleId="WW8Num7z2">
    <w:name w:val="WW8Num7z2"/>
    <w:uiPriority w:val="99"/>
    <w:rsid w:val="00826C7D"/>
    <w:rPr>
      <w:rFonts w:ascii="Wingdings" w:hAnsi="Wingdings"/>
    </w:rPr>
  </w:style>
  <w:style w:type="character" w:customStyle="1" w:styleId="13">
    <w:name w:val="Основной шрифт абзаца1"/>
    <w:uiPriority w:val="99"/>
    <w:rsid w:val="00826C7D"/>
  </w:style>
  <w:style w:type="character" w:styleId="a3">
    <w:name w:val="page number"/>
    <w:basedOn w:val="13"/>
    <w:uiPriority w:val="99"/>
    <w:rsid w:val="00826C7D"/>
    <w:rPr>
      <w:rFonts w:cs="Times New Roman"/>
    </w:rPr>
  </w:style>
  <w:style w:type="character" w:customStyle="1" w:styleId="a4">
    <w:name w:val="Гипертекстовая ссылка"/>
    <w:uiPriority w:val="99"/>
    <w:rsid w:val="00826C7D"/>
    <w:rPr>
      <w:color w:val="008000"/>
    </w:rPr>
  </w:style>
  <w:style w:type="character" w:customStyle="1" w:styleId="BodyTextIndent2Char">
    <w:name w:val="Body Text Indent 2 Char"/>
    <w:uiPriority w:val="99"/>
    <w:locked/>
    <w:rsid w:val="00826C7D"/>
    <w:rPr>
      <w:sz w:val="24"/>
      <w:lang w:val="ru-RU"/>
    </w:rPr>
  </w:style>
  <w:style w:type="character" w:customStyle="1" w:styleId="a5">
    <w:name w:val="Текст Знак"/>
    <w:uiPriority w:val="99"/>
    <w:rsid w:val="00826C7D"/>
    <w:rPr>
      <w:rFonts w:ascii="Courier New" w:hAnsi="Courier New"/>
      <w:lang w:val="ru-RU"/>
    </w:rPr>
  </w:style>
  <w:style w:type="character" w:customStyle="1" w:styleId="TitleChar">
    <w:name w:val="Title Char"/>
    <w:uiPriority w:val="99"/>
    <w:locked/>
    <w:rsid w:val="00826C7D"/>
    <w:rPr>
      <w:b/>
      <w:sz w:val="24"/>
      <w:lang w:val="ru-RU"/>
    </w:rPr>
  </w:style>
  <w:style w:type="character" w:customStyle="1" w:styleId="a6">
    <w:name w:val="Основной текст с отступом Знак"/>
    <w:uiPriority w:val="99"/>
    <w:rsid w:val="00826C7D"/>
    <w:rPr>
      <w:sz w:val="24"/>
      <w:lang w:val="ru-RU"/>
    </w:rPr>
  </w:style>
  <w:style w:type="character" w:styleId="a7">
    <w:name w:val="Strong"/>
    <w:basedOn w:val="a0"/>
    <w:uiPriority w:val="22"/>
    <w:qFormat/>
    <w:rsid w:val="00826C7D"/>
    <w:rPr>
      <w:rFonts w:cs="Times New Roman"/>
      <w:b/>
    </w:rPr>
  </w:style>
  <w:style w:type="character" w:customStyle="1" w:styleId="a8">
    <w:name w:val="Нижний колонтитул Знак"/>
    <w:basedOn w:val="13"/>
    <w:uiPriority w:val="99"/>
    <w:rsid w:val="00826C7D"/>
    <w:rPr>
      <w:rFonts w:cs="Times New Roman"/>
    </w:rPr>
  </w:style>
  <w:style w:type="character" w:customStyle="1" w:styleId="a9">
    <w:name w:val="Текст концевой сноски Знак"/>
    <w:basedOn w:val="13"/>
    <w:uiPriority w:val="99"/>
    <w:rsid w:val="00826C7D"/>
    <w:rPr>
      <w:rFonts w:cs="Times New Roman"/>
    </w:rPr>
  </w:style>
  <w:style w:type="character" w:customStyle="1" w:styleId="aa">
    <w:name w:val="Символы концевой сноски"/>
    <w:uiPriority w:val="99"/>
    <w:rsid w:val="00826C7D"/>
    <w:rPr>
      <w:vertAlign w:val="superscript"/>
    </w:rPr>
  </w:style>
  <w:style w:type="character" w:customStyle="1" w:styleId="ab">
    <w:name w:val="Текст сноски Знак"/>
    <w:basedOn w:val="13"/>
    <w:uiPriority w:val="99"/>
    <w:rsid w:val="00826C7D"/>
    <w:rPr>
      <w:rFonts w:cs="Times New Roman"/>
    </w:rPr>
  </w:style>
  <w:style w:type="character" w:customStyle="1" w:styleId="ac">
    <w:name w:val="Символ сноски"/>
    <w:uiPriority w:val="99"/>
    <w:rsid w:val="00826C7D"/>
    <w:rPr>
      <w:vertAlign w:val="superscript"/>
    </w:rPr>
  </w:style>
  <w:style w:type="character" w:customStyle="1" w:styleId="22">
    <w:name w:val="Основной текст 2 Знак"/>
    <w:basedOn w:val="13"/>
    <w:uiPriority w:val="99"/>
    <w:rsid w:val="00826C7D"/>
    <w:rPr>
      <w:rFonts w:cs="Times New Roman"/>
    </w:rPr>
  </w:style>
  <w:style w:type="character" w:customStyle="1" w:styleId="72">
    <w:name w:val="Заголовок 7 Знак"/>
    <w:uiPriority w:val="99"/>
    <w:rsid w:val="00826C7D"/>
    <w:rPr>
      <w:rFonts w:ascii="Calibri" w:hAnsi="Calibri"/>
      <w:sz w:val="24"/>
    </w:rPr>
  </w:style>
  <w:style w:type="character" w:customStyle="1" w:styleId="82">
    <w:name w:val="Заголовок 8 Знак"/>
    <w:uiPriority w:val="99"/>
    <w:rsid w:val="00826C7D"/>
    <w:rPr>
      <w:rFonts w:ascii="Calibri" w:hAnsi="Calibri"/>
      <w:i/>
      <w:sz w:val="24"/>
    </w:rPr>
  </w:style>
  <w:style w:type="character" w:customStyle="1" w:styleId="ad">
    <w:name w:val="Основной текст Знак"/>
    <w:uiPriority w:val="99"/>
    <w:rsid w:val="00826C7D"/>
    <w:rPr>
      <w:sz w:val="24"/>
    </w:rPr>
  </w:style>
  <w:style w:type="character" w:customStyle="1" w:styleId="BodyTextIndent3Char">
    <w:name w:val="Body Text Indent 3 Char"/>
    <w:uiPriority w:val="99"/>
    <w:locked/>
    <w:rsid w:val="00826C7D"/>
    <w:rPr>
      <w:sz w:val="24"/>
    </w:rPr>
  </w:style>
  <w:style w:type="character" w:customStyle="1" w:styleId="14">
    <w:name w:val="Заголовок 1 Знак"/>
    <w:uiPriority w:val="99"/>
    <w:rsid w:val="00826C7D"/>
    <w:rPr>
      <w:b/>
      <w:sz w:val="24"/>
      <w:u w:val="single"/>
    </w:rPr>
  </w:style>
  <w:style w:type="character" w:customStyle="1" w:styleId="23">
    <w:name w:val="Заголовок 2 Знак"/>
    <w:uiPriority w:val="99"/>
    <w:rsid w:val="00826C7D"/>
    <w:rPr>
      <w:rFonts w:eastAsia="Arial Unicode MS"/>
      <w:sz w:val="28"/>
    </w:rPr>
  </w:style>
  <w:style w:type="character" w:customStyle="1" w:styleId="32">
    <w:name w:val="Заголовок 3 Знак"/>
    <w:uiPriority w:val="99"/>
    <w:rsid w:val="00826C7D"/>
    <w:rPr>
      <w:b/>
      <w:sz w:val="24"/>
    </w:rPr>
  </w:style>
  <w:style w:type="character" w:customStyle="1" w:styleId="ae">
    <w:name w:val="Верхний колонтитул Знак"/>
    <w:basedOn w:val="13"/>
    <w:uiPriority w:val="99"/>
    <w:rsid w:val="00826C7D"/>
    <w:rPr>
      <w:rFonts w:cs="Times New Roman"/>
    </w:rPr>
  </w:style>
  <w:style w:type="character" w:customStyle="1" w:styleId="af">
    <w:name w:val="Без интервала Знак"/>
    <w:rsid w:val="00826C7D"/>
    <w:rPr>
      <w:rFonts w:ascii="Calibri" w:hAnsi="Calibri"/>
      <w:sz w:val="22"/>
      <w:lang w:val="ru-RU"/>
    </w:rPr>
  </w:style>
  <w:style w:type="character" w:customStyle="1" w:styleId="apple-converted-space">
    <w:name w:val="apple-converted-space"/>
    <w:basedOn w:val="13"/>
    <w:rsid w:val="00826C7D"/>
    <w:rPr>
      <w:rFonts w:cs="Times New Roman"/>
    </w:rPr>
  </w:style>
  <w:style w:type="character" w:customStyle="1" w:styleId="42">
    <w:name w:val="Заголовок 4 Знак"/>
    <w:uiPriority w:val="99"/>
    <w:rsid w:val="00826C7D"/>
    <w:rPr>
      <w:rFonts w:ascii="Calibri" w:hAnsi="Calibri"/>
      <w:b/>
      <w:sz w:val="28"/>
    </w:rPr>
  </w:style>
  <w:style w:type="character" w:customStyle="1" w:styleId="210">
    <w:name w:val="Основной текст с отступом 2 Знак1"/>
    <w:basedOn w:val="80"/>
    <w:uiPriority w:val="99"/>
    <w:rsid w:val="00826C7D"/>
    <w:rPr>
      <w:rFonts w:cs="Times New Roman"/>
    </w:rPr>
  </w:style>
  <w:style w:type="character" w:customStyle="1" w:styleId="15">
    <w:name w:val="Название Знак1"/>
    <w:uiPriority w:val="99"/>
    <w:rsid w:val="00826C7D"/>
    <w:rPr>
      <w:rFonts w:ascii="Cambria" w:hAnsi="Cambria"/>
      <w:b/>
      <w:kern w:val="1"/>
      <w:sz w:val="32"/>
    </w:rPr>
  </w:style>
  <w:style w:type="character" w:customStyle="1" w:styleId="FontStyle12">
    <w:name w:val="Font Style12"/>
    <w:uiPriority w:val="99"/>
    <w:rsid w:val="00826C7D"/>
    <w:rPr>
      <w:rFonts w:ascii="Times New Roman" w:hAnsi="Times New Roman"/>
      <w:sz w:val="28"/>
    </w:rPr>
  </w:style>
  <w:style w:type="paragraph" w:customStyle="1" w:styleId="16">
    <w:name w:val="Заголовок1"/>
    <w:basedOn w:val="a"/>
    <w:next w:val="af0"/>
    <w:uiPriority w:val="99"/>
    <w:rsid w:val="00826C7D"/>
    <w:pPr>
      <w:keepNext/>
      <w:spacing w:before="240" w:after="120"/>
    </w:pPr>
    <w:rPr>
      <w:rFonts w:ascii="Arial" w:eastAsia="Microsoft YaHei" w:hAnsi="Arial" w:cs="Mangal"/>
      <w:sz w:val="28"/>
      <w:szCs w:val="28"/>
    </w:rPr>
  </w:style>
  <w:style w:type="paragraph" w:styleId="af0">
    <w:name w:val="Body Text"/>
    <w:basedOn w:val="a"/>
    <w:link w:val="17"/>
    <w:uiPriority w:val="99"/>
    <w:rsid w:val="00826C7D"/>
  </w:style>
  <w:style w:type="character" w:customStyle="1" w:styleId="17">
    <w:name w:val="Основной текст Знак1"/>
    <w:basedOn w:val="a0"/>
    <w:link w:val="af0"/>
    <w:uiPriority w:val="99"/>
    <w:locked/>
    <w:rsid w:val="00284999"/>
    <w:rPr>
      <w:rFonts w:cs="Times New Roman"/>
      <w:sz w:val="20"/>
      <w:szCs w:val="20"/>
      <w:lang w:eastAsia="zh-CN"/>
    </w:rPr>
  </w:style>
  <w:style w:type="paragraph" w:styleId="af1">
    <w:name w:val="List"/>
    <w:basedOn w:val="af0"/>
    <w:uiPriority w:val="99"/>
    <w:rsid w:val="00826C7D"/>
    <w:rPr>
      <w:rFonts w:cs="Mangal"/>
    </w:rPr>
  </w:style>
  <w:style w:type="paragraph" w:styleId="af2">
    <w:name w:val="caption"/>
    <w:basedOn w:val="a"/>
    <w:uiPriority w:val="99"/>
    <w:qFormat/>
    <w:rsid w:val="00826C7D"/>
    <w:pPr>
      <w:suppressLineNumbers/>
      <w:spacing w:before="120" w:after="120"/>
    </w:pPr>
    <w:rPr>
      <w:rFonts w:cs="Mangal"/>
      <w:i/>
      <w:iCs/>
      <w:szCs w:val="24"/>
    </w:rPr>
  </w:style>
  <w:style w:type="paragraph" w:customStyle="1" w:styleId="120">
    <w:name w:val="Указатель12"/>
    <w:basedOn w:val="a"/>
    <w:uiPriority w:val="99"/>
    <w:rsid w:val="00826C7D"/>
    <w:pPr>
      <w:suppressLineNumbers/>
    </w:pPr>
    <w:rPr>
      <w:rFonts w:cs="Mangal"/>
    </w:rPr>
  </w:style>
  <w:style w:type="paragraph" w:customStyle="1" w:styleId="43">
    <w:name w:val="Название объекта4"/>
    <w:basedOn w:val="a"/>
    <w:uiPriority w:val="99"/>
    <w:rsid w:val="00826C7D"/>
    <w:pPr>
      <w:suppressLineNumbers/>
      <w:spacing w:before="120" w:after="120"/>
    </w:pPr>
    <w:rPr>
      <w:rFonts w:cs="Mangal"/>
      <w:i/>
      <w:iCs/>
      <w:szCs w:val="24"/>
    </w:rPr>
  </w:style>
  <w:style w:type="paragraph" w:customStyle="1" w:styleId="111">
    <w:name w:val="Указатель11"/>
    <w:basedOn w:val="a"/>
    <w:uiPriority w:val="99"/>
    <w:rsid w:val="00826C7D"/>
    <w:pPr>
      <w:suppressLineNumbers/>
    </w:pPr>
    <w:rPr>
      <w:rFonts w:cs="Mangal"/>
    </w:rPr>
  </w:style>
  <w:style w:type="paragraph" w:customStyle="1" w:styleId="33">
    <w:name w:val="Название объекта3"/>
    <w:basedOn w:val="a"/>
    <w:uiPriority w:val="99"/>
    <w:rsid w:val="00826C7D"/>
    <w:pPr>
      <w:suppressLineNumbers/>
      <w:spacing w:before="120" w:after="120"/>
    </w:pPr>
    <w:rPr>
      <w:rFonts w:cs="Mangal"/>
      <w:i/>
      <w:iCs/>
      <w:szCs w:val="24"/>
    </w:rPr>
  </w:style>
  <w:style w:type="paragraph" w:customStyle="1" w:styleId="100">
    <w:name w:val="Указатель10"/>
    <w:basedOn w:val="a"/>
    <w:uiPriority w:val="99"/>
    <w:rsid w:val="00826C7D"/>
    <w:pPr>
      <w:suppressLineNumbers/>
    </w:pPr>
    <w:rPr>
      <w:rFonts w:cs="Mangal"/>
    </w:rPr>
  </w:style>
  <w:style w:type="paragraph" w:customStyle="1" w:styleId="73">
    <w:name w:val="Название7"/>
    <w:basedOn w:val="a"/>
    <w:next w:val="af3"/>
    <w:uiPriority w:val="99"/>
    <w:rsid w:val="00826C7D"/>
    <w:pPr>
      <w:suppressAutoHyphens w:val="0"/>
      <w:jc w:val="center"/>
    </w:pPr>
    <w:rPr>
      <w:b/>
      <w:bCs/>
    </w:rPr>
  </w:style>
  <w:style w:type="paragraph" w:customStyle="1" w:styleId="90">
    <w:name w:val="Указатель9"/>
    <w:basedOn w:val="a"/>
    <w:uiPriority w:val="99"/>
    <w:rsid w:val="00826C7D"/>
    <w:pPr>
      <w:suppressLineNumbers/>
    </w:pPr>
    <w:rPr>
      <w:rFonts w:cs="Mangal"/>
    </w:rPr>
  </w:style>
  <w:style w:type="paragraph" w:customStyle="1" w:styleId="60">
    <w:name w:val="Название6"/>
    <w:basedOn w:val="a"/>
    <w:uiPriority w:val="99"/>
    <w:rsid w:val="00826C7D"/>
    <w:pPr>
      <w:suppressLineNumbers/>
      <w:spacing w:before="120" w:after="120"/>
    </w:pPr>
    <w:rPr>
      <w:rFonts w:cs="Mangal"/>
      <w:i/>
      <w:iCs/>
      <w:szCs w:val="24"/>
    </w:rPr>
  </w:style>
  <w:style w:type="paragraph" w:customStyle="1" w:styleId="83">
    <w:name w:val="Указатель8"/>
    <w:basedOn w:val="a"/>
    <w:uiPriority w:val="99"/>
    <w:rsid w:val="00826C7D"/>
    <w:pPr>
      <w:suppressLineNumbers/>
    </w:pPr>
    <w:rPr>
      <w:rFonts w:cs="Mangal"/>
    </w:rPr>
  </w:style>
  <w:style w:type="paragraph" w:customStyle="1" w:styleId="50">
    <w:name w:val="Название5"/>
    <w:basedOn w:val="a"/>
    <w:uiPriority w:val="99"/>
    <w:rsid w:val="00826C7D"/>
    <w:pPr>
      <w:suppressLineNumbers/>
      <w:spacing w:before="120" w:after="120"/>
    </w:pPr>
    <w:rPr>
      <w:rFonts w:cs="Mangal"/>
      <w:i/>
      <w:iCs/>
      <w:szCs w:val="24"/>
    </w:rPr>
  </w:style>
  <w:style w:type="paragraph" w:customStyle="1" w:styleId="74">
    <w:name w:val="Указатель7"/>
    <w:basedOn w:val="a"/>
    <w:uiPriority w:val="99"/>
    <w:rsid w:val="00826C7D"/>
    <w:pPr>
      <w:suppressLineNumbers/>
    </w:pPr>
    <w:rPr>
      <w:rFonts w:cs="Mangal"/>
    </w:rPr>
  </w:style>
  <w:style w:type="paragraph" w:customStyle="1" w:styleId="44">
    <w:name w:val="Название4"/>
    <w:basedOn w:val="a"/>
    <w:uiPriority w:val="99"/>
    <w:rsid w:val="00826C7D"/>
    <w:pPr>
      <w:suppressLineNumbers/>
      <w:spacing w:before="120" w:after="120"/>
    </w:pPr>
    <w:rPr>
      <w:rFonts w:cs="Mangal"/>
      <w:i/>
      <w:iCs/>
      <w:szCs w:val="24"/>
    </w:rPr>
  </w:style>
  <w:style w:type="paragraph" w:customStyle="1" w:styleId="61">
    <w:name w:val="Указатель6"/>
    <w:basedOn w:val="a"/>
    <w:uiPriority w:val="99"/>
    <w:rsid w:val="00826C7D"/>
    <w:pPr>
      <w:suppressLineNumbers/>
    </w:pPr>
    <w:rPr>
      <w:rFonts w:cs="Mangal"/>
    </w:rPr>
  </w:style>
  <w:style w:type="paragraph" w:customStyle="1" w:styleId="24">
    <w:name w:val="Название объекта2"/>
    <w:basedOn w:val="a"/>
    <w:uiPriority w:val="99"/>
    <w:rsid w:val="00826C7D"/>
    <w:pPr>
      <w:suppressLineNumbers/>
      <w:spacing w:before="120" w:after="120"/>
    </w:pPr>
    <w:rPr>
      <w:rFonts w:cs="Mangal"/>
      <w:i/>
      <w:iCs/>
      <w:szCs w:val="24"/>
    </w:rPr>
  </w:style>
  <w:style w:type="paragraph" w:customStyle="1" w:styleId="51">
    <w:name w:val="Указатель5"/>
    <w:basedOn w:val="a"/>
    <w:uiPriority w:val="99"/>
    <w:rsid w:val="00826C7D"/>
    <w:pPr>
      <w:suppressLineNumbers/>
    </w:pPr>
    <w:rPr>
      <w:rFonts w:cs="Mangal"/>
    </w:rPr>
  </w:style>
  <w:style w:type="paragraph" w:customStyle="1" w:styleId="34">
    <w:name w:val="Название3"/>
    <w:basedOn w:val="a"/>
    <w:uiPriority w:val="99"/>
    <w:rsid w:val="00826C7D"/>
    <w:pPr>
      <w:suppressLineNumbers/>
      <w:spacing w:before="120" w:after="120"/>
    </w:pPr>
    <w:rPr>
      <w:rFonts w:cs="Mangal"/>
      <w:i/>
      <w:iCs/>
      <w:szCs w:val="24"/>
    </w:rPr>
  </w:style>
  <w:style w:type="paragraph" w:customStyle="1" w:styleId="45">
    <w:name w:val="Указатель4"/>
    <w:basedOn w:val="a"/>
    <w:uiPriority w:val="99"/>
    <w:rsid w:val="00826C7D"/>
    <w:pPr>
      <w:suppressLineNumbers/>
    </w:pPr>
    <w:rPr>
      <w:rFonts w:cs="Mangal"/>
    </w:rPr>
  </w:style>
  <w:style w:type="paragraph" w:customStyle="1" w:styleId="18">
    <w:name w:val="Название объекта1"/>
    <w:basedOn w:val="a"/>
    <w:next w:val="af3"/>
    <w:uiPriority w:val="99"/>
    <w:rsid w:val="00826C7D"/>
    <w:pPr>
      <w:jc w:val="center"/>
    </w:pPr>
    <w:rPr>
      <w:b/>
      <w:bCs/>
    </w:rPr>
  </w:style>
  <w:style w:type="paragraph" w:customStyle="1" w:styleId="35">
    <w:name w:val="Указатель3"/>
    <w:basedOn w:val="a"/>
    <w:uiPriority w:val="99"/>
    <w:rsid w:val="00826C7D"/>
    <w:pPr>
      <w:suppressLineNumbers/>
    </w:pPr>
    <w:rPr>
      <w:rFonts w:cs="Mangal"/>
    </w:rPr>
  </w:style>
  <w:style w:type="paragraph" w:customStyle="1" w:styleId="25">
    <w:name w:val="Название2"/>
    <w:basedOn w:val="a"/>
    <w:uiPriority w:val="99"/>
    <w:rsid w:val="00826C7D"/>
    <w:pPr>
      <w:suppressLineNumbers/>
      <w:spacing w:before="120" w:after="120"/>
    </w:pPr>
    <w:rPr>
      <w:rFonts w:cs="Mangal"/>
      <w:i/>
      <w:iCs/>
      <w:szCs w:val="24"/>
    </w:rPr>
  </w:style>
  <w:style w:type="paragraph" w:customStyle="1" w:styleId="26">
    <w:name w:val="Указатель2"/>
    <w:basedOn w:val="a"/>
    <w:uiPriority w:val="99"/>
    <w:rsid w:val="00826C7D"/>
    <w:pPr>
      <w:suppressLineNumbers/>
    </w:pPr>
    <w:rPr>
      <w:rFonts w:cs="Mangal"/>
    </w:rPr>
  </w:style>
  <w:style w:type="paragraph" w:customStyle="1" w:styleId="19">
    <w:name w:val="Название1"/>
    <w:basedOn w:val="a"/>
    <w:uiPriority w:val="99"/>
    <w:rsid w:val="00826C7D"/>
    <w:pPr>
      <w:suppressLineNumbers/>
      <w:spacing w:before="120" w:after="120"/>
    </w:pPr>
    <w:rPr>
      <w:rFonts w:cs="Mangal"/>
      <w:i/>
      <w:iCs/>
      <w:szCs w:val="24"/>
    </w:rPr>
  </w:style>
  <w:style w:type="paragraph" w:customStyle="1" w:styleId="1a">
    <w:name w:val="Указатель1"/>
    <w:basedOn w:val="a"/>
    <w:uiPriority w:val="99"/>
    <w:rsid w:val="00826C7D"/>
    <w:pPr>
      <w:suppressLineNumbers/>
    </w:pPr>
    <w:rPr>
      <w:rFonts w:cs="Mangal"/>
    </w:rPr>
  </w:style>
  <w:style w:type="paragraph" w:customStyle="1" w:styleId="ConsPlusNormal">
    <w:name w:val="ConsPlusNormal"/>
    <w:rsid w:val="00826C7D"/>
    <w:pPr>
      <w:widowControl w:val="0"/>
      <w:suppressAutoHyphens/>
      <w:autoSpaceDE w:val="0"/>
      <w:ind w:firstLine="720"/>
    </w:pPr>
    <w:rPr>
      <w:rFonts w:ascii="Arial" w:hAnsi="Arial" w:cs="Arial"/>
      <w:sz w:val="20"/>
      <w:szCs w:val="20"/>
      <w:lang w:eastAsia="zh-CN"/>
    </w:rPr>
  </w:style>
  <w:style w:type="paragraph" w:styleId="af3">
    <w:name w:val="Subtitle"/>
    <w:basedOn w:val="16"/>
    <w:next w:val="af0"/>
    <w:link w:val="af4"/>
    <w:uiPriority w:val="99"/>
    <w:qFormat/>
    <w:rsid w:val="00826C7D"/>
    <w:pPr>
      <w:jc w:val="center"/>
    </w:pPr>
    <w:rPr>
      <w:rFonts w:cs="Times New Roman"/>
      <w:i/>
      <w:iCs/>
    </w:rPr>
  </w:style>
  <w:style w:type="character" w:customStyle="1" w:styleId="af4">
    <w:name w:val="Подзаголовок Знак"/>
    <w:basedOn w:val="a0"/>
    <w:link w:val="af3"/>
    <w:uiPriority w:val="99"/>
    <w:locked/>
    <w:rsid w:val="002A65CC"/>
    <w:rPr>
      <w:rFonts w:ascii="Arial" w:eastAsia="Microsoft YaHei" w:hAnsi="Arial" w:cs="Times New Roman"/>
      <w:i/>
      <w:sz w:val="28"/>
      <w:lang w:eastAsia="zh-CN"/>
    </w:rPr>
  </w:style>
  <w:style w:type="paragraph" w:styleId="af5">
    <w:name w:val="Body Text Indent"/>
    <w:basedOn w:val="a"/>
    <w:link w:val="1b"/>
    <w:uiPriority w:val="99"/>
    <w:rsid w:val="00826C7D"/>
    <w:pPr>
      <w:ind w:right="-766" w:firstLine="720"/>
    </w:pPr>
  </w:style>
  <w:style w:type="character" w:customStyle="1" w:styleId="1b">
    <w:name w:val="Основной текст с отступом Знак1"/>
    <w:basedOn w:val="a0"/>
    <w:link w:val="af5"/>
    <w:uiPriority w:val="99"/>
    <w:locked/>
    <w:rsid w:val="00284999"/>
    <w:rPr>
      <w:rFonts w:cs="Times New Roman"/>
      <w:sz w:val="20"/>
      <w:szCs w:val="20"/>
      <w:lang w:eastAsia="zh-CN"/>
    </w:rPr>
  </w:style>
  <w:style w:type="paragraph" w:customStyle="1" w:styleId="220">
    <w:name w:val="Основной текст с отступом 22"/>
    <w:basedOn w:val="a"/>
    <w:uiPriority w:val="99"/>
    <w:rsid w:val="00826C7D"/>
    <w:pPr>
      <w:ind w:right="-1050" w:firstLine="720"/>
    </w:pPr>
  </w:style>
  <w:style w:type="paragraph" w:customStyle="1" w:styleId="310">
    <w:name w:val="Основной текст с отступом 31"/>
    <w:basedOn w:val="a"/>
    <w:uiPriority w:val="99"/>
    <w:rsid w:val="00826C7D"/>
    <w:pPr>
      <w:ind w:left="780"/>
    </w:pPr>
  </w:style>
  <w:style w:type="paragraph" w:customStyle="1" w:styleId="af6">
    <w:name w:val="Знак"/>
    <w:basedOn w:val="a"/>
    <w:uiPriority w:val="99"/>
    <w:rsid w:val="00826C7D"/>
    <w:pPr>
      <w:widowControl w:val="0"/>
      <w:spacing w:after="160" w:line="240" w:lineRule="exact"/>
      <w:jc w:val="right"/>
    </w:pPr>
    <w:rPr>
      <w:lang w:val="en-GB"/>
    </w:rPr>
  </w:style>
  <w:style w:type="paragraph" w:styleId="af7">
    <w:name w:val="header"/>
    <w:basedOn w:val="a"/>
    <w:link w:val="1c"/>
    <w:uiPriority w:val="99"/>
    <w:rsid w:val="00826C7D"/>
    <w:pPr>
      <w:tabs>
        <w:tab w:val="center" w:pos="4677"/>
        <w:tab w:val="right" w:pos="9355"/>
      </w:tabs>
    </w:pPr>
  </w:style>
  <w:style w:type="character" w:customStyle="1" w:styleId="1c">
    <w:name w:val="Верхний колонтитул Знак1"/>
    <w:basedOn w:val="a0"/>
    <w:link w:val="af7"/>
    <w:uiPriority w:val="99"/>
    <w:semiHidden/>
    <w:locked/>
    <w:rsid w:val="00284999"/>
    <w:rPr>
      <w:rFonts w:cs="Times New Roman"/>
      <w:sz w:val="20"/>
      <w:szCs w:val="20"/>
      <w:lang w:eastAsia="zh-CN"/>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826C7D"/>
    <w:rPr>
      <w:rFonts w:ascii="Verdana" w:hAnsi="Verdana" w:cs="Verdana"/>
      <w:lang w:val="en-US"/>
    </w:rPr>
  </w:style>
  <w:style w:type="paragraph" w:customStyle="1" w:styleId="1d">
    <w:name w:val="Без интервала1"/>
    <w:uiPriority w:val="99"/>
    <w:rsid w:val="00826C7D"/>
    <w:pPr>
      <w:suppressAutoHyphens/>
    </w:pPr>
    <w:rPr>
      <w:rFonts w:ascii="Calibri" w:hAnsi="Calibri" w:cs="Calibri"/>
      <w:lang w:eastAsia="zh-CN"/>
    </w:rPr>
  </w:style>
  <w:style w:type="paragraph" w:customStyle="1" w:styleId="211">
    <w:name w:val="Основной текст с отступом 21"/>
    <w:basedOn w:val="a"/>
    <w:uiPriority w:val="99"/>
    <w:rsid w:val="00826C7D"/>
    <w:pPr>
      <w:ind w:firstLine="851"/>
    </w:pPr>
  </w:style>
  <w:style w:type="paragraph" w:styleId="af8">
    <w:name w:val="No Spacing"/>
    <w:link w:val="1e"/>
    <w:uiPriority w:val="1"/>
    <w:qFormat/>
    <w:rsid w:val="00826C7D"/>
    <w:pPr>
      <w:suppressAutoHyphens/>
    </w:pPr>
    <w:rPr>
      <w:rFonts w:ascii="Calibri" w:hAnsi="Calibri" w:cs="Calibri"/>
      <w:lang w:eastAsia="zh-CN"/>
    </w:rPr>
  </w:style>
  <w:style w:type="paragraph" w:customStyle="1" w:styleId="1f">
    <w:name w:val="Обычный1"/>
    <w:uiPriority w:val="99"/>
    <w:rsid w:val="00826C7D"/>
    <w:pPr>
      <w:widowControl w:val="0"/>
      <w:suppressAutoHyphens/>
      <w:spacing w:line="300" w:lineRule="auto"/>
      <w:ind w:firstLine="720"/>
      <w:jc w:val="both"/>
    </w:pPr>
    <w:rPr>
      <w:szCs w:val="20"/>
      <w:lang w:eastAsia="zh-CN"/>
    </w:rPr>
  </w:style>
  <w:style w:type="paragraph" w:customStyle="1" w:styleId="ConsNormal">
    <w:name w:val="ConsNormal"/>
    <w:uiPriority w:val="99"/>
    <w:rsid w:val="00826C7D"/>
    <w:pPr>
      <w:widowControl w:val="0"/>
      <w:suppressAutoHyphens/>
      <w:snapToGrid w:val="0"/>
      <w:ind w:firstLine="720"/>
    </w:pPr>
    <w:rPr>
      <w:rFonts w:ascii="Arial" w:hAnsi="Arial" w:cs="Arial"/>
      <w:szCs w:val="20"/>
      <w:lang w:eastAsia="zh-CN"/>
    </w:rPr>
  </w:style>
  <w:style w:type="paragraph" w:styleId="af9">
    <w:name w:val="Normal (Web)"/>
    <w:aliases w:val="Обычный (веб)1,Обычный (веб) Знак,Обычный (веб) Знак1,Обычный (веб) Знак Знак"/>
    <w:basedOn w:val="a"/>
    <w:uiPriority w:val="99"/>
    <w:rsid w:val="00826C7D"/>
    <w:pPr>
      <w:spacing w:after="240"/>
    </w:pPr>
    <w:rPr>
      <w:szCs w:val="24"/>
    </w:rPr>
  </w:style>
  <w:style w:type="paragraph" w:customStyle="1" w:styleId="ConsPlusNonformat">
    <w:name w:val="ConsPlusNonformat"/>
    <w:rsid w:val="00826C7D"/>
    <w:pPr>
      <w:suppressAutoHyphens/>
      <w:autoSpaceDE w:val="0"/>
    </w:pPr>
    <w:rPr>
      <w:rFonts w:ascii="Courier New" w:hAnsi="Courier New" w:cs="Courier New"/>
      <w:sz w:val="20"/>
      <w:szCs w:val="20"/>
      <w:lang w:eastAsia="zh-CN"/>
    </w:rPr>
  </w:style>
  <w:style w:type="paragraph" w:customStyle="1" w:styleId="212">
    <w:name w:val="Основной текст 21"/>
    <w:basedOn w:val="a"/>
    <w:uiPriority w:val="99"/>
    <w:rsid w:val="00826C7D"/>
  </w:style>
  <w:style w:type="paragraph" w:customStyle="1" w:styleId="afa">
    <w:name w:val="Знак Знак Знак Знак Знак Знак"/>
    <w:basedOn w:val="a"/>
    <w:uiPriority w:val="99"/>
    <w:rsid w:val="00826C7D"/>
    <w:pPr>
      <w:spacing w:after="160" w:line="240" w:lineRule="exact"/>
    </w:pPr>
    <w:rPr>
      <w:rFonts w:ascii="Verdana" w:hAnsi="Verdana" w:cs="Verdana"/>
      <w:lang w:val="en-US"/>
    </w:rPr>
  </w:style>
  <w:style w:type="paragraph" w:customStyle="1" w:styleId="1f0">
    <w:name w:val="Текст1"/>
    <w:basedOn w:val="a"/>
    <w:uiPriority w:val="99"/>
    <w:rsid w:val="00826C7D"/>
    <w:rPr>
      <w:rFonts w:ascii="Courier New" w:hAnsi="Courier New" w:cs="Courier New"/>
    </w:rPr>
  </w:style>
  <w:style w:type="paragraph" w:styleId="afb">
    <w:name w:val="List Paragraph"/>
    <w:aliases w:val="Абзац списка основной"/>
    <w:basedOn w:val="a"/>
    <w:link w:val="afc"/>
    <w:uiPriority w:val="34"/>
    <w:qFormat/>
    <w:rsid w:val="00826C7D"/>
    <w:pPr>
      <w:ind w:left="720"/>
    </w:pPr>
  </w:style>
  <w:style w:type="paragraph" w:customStyle="1" w:styleId="320">
    <w:name w:val="Основной текст с отступом 32"/>
    <w:basedOn w:val="a"/>
    <w:uiPriority w:val="99"/>
    <w:rsid w:val="00826C7D"/>
    <w:pPr>
      <w:tabs>
        <w:tab w:val="left" w:pos="9639"/>
      </w:tabs>
      <w:spacing w:line="360" w:lineRule="auto"/>
      <w:ind w:firstLine="720"/>
    </w:pPr>
    <w:rPr>
      <w:sz w:val="28"/>
    </w:rPr>
  </w:style>
  <w:style w:type="paragraph" w:customStyle="1" w:styleId="note">
    <w:name w:val="note"/>
    <w:basedOn w:val="a"/>
    <w:uiPriority w:val="99"/>
    <w:rsid w:val="00826C7D"/>
    <w:pPr>
      <w:spacing w:before="280" w:after="280"/>
    </w:pPr>
    <w:rPr>
      <w:szCs w:val="24"/>
    </w:rPr>
  </w:style>
  <w:style w:type="paragraph" w:styleId="afd">
    <w:name w:val="footer"/>
    <w:basedOn w:val="a"/>
    <w:link w:val="1f1"/>
    <w:uiPriority w:val="99"/>
    <w:rsid w:val="00826C7D"/>
    <w:pPr>
      <w:tabs>
        <w:tab w:val="center" w:pos="4677"/>
        <w:tab w:val="right" w:pos="9355"/>
      </w:tabs>
    </w:pPr>
  </w:style>
  <w:style w:type="character" w:customStyle="1" w:styleId="1f1">
    <w:name w:val="Нижний колонтитул Знак1"/>
    <w:basedOn w:val="a0"/>
    <w:link w:val="afd"/>
    <w:uiPriority w:val="99"/>
    <w:semiHidden/>
    <w:locked/>
    <w:rsid w:val="00284999"/>
    <w:rPr>
      <w:rFonts w:cs="Times New Roman"/>
      <w:sz w:val="20"/>
      <w:szCs w:val="20"/>
      <w:lang w:eastAsia="zh-CN"/>
    </w:rPr>
  </w:style>
  <w:style w:type="paragraph" w:styleId="afe">
    <w:name w:val="endnote text"/>
    <w:basedOn w:val="a"/>
    <w:link w:val="1f2"/>
    <w:uiPriority w:val="99"/>
    <w:rsid w:val="00826C7D"/>
  </w:style>
  <w:style w:type="character" w:customStyle="1" w:styleId="1f2">
    <w:name w:val="Текст концевой сноски Знак1"/>
    <w:basedOn w:val="a0"/>
    <w:link w:val="afe"/>
    <w:uiPriority w:val="99"/>
    <w:semiHidden/>
    <w:locked/>
    <w:rsid w:val="00284999"/>
    <w:rPr>
      <w:rFonts w:cs="Times New Roman"/>
      <w:sz w:val="20"/>
      <w:szCs w:val="20"/>
      <w:lang w:eastAsia="zh-CN"/>
    </w:rPr>
  </w:style>
  <w:style w:type="paragraph" w:styleId="aff">
    <w:name w:val="footnote text"/>
    <w:basedOn w:val="a"/>
    <w:link w:val="1f3"/>
    <w:uiPriority w:val="99"/>
    <w:rsid w:val="00826C7D"/>
  </w:style>
  <w:style w:type="character" w:customStyle="1" w:styleId="1f3">
    <w:name w:val="Текст сноски Знак1"/>
    <w:basedOn w:val="a0"/>
    <w:link w:val="aff"/>
    <w:uiPriority w:val="99"/>
    <w:locked/>
    <w:rsid w:val="00284999"/>
    <w:rPr>
      <w:rFonts w:cs="Times New Roman"/>
      <w:sz w:val="20"/>
      <w:szCs w:val="20"/>
      <w:lang w:eastAsia="zh-CN"/>
    </w:rPr>
  </w:style>
  <w:style w:type="paragraph" w:customStyle="1" w:styleId="221">
    <w:name w:val="Основной текст 22"/>
    <w:basedOn w:val="a"/>
    <w:uiPriority w:val="99"/>
    <w:rsid w:val="00826C7D"/>
    <w:pPr>
      <w:spacing w:after="120" w:line="480" w:lineRule="auto"/>
    </w:pPr>
  </w:style>
  <w:style w:type="paragraph" w:customStyle="1" w:styleId="aff0">
    <w:name w:val="Последний абзац"/>
    <w:basedOn w:val="221"/>
    <w:link w:val="aff1"/>
    <w:uiPriority w:val="99"/>
    <w:qFormat/>
    <w:rsid w:val="00826C7D"/>
    <w:pPr>
      <w:widowControl w:val="0"/>
      <w:spacing w:after="0" w:line="360" w:lineRule="auto"/>
    </w:pPr>
    <w:rPr>
      <w:sz w:val="28"/>
      <w:szCs w:val="22"/>
    </w:rPr>
  </w:style>
  <w:style w:type="paragraph" w:customStyle="1" w:styleId="112">
    <w:name w:val="Обычный11"/>
    <w:uiPriority w:val="99"/>
    <w:rsid w:val="00826C7D"/>
    <w:pPr>
      <w:widowControl w:val="0"/>
      <w:suppressAutoHyphens/>
      <w:snapToGrid w:val="0"/>
      <w:spacing w:line="300" w:lineRule="auto"/>
      <w:ind w:firstLine="720"/>
      <w:jc w:val="both"/>
    </w:pPr>
    <w:rPr>
      <w:rFonts w:ascii="Calibri" w:hAnsi="Calibri" w:cs="Calibri"/>
      <w:lang w:eastAsia="zh-CN"/>
    </w:rPr>
  </w:style>
  <w:style w:type="paragraph" w:customStyle="1" w:styleId="52">
    <w:name w:val="Знак5 Знак Знак Знак"/>
    <w:basedOn w:val="a"/>
    <w:uiPriority w:val="99"/>
    <w:rsid w:val="00826C7D"/>
    <w:pPr>
      <w:spacing w:after="160" w:line="240" w:lineRule="exact"/>
    </w:pPr>
    <w:rPr>
      <w:rFonts w:ascii="Verdana" w:hAnsi="Verdana" w:cs="Verdana"/>
      <w:lang w:val="en-US"/>
    </w:rPr>
  </w:style>
  <w:style w:type="paragraph" w:customStyle="1" w:styleId="BodyTextIndent31">
    <w:name w:val="Body Text Indent 31"/>
    <w:basedOn w:val="a"/>
    <w:uiPriority w:val="99"/>
    <w:rsid w:val="00826C7D"/>
    <w:pPr>
      <w:spacing w:line="360" w:lineRule="auto"/>
    </w:pPr>
    <w:rPr>
      <w:sz w:val="28"/>
    </w:rPr>
  </w:style>
  <w:style w:type="paragraph" w:customStyle="1" w:styleId="1f4">
    <w:name w:val="Знак1"/>
    <w:basedOn w:val="a"/>
    <w:uiPriority w:val="99"/>
    <w:rsid w:val="00826C7D"/>
    <w:rPr>
      <w:rFonts w:ascii="Verdana" w:hAnsi="Verdana" w:cs="Verdana"/>
      <w:lang w:val="en-US"/>
    </w:rPr>
  </w:style>
  <w:style w:type="paragraph" w:customStyle="1" w:styleId="1f5">
    <w:name w:val="1"/>
    <w:basedOn w:val="a"/>
    <w:uiPriority w:val="99"/>
    <w:rsid w:val="00826C7D"/>
    <w:pPr>
      <w:spacing w:after="160" w:line="240" w:lineRule="exact"/>
    </w:pPr>
  </w:style>
  <w:style w:type="paragraph" w:customStyle="1" w:styleId="atlp">
    <w:name w:val="atl_p"/>
    <w:basedOn w:val="a"/>
    <w:rsid w:val="00826C7D"/>
    <w:pPr>
      <w:spacing w:before="280" w:after="280"/>
    </w:pPr>
    <w:rPr>
      <w:szCs w:val="24"/>
    </w:rPr>
  </w:style>
  <w:style w:type="paragraph" w:customStyle="1" w:styleId="ConsPlusTitle">
    <w:name w:val="ConsPlusTitle"/>
    <w:rsid w:val="00826C7D"/>
    <w:pPr>
      <w:widowControl w:val="0"/>
      <w:suppressAutoHyphens/>
      <w:autoSpaceDE w:val="0"/>
    </w:pPr>
    <w:rPr>
      <w:rFonts w:ascii="Arial" w:hAnsi="Arial" w:cs="Arial"/>
      <w:b/>
      <w:bCs/>
      <w:sz w:val="16"/>
      <w:szCs w:val="16"/>
      <w:lang w:eastAsia="zh-CN"/>
    </w:rPr>
  </w:style>
  <w:style w:type="paragraph" w:customStyle="1" w:styleId="consplustitle0">
    <w:name w:val="consplustitle"/>
    <w:basedOn w:val="a"/>
    <w:uiPriority w:val="99"/>
    <w:rsid w:val="00826C7D"/>
    <w:pPr>
      <w:spacing w:before="280" w:after="280"/>
    </w:pPr>
    <w:rPr>
      <w:szCs w:val="24"/>
    </w:rPr>
  </w:style>
  <w:style w:type="paragraph" w:customStyle="1" w:styleId="a00">
    <w:name w:val="a0"/>
    <w:basedOn w:val="a"/>
    <w:uiPriority w:val="99"/>
    <w:rsid w:val="00826C7D"/>
    <w:pPr>
      <w:spacing w:before="280" w:after="280"/>
    </w:pPr>
    <w:rPr>
      <w:szCs w:val="24"/>
    </w:rPr>
  </w:style>
  <w:style w:type="paragraph" w:customStyle="1" w:styleId="aff2">
    <w:name w:val="Содержимое таблицы"/>
    <w:basedOn w:val="a"/>
    <w:uiPriority w:val="99"/>
    <w:rsid w:val="00826C7D"/>
    <w:pPr>
      <w:suppressLineNumbers/>
    </w:pPr>
  </w:style>
  <w:style w:type="paragraph" w:customStyle="1" w:styleId="aff3">
    <w:name w:val="Заголовок таблицы"/>
    <w:basedOn w:val="aff2"/>
    <w:uiPriority w:val="99"/>
    <w:rsid w:val="00826C7D"/>
    <w:pPr>
      <w:jc w:val="center"/>
    </w:pPr>
    <w:rPr>
      <w:b/>
      <w:bCs/>
    </w:rPr>
  </w:style>
  <w:style w:type="paragraph" w:customStyle="1" w:styleId="aff4">
    <w:name w:val="Содержимое врезки"/>
    <w:basedOn w:val="af0"/>
    <w:uiPriority w:val="99"/>
    <w:rsid w:val="00826C7D"/>
  </w:style>
  <w:style w:type="paragraph" w:customStyle="1" w:styleId="230">
    <w:name w:val="Основной текст с отступом 23"/>
    <w:basedOn w:val="a"/>
    <w:uiPriority w:val="99"/>
    <w:rsid w:val="00826C7D"/>
    <w:pPr>
      <w:spacing w:after="120" w:line="480" w:lineRule="auto"/>
      <w:ind w:left="283"/>
    </w:pPr>
  </w:style>
  <w:style w:type="paragraph" w:customStyle="1" w:styleId="321">
    <w:name w:val="Основной текст с отступом 321"/>
    <w:basedOn w:val="a"/>
    <w:uiPriority w:val="99"/>
    <w:rsid w:val="00826C7D"/>
    <w:pPr>
      <w:spacing w:after="120"/>
      <w:ind w:left="283"/>
    </w:pPr>
    <w:rPr>
      <w:sz w:val="16"/>
      <w:szCs w:val="16"/>
    </w:rPr>
  </w:style>
  <w:style w:type="paragraph" w:customStyle="1" w:styleId="240">
    <w:name w:val="Основной текст с отступом 24"/>
    <w:basedOn w:val="a"/>
    <w:uiPriority w:val="99"/>
    <w:rsid w:val="00826C7D"/>
    <w:pPr>
      <w:spacing w:after="120" w:line="480" w:lineRule="auto"/>
      <w:ind w:left="283"/>
    </w:pPr>
  </w:style>
  <w:style w:type="paragraph" w:customStyle="1" w:styleId="250">
    <w:name w:val="Основной текст с отступом 25"/>
    <w:basedOn w:val="a"/>
    <w:uiPriority w:val="99"/>
    <w:rsid w:val="00826C7D"/>
    <w:pPr>
      <w:spacing w:after="120" w:line="480" w:lineRule="auto"/>
      <w:ind w:left="283"/>
    </w:pPr>
  </w:style>
  <w:style w:type="paragraph" w:customStyle="1" w:styleId="231">
    <w:name w:val="Основной текст 23"/>
    <w:basedOn w:val="a"/>
    <w:uiPriority w:val="99"/>
    <w:rsid w:val="00826C7D"/>
    <w:pPr>
      <w:suppressAutoHyphens w:val="0"/>
      <w:spacing w:after="120" w:line="480" w:lineRule="auto"/>
    </w:pPr>
  </w:style>
  <w:style w:type="paragraph" w:customStyle="1" w:styleId="260">
    <w:name w:val="Основной текст с отступом 26"/>
    <w:basedOn w:val="a"/>
    <w:uiPriority w:val="99"/>
    <w:rsid w:val="00826C7D"/>
    <w:pPr>
      <w:spacing w:after="120" w:line="480" w:lineRule="auto"/>
      <w:ind w:left="283"/>
    </w:pPr>
  </w:style>
  <w:style w:type="paragraph" w:customStyle="1" w:styleId="Standard">
    <w:name w:val="Standard"/>
    <w:uiPriority w:val="99"/>
    <w:rsid w:val="000C7967"/>
    <w:pPr>
      <w:widowControl w:val="0"/>
      <w:suppressAutoHyphens/>
      <w:autoSpaceDN w:val="0"/>
      <w:textAlignment w:val="baseline"/>
    </w:pPr>
    <w:rPr>
      <w:rFonts w:cs="Tahoma"/>
      <w:kern w:val="3"/>
      <w:sz w:val="24"/>
      <w:szCs w:val="24"/>
      <w:lang w:val="de-DE" w:eastAsia="ja-JP" w:bidi="fa-IR"/>
    </w:rPr>
  </w:style>
  <w:style w:type="paragraph" w:styleId="27">
    <w:name w:val="Body Text Indent 2"/>
    <w:basedOn w:val="a"/>
    <w:link w:val="28"/>
    <w:uiPriority w:val="99"/>
    <w:semiHidden/>
    <w:rsid w:val="000E7694"/>
    <w:pPr>
      <w:spacing w:after="120" w:line="480" w:lineRule="auto"/>
      <w:ind w:left="283"/>
    </w:pPr>
  </w:style>
  <w:style w:type="character" w:customStyle="1" w:styleId="28">
    <w:name w:val="Основной текст с отступом 2 Знак"/>
    <w:basedOn w:val="a0"/>
    <w:link w:val="27"/>
    <w:uiPriority w:val="99"/>
    <w:locked/>
    <w:rsid w:val="00284999"/>
    <w:rPr>
      <w:rFonts w:cs="Times New Roman"/>
      <w:sz w:val="20"/>
      <w:szCs w:val="20"/>
      <w:lang w:eastAsia="zh-CN"/>
    </w:rPr>
  </w:style>
  <w:style w:type="character" w:customStyle="1" w:styleId="222">
    <w:name w:val="Основной текст с отступом 2 Знак2"/>
    <w:uiPriority w:val="99"/>
    <w:semiHidden/>
    <w:rsid w:val="000E7694"/>
    <w:rPr>
      <w:lang w:eastAsia="zh-CN"/>
    </w:rPr>
  </w:style>
  <w:style w:type="paragraph" w:styleId="36">
    <w:name w:val="Body Text Indent 3"/>
    <w:basedOn w:val="a"/>
    <w:link w:val="37"/>
    <w:uiPriority w:val="99"/>
    <w:semiHidden/>
    <w:rsid w:val="000E7694"/>
    <w:pPr>
      <w:spacing w:after="120"/>
      <w:ind w:left="283"/>
    </w:pPr>
  </w:style>
  <w:style w:type="character" w:customStyle="1" w:styleId="37">
    <w:name w:val="Основной текст с отступом 3 Знак"/>
    <w:basedOn w:val="a0"/>
    <w:link w:val="36"/>
    <w:uiPriority w:val="99"/>
    <w:semiHidden/>
    <w:locked/>
    <w:rsid w:val="00284999"/>
    <w:rPr>
      <w:rFonts w:cs="Times New Roman"/>
      <w:sz w:val="16"/>
      <w:szCs w:val="16"/>
      <w:lang w:eastAsia="zh-CN"/>
    </w:rPr>
  </w:style>
  <w:style w:type="character" w:customStyle="1" w:styleId="311">
    <w:name w:val="Основной текст с отступом 3 Знак1"/>
    <w:uiPriority w:val="99"/>
    <w:semiHidden/>
    <w:rsid w:val="000E7694"/>
    <w:rPr>
      <w:sz w:val="16"/>
      <w:lang w:eastAsia="zh-CN"/>
    </w:rPr>
  </w:style>
  <w:style w:type="paragraph" w:styleId="aff5">
    <w:name w:val="Title"/>
    <w:basedOn w:val="a"/>
    <w:link w:val="aff6"/>
    <w:qFormat/>
    <w:rsid w:val="000E7694"/>
    <w:pPr>
      <w:suppressAutoHyphens w:val="0"/>
      <w:jc w:val="center"/>
    </w:pPr>
    <w:rPr>
      <w:b/>
    </w:rPr>
  </w:style>
  <w:style w:type="character" w:customStyle="1" w:styleId="aff6">
    <w:name w:val="Заголовок Знак"/>
    <w:basedOn w:val="a0"/>
    <w:link w:val="aff5"/>
    <w:locked/>
    <w:rsid w:val="00284999"/>
    <w:rPr>
      <w:rFonts w:ascii="Cambria" w:hAnsi="Cambria" w:cs="Times New Roman"/>
      <w:b/>
      <w:bCs/>
      <w:kern w:val="28"/>
      <w:sz w:val="32"/>
      <w:szCs w:val="32"/>
      <w:lang w:eastAsia="zh-CN"/>
    </w:rPr>
  </w:style>
  <w:style w:type="character" w:customStyle="1" w:styleId="29">
    <w:name w:val="Название Знак2"/>
    <w:uiPriority w:val="99"/>
    <w:rsid w:val="000E7694"/>
    <w:rPr>
      <w:rFonts w:ascii="Cambria" w:hAnsi="Cambria"/>
      <w:b/>
      <w:kern w:val="28"/>
      <w:sz w:val="32"/>
      <w:lang w:eastAsia="zh-CN"/>
    </w:rPr>
  </w:style>
  <w:style w:type="paragraph" w:styleId="2a">
    <w:name w:val="Body Text 2"/>
    <w:basedOn w:val="a"/>
    <w:link w:val="213"/>
    <w:uiPriority w:val="99"/>
    <w:rsid w:val="00453026"/>
    <w:pPr>
      <w:spacing w:after="120" w:line="480" w:lineRule="auto"/>
    </w:pPr>
  </w:style>
  <w:style w:type="character" w:customStyle="1" w:styleId="213">
    <w:name w:val="Основной текст 2 Знак1"/>
    <w:basedOn w:val="a0"/>
    <w:link w:val="2a"/>
    <w:uiPriority w:val="99"/>
    <w:locked/>
    <w:rsid w:val="00453026"/>
    <w:rPr>
      <w:rFonts w:cs="Times New Roman"/>
      <w:lang w:eastAsia="zh-CN"/>
    </w:rPr>
  </w:style>
  <w:style w:type="paragraph" w:customStyle="1" w:styleId="Textbodyindent">
    <w:name w:val="Text body indent"/>
    <w:basedOn w:val="Standard"/>
    <w:uiPriority w:val="99"/>
    <w:rsid w:val="00453026"/>
    <w:pPr>
      <w:widowControl/>
      <w:spacing w:after="120" w:line="276" w:lineRule="auto"/>
      <w:ind w:left="283"/>
    </w:pPr>
    <w:rPr>
      <w:rFonts w:ascii="Calibri" w:hAnsi="Calibri" w:cs="Calibri"/>
      <w:sz w:val="22"/>
      <w:szCs w:val="22"/>
      <w:lang w:val="ru-RU" w:eastAsia="zh-CN" w:bidi="ar-SA"/>
    </w:rPr>
  </w:style>
  <w:style w:type="character" w:customStyle="1" w:styleId="FontStyle11">
    <w:name w:val="Font Style11"/>
    <w:uiPriority w:val="99"/>
    <w:rsid w:val="004F5F5B"/>
    <w:rPr>
      <w:rFonts w:ascii="Times New Roman" w:hAnsi="Times New Roman"/>
      <w:sz w:val="26"/>
    </w:rPr>
  </w:style>
  <w:style w:type="character" w:styleId="aff7">
    <w:name w:val="Hyperlink"/>
    <w:basedOn w:val="a0"/>
    <w:uiPriority w:val="99"/>
    <w:rsid w:val="002A65CC"/>
    <w:rPr>
      <w:rFonts w:cs="Times New Roman"/>
      <w:color w:val="0000FF"/>
      <w:u w:val="single"/>
    </w:rPr>
  </w:style>
  <w:style w:type="paragraph" w:styleId="aff8">
    <w:name w:val="Block Text"/>
    <w:basedOn w:val="a"/>
    <w:rsid w:val="00430614"/>
    <w:pPr>
      <w:widowControl w:val="0"/>
      <w:suppressAutoHyphens w:val="0"/>
      <w:spacing w:before="120" w:line="320" w:lineRule="exact"/>
      <w:ind w:left="1540" w:right="1500"/>
      <w:jc w:val="center"/>
    </w:pPr>
    <w:rPr>
      <w:sz w:val="28"/>
      <w:lang w:eastAsia="ru-RU"/>
    </w:rPr>
  </w:style>
  <w:style w:type="paragraph" w:styleId="aff9">
    <w:name w:val="Balloon Text"/>
    <w:basedOn w:val="a"/>
    <w:link w:val="affa"/>
    <w:uiPriority w:val="99"/>
    <w:semiHidden/>
    <w:rsid w:val="001A587D"/>
    <w:rPr>
      <w:rFonts w:ascii="Segoe UI" w:hAnsi="Segoe UI"/>
      <w:sz w:val="18"/>
      <w:szCs w:val="18"/>
    </w:rPr>
  </w:style>
  <w:style w:type="character" w:customStyle="1" w:styleId="affa">
    <w:name w:val="Текст выноски Знак"/>
    <w:basedOn w:val="a0"/>
    <w:link w:val="aff9"/>
    <w:uiPriority w:val="99"/>
    <w:semiHidden/>
    <w:locked/>
    <w:rsid w:val="001A587D"/>
    <w:rPr>
      <w:rFonts w:ascii="Segoe UI" w:hAnsi="Segoe UI" w:cs="Times New Roman"/>
      <w:sz w:val="18"/>
      <w:lang w:eastAsia="zh-CN"/>
    </w:rPr>
  </w:style>
  <w:style w:type="character" w:customStyle="1" w:styleId="aff1">
    <w:name w:val="Последний абзац Знак"/>
    <w:basedOn w:val="a0"/>
    <w:link w:val="aff0"/>
    <w:uiPriority w:val="99"/>
    <w:locked/>
    <w:rsid w:val="0093504D"/>
    <w:rPr>
      <w:rFonts w:eastAsia="Times New Roman" w:cs="Times New Roman"/>
      <w:sz w:val="22"/>
      <w:szCs w:val="22"/>
      <w:lang w:eastAsia="zh-CN"/>
    </w:rPr>
  </w:style>
  <w:style w:type="character" w:customStyle="1" w:styleId="1e">
    <w:name w:val="Без интервала Знак1"/>
    <w:basedOn w:val="a0"/>
    <w:link w:val="af8"/>
    <w:uiPriority w:val="99"/>
    <w:locked/>
    <w:rsid w:val="00345BF3"/>
    <w:rPr>
      <w:rFonts w:ascii="Calibri" w:hAnsi="Calibri" w:cs="Calibri"/>
      <w:sz w:val="22"/>
      <w:szCs w:val="22"/>
      <w:lang w:val="ru-RU" w:eastAsia="zh-CN" w:bidi="ar-SA"/>
    </w:rPr>
  </w:style>
  <w:style w:type="paragraph" w:customStyle="1" w:styleId="2b">
    <w:name w:val="Без интервала2"/>
    <w:uiPriority w:val="99"/>
    <w:rsid w:val="00345BF3"/>
    <w:pPr>
      <w:suppressAutoHyphens/>
    </w:pPr>
    <w:rPr>
      <w:rFonts w:ascii="Calibri" w:hAnsi="Calibri" w:cs="Calibri"/>
      <w:lang w:eastAsia="ar-SA"/>
    </w:rPr>
  </w:style>
  <w:style w:type="paragraph" w:customStyle="1" w:styleId="Default">
    <w:name w:val="Default"/>
    <w:rsid w:val="00345BF3"/>
    <w:pPr>
      <w:autoSpaceDE w:val="0"/>
      <w:autoSpaceDN w:val="0"/>
      <w:adjustRightInd w:val="0"/>
    </w:pPr>
    <w:rPr>
      <w:color w:val="000000"/>
      <w:sz w:val="24"/>
      <w:szCs w:val="24"/>
    </w:rPr>
  </w:style>
  <w:style w:type="paragraph" w:customStyle="1" w:styleId="38">
    <w:name w:val="Без интервала3"/>
    <w:link w:val="NoSpacingChar"/>
    <w:uiPriority w:val="99"/>
    <w:rsid w:val="00C16FFD"/>
    <w:pPr>
      <w:suppressAutoHyphens/>
    </w:pPr>
    <w:rPr>
      <w:rFonts w:ascii="Calibri" w:hAnsi="Calibri" w:cs="Calibri"/>
      <w:lang w:eastAsia="zh-CN"/>
    </w:rPr>
  </w:style>
  <w:style w:type="character" w:customStyle="1" w:styleId="NoSpacingChar">
    <w:name w:val="No Spacing Char"/>
    <w:basedOn w:val="a0"/>
    <w:link w:val="38"/>
    <w:uiPriority w:val="99"/>
    <w:locked/>
    <w:rsid w:val="00C16FFD"/>
    <w:rPr>
      <w:rFonts w:ascii="Calibri" w:hAnsi="Calibri" w:cs="Calibri"/>
      <w:sz w:val="22"/>
      <w:szCs w:val="22"/>
      <w:lang w:val="ru-RU" w:eastAsia="zh-CN" w:bidi="ar-SA"/>
    </w:rPr>
  </w:style>
  <w:style w:type="character" w:customStyle="1" w:styleId="afc">
    <w:name w:val="Абзац списка Знак"/>
    <w:aliases w:val="Абзац списка основной Знак"/>
    <w:link w:val="afb"/>
    <w:uiPriority w:val="34"/>
    <w:locked/>
    <w:rsid w:val="00F6055C"/>
    <w:rPr>
      <w:sz w:val="24"/>
      <w:lang w:eastAsia="zh-CN"/>
    </w:rPr>
  </w:style>
  <w:style w:type="character" w:styleId="affb">
    <w:name w:val="footnote reference"/>
    <w:basedOn w:val="a0"/>
    <w:uiPriority w:val="99"/>
    <w:semiHidden/>
    <w:locked/>
    <w:rsid w:val="00CC71EF"/>
    <w:rPr>
      <w:rFonts w:cs="Times New Roman"/>
      <w:vertAlign w:val="superscript"/>
    </w:rPr>
  </w:style>
  <w:style w:type="character" w:customStyle="1" w:styleId="apple-style-span">
    <w:name w:val="apple-style-span"/>
    <w:uiPriority w:val="99"/>
    <w:rsid w:val="00E64BF7"/>
  </w:style>
  <w:style w:type="character" w:styleId="affc">
    <w:name w:val="Emphasis"/>
    <w:basedOn w:val="a0"/>
    <w:uiPriority w:val="20"/>
    <w:qFormat/>
    <w:rsid w:val="008A331D"/>
    <w:rPr>
      <w:rFonts w:cs="Times New Roman"/>
      <w:i/>
      <w:iCs/>
    </w:rPr>
  </w:style>
  <w:style w:type="paragraph" w:customStyle="1" w:styleId="1f6">
    <w:name w:val="Абзац списка1"/>
    <w:basedOn w:val="a"/>
    <w:rsid w:val="00A65FD4"/>
    <w:pPr>
      <w:spacing w:after="200" w:line="276" w:lineRule="auto"/>
      <w:ind w:left="720"/>
    </w:pPr>
    <w:rPr>
      <w:rFonts w:eastAsia="Calibri"/>
      <w:sz w:val="28"/>
      <w:lang w:val="en-US"/>
    </w:rPr>
  </w:style>
  <w:style w:type="paragraph" w:customStyle="1" w:styleId="46">
    <w:name w:val="Без интервала4"/>
    <w:rsid w:val="00CF18D0"/>
    <w:rPr>
      <w:rFonts w:ascii="Calibri" w:hAnsi="Calibri"/>
    </w:rPr>
  </w:style>
  <w:style w:type="paragraph" w:customStyle="1" w:styleId="53">
    <w:name w:val="Без интервала5"/>
    <w:rsid w:val="00CF18D0"/>
    <w:rPr>
      <w:rFonts w:ascii="Calibri" w:hAnsi="Calibri"/>
    </w:rPr>
  </w:style>
  <w:style w:type="paragraph" w:customStyle="1" w:styleId="62">
    <w:name w:val="Без интервала6"/>
    <w:rsid w:val="00CF18D0"/>
    <w:rPr>
      <w:rFonts w:ascii="Calibri" w:hAnsi="Calibri"/>
    </w:rPr>
  </w:style>
  <w:style w:type="paragraph" w:customStyle="1" w:styleId="75">
    <w:name w:val="Без интервала7"/>
    <w:rsid w:val="000A2FDD"/>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690886">
      <w:bodyDiv w:val="1"/>
      <w:marLeft w:val="0"/>
      <w:marRight w:val="0"/>
      <w:marTop w:val="0"/>
      <w:marBottom w:val="0"/>
      <w:divBdr>
        <w:top w:val="none" w:sz="0" w:space="0" w:color="auto"/>
        <w:left w:val="none" w:sz="0" w:space="0" w:color="auto"/>
        <w:bottom w:val="none" w:sz="0" w:space="0" w:color="auto"/>
        <w:right w:val="none" w:sz="0" w:space="0" w:color="auto"/>
      </w:divBdr>
    </w:div>
    <w:div w:id="286743069">
      <w:bodyDiv w:val="1"/>
      <w:marLeft w:val="0"/>
      <w:marRight w:val="0"/>
      <w:marTop w:val="0"/>
      <w:marBottom w:val="0"/>
      <w:divBdr>
        <w:top w:val="none" w:sz="0" w:space="0" w:color="auto"/>
        <w:left w:val="none" w:sz="0" w:space="0" w:color="auto"/>
        <w:bottom w:val="none" w:sz="0" w:space="0" w:color="auto"/>
        <w:right w:val="none" w:sz="0" w:space="0" w:color="auto"/>
      </w:divBdr>
    </w:div>
    <w:div w:id="387652651">
      <w:bodyDiv w:val="1"/>
      <w:marLeft w:val="0"/>
      <w:marRight w:val="0"/>
      <w:marTop w:val="0"/>
      <w:marBottom w:val="0"/>
      <w:divBdr>
        <w:top w:val="none" w:sz="0" w:space="0" w:color="auto"/>
        <w:left w:val="none" w:sz="0" w:space="0" w:color="auto"/>
        <w:bottom w:val="none" w:sz="0" w:space="0" w:color="auto"/>
        <w:right w:val="none" w:sz="0" w:space="0" w:color="auto"/>
      </w:divBdr>
    </w:div>
    <w:div w:id="716441263">
      <w:bodyDiv w:val="1"/>
      <w:marLeft w:val="0"/>
      <w:marRight w:val="0"/>
      <w:marTop w:val="0"/>
      <w:marBottom w:val="0"/>
      <w:divBdr>
        <w:top w:val="none" w:sz="0" w:space="0" w:color="auto"/>
        <w:left w:val="none" w:sz="0" w:space="0" w:color="auto"/>
        <w:bottom w:val="none" w:sz="0" w:space="0" w:color="auto"/>
        <w:right w:val="none" w:sz="0" w:space="0" w:color="auto"/>
      </w:divBdr>
    </w:div>
    <w:div w:id="746998736">
      <w:marLeft w:val="0"/>
      <w:marRight w:val="0"/>
      <w:marTop w:val="0"/>
      <w:marBottom w:val="0"/>
      <w:divBdr>
        <w:top w:val="none" w:sz="0" w:space="0" w:color="auto"/>
        <w:left w:val="none" w:sz="0" w:space="0" w:color="auto"/>
        <w:bottom w:val="none" w:sz="0" w:space="0" w:color="auto"/>
        <w:right w:val="none" w:sz="0" w:space="0" w:color="auto"/>
      </w:divBdr>
    </w:div>
    <w:div w:id="746998737">
      <w:marLeft w:val="0"/>
      <w:marRight w:val="0"/>
      <w:marTop w:val="0"/>
      <w:marBottom w:val="0"/>
      <w:divBdr>
        <w:top w:val="none" w:sz="0" w:space="0" w:color="auto"/>
        <w:left w:val="none" w:sz="0" w:space="0" w:color="auto"/>
        <w:bottom w:val="none" w:sz="0" w:space="0" w:color="auto"/>
        <w:right w:val="none" w:sz="0" w:space="0" w:color="auto"/>
      </w:divBdr>
    </w:div>
    <w:div w:id="746998738">
      <w:marLeft w:val="0"/>
      <w:marRight w:val="0"/>
      <w:marTop w:val="0"/>
      <w:marBottom w:val="0"/>
      <w:divBdr>
        <w:top w:val="none" w:sz="0" w:space="0" w:color="auto"/>
        <w:left w:val="none" w:sz="0" w:space="0" w:color="auto"/>
        <w:bottom w:val="none" w:sz="0" w:space="0" w:color="auto"/>
        <w:right w:val="none" w:sz="0" w:space="0" w:color="auto"/>
      </w:divBdr>
    </w:div>
    <w:div w:id="746998739">
      <w:marLeft w:val="0"/>
      <w:marRight w:val="0"/>
      <w:marTop w:val="0"/>
      <w:marBottom w:val="0"/>
      <w:divBdr>
        <w:top w:val="none" w:sz="0" w:space="0" w:color="auto"/>
        <w:left w:val="none" w:sz="0" w:space="0" w:color="auto"/>
        <w:bottom w:val="none" w:sz="0" w:space="0" w:color="auto"/>
        <w:right w:val="none" w:sz="0" w:space="0" w:color="auto"/>
      </w:divBdr>
    </w:div>
    <w:div w:id="746998740">
      <w:marLeft w:val="0"/>
      <w:marRight w:val="0"/>
      <w:marTop w:val="0"/>
      <w:marBottom w:val="0"/>
      <w:divBdr>
        <w:top w:val="none" w:sz="0" w:space="0" w:color="auto"/>
        <w:left w:val="none" w:sz="0" w:space="0" w:color="auto"/>
        <w:bottom w:val="none" w:sz="0" w:space="0" w:color="auto"/>
        <w:right w:val="none" w:sz="0" w:space="0" w:color="auto"/>
      </w:divBdr>
    </w:div>
    <w:div w:id="746998741">
      <w:marLeft w:val="0"/>
      <w:marRight w:val="0"/>
      <w:marTop w:val="0"/>
      <w:marBottom w:val="0"/>
      <w:divBdr>
        <w:top w:val="none" w:sz="0" w:space="0" w:color="auto"/>
        <w:left w:val="none" w:sz="0" w:space="0" w:color="auto"/>
        <w:bottom w:val="none" w:sz="0" w:space="0" w:color="auto"/>
        <w:right w:val="none" w:sz="0" w:space="0" w:color="auto"/>
      </w:divBdr>
    </w:div>
    <w:div w:id="829101937">
      <w:bodyDiv w:val="1"/>
      <w:marLeft w:val="0"/>
      <w:marRight w:val="0"/>
      <w:marTop w:val="0"/>
      <w:marBottom w:val="0"/>
      <w:divBdr>
        <w:top w:val="none" w:sz="0" w:space="0" w:color="auto"/>
        <w:left w:val="none" w:sz="0" w:space="0" w:color="auto"/>
        <w:bottom w:val="none" w:sz="0" w:space="0" w:color="auto"/>
        <w:right w:val="none" w:sz="0" w:space="0" w:color="auto"/>
      </w:divBdr>
    </w:div>
    <w:div w:id="852036781">
      <w:bodyDiv w:val="1"/>
      <w:marLeft w:val="0"/>
      <w:marRight w:val="0"/>
      <w:marTop w:val="0"/>
      <w:marBottom w:val="0"/>
      <w:divBdr>
        <w:top w:val="none" w:sz="0" w:space="0" w:color="auto"/>
        <w:left w:val="none" w:sz="0" w:space="0" w:color="auto"/>
        <w:bottom w:val="none" w:sz="0" w:space="0" w:color="auto"/>
        <w:right w:val="none" w:sz="0" w:space="0" w:color="auto"/>
      </w:divBdr>
    </w:div>
    <w:div w:id="1065226848">
      <w:bodyDiv w:val="1"/>
      <w:marLeft w:val="0"/>
      <w:marRight w:val="0"/>
      <w:marTop w:val="0"/>
      <w:marBottom w:val="0"/>
      <w:divBdr>
        <w:top w:val="none" w:sz="0" w:space="0" w:color="auto"/>
        <w:left w:val="none" w:sz="0" w:space="0" w:color="auto"/>
        <w:bottom w:val="none" w:sz="0" w:space="0" w:color="auto"/>
        <w:right w:val="none" w:sz="0" w:space="0" w:color="auto"/>
      </w:divBdr>
    </w:div>
    <w:div w:id="1110276465">
      <w:bodyDiv w:val="1"/>
      <w:marLeft w:val="0"/>
      <w:marRight w:val="0"/>
      <w:marTop w:val="0"/>
      <w:marBottom w:val="0"/>
      <w:divBdr>
        <w:top w:val="none" w:sz="0" w:space="0" w:color="auto"/>
        <w:left w:val="none" w:sz="0" w:space="0" w:color="auto"/>
        <w:bottom w:val="none" w:sz="0" w:space="0" w:color="auto"/>
        <w:right w:val="none" w:sz="0" w:space="0" w:color="auto"/>
      </w:divBdr>
    </w:div>
    <w:div w:id="1841969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47187ED6C563EB4AE197AC0C307BBACCA824C52BCB797EDEABC5B217ACC53CDFC4FA9110F3445C61BE37897FJ6WA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3643D-D0B0-49E7-9FB8-93F206077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53</Pages>
  <Words>21833</Words>
  <Characters>124449</Characters>
  <Application>Microsoft Office Word</Application>
  <DocSecurity>0</DocSecurity>
  <Lines>1037</Lines>
  <Paragraphs>291</Paragraphs>
  <ScaleCrop>false</ScaleCrop>
  <HeadingPairs>
    <vt:vector size="2" baseType="variant">
      <vt:variant>
        <vt:lpstr>Название</vt:lpstr>
      </vt:variant>
      <vt:variant>
        <vt:i4>1</vt:i4>
      </vt:variant>
    </vt:vector>
  </HeadingPairs>
  <TitlesOfParts>
    <vt:vector size="1" baseType="lpstr">
      <vt:lpstr>Предварительные итоги</vt:lpstr>
    </vt:vector>
  </TitlesOfParts>
  <Company>Мэрия городского округа Тольятти</Company>
  <LinksUpToDate>false</LinksUpToDate>
  <CharactersWithSpaces>145991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Предварительные итоги</dc:title>
  <dc:creator>Пользователь</dc:creator>
  <cp:lastModifiedBy>Кончева Наталья Валериевна</cp:lastModifiedBy>
  <cp:revision>13</cp:revision>
  <cp:lastPrinted>2020-10-23T09:53:00Z</cp:lastPrinted>
  <dcterms:created xsi:type="dcterms:W3CDTF">2020-10-23T05:42:00Z</dcterms:created>
  <dcterms:modified xsi:type="dcterms:W3CDTF">2020-10-26T11:53:00Z</dcterms:modified>
</cp:coreProperties>
</file>