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5F" w:rsidRPr="00415835" w:rsidRDefault="0024525F" w:rsidP="005B0C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5835">
        <w:rPr>
          <w:rFonts w:ascii="Times New Roman" w:hAnsi="Times New Roman"/>
          <w:b/>
          <w:sz w:val="24"/>
          <w:szCs w:val="24"/>
        </w:rPr>
        <w:t>Пояснительная записка</w:t>
      </w:r>
      <w:r w:rsidRPr="00415835">
        <w:rPr>
          <w:rFonts w:ascii="Times New Roman" w:hAnsi="Times New Roman"/>
          <w:b/>
          <w:sz w:val="24"/>
          <w:szCs w:val="24"/>
        </w:rPr>
        <w:br/>
        <w:t>к прогнозу социально – экономического развития городского округ Тольятти на 201</w:t>
      </w:r>
      <w:r w:rsidR="00E22255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15835">
        <w:rPr>
          <w:rFonts w:ascii="Times New Roman" w:hAnsi="Times New Roman"/>
          <w:b/>
          <w:sz w:val="24"/>
          <w:szCs w:val="24"/>
        </w:rPr>
        <w:t xml:space="preserve">год и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415835">
        <w:rPr>
          <w:rFonts w:ascii="Times New Roman" w:hAnsi="Times New Roman"/>
          <w:b/>
          <w:sz w:val="24"/>
          <w:szCs w:val="24"/>
        </w:rPr>
        <w:t>20</w:t>
      </w:r>
      <w:r w:rsidR="00E22255">
        <w:rPr>
          <w:rFonts w:ascii="Times New Roman" w:hAnsi="Times New Roman"/>
          <w:b/>
          <w:sz w:val="24"/>
          <w:szCs w:val="24"/>
        </w:rPr>
        <w:t>19</w:t>
      </w:r>
      <w:r w:rsidRPr="00415835">
        <w:rPr>
          <w:rFonts w:ascii="Times New Roman" w:hAnsi="Times New Roman"/>
          <w:b/>
          <w:sz w:val="24"/>
          <w:szCs w:val="24"/>
        </w:rPr>
        <w:t xml:space="preserve"> </w:t>
      </w:r>
      <w:r w:rsidR="00E22255">
        <w:rPr>
          <w:rFonts w:ascii="Times New Roman" w:hAnsi="Times New Roman"/>
          <w:b/>
          <w:sz w:val="24"/>
          <w:szCs w:val="24"/>
        </w:rPr>
        <w:t>–</w:t>
      </w:r>
      <w:r w:rsidRPr="00415835">
        <w:rPr>
          <w:rFonts w:ascii="Times New Roman" w:hAnsi="Times New Roman"/>
          <w:b/>
          <w:sz w:val="24"/>
          <w:szCs w:val="24"/>
        </w:rPr>
        <w:t xml:space="preserve"> 20</w:t>
      </w:r>
      <w:r w:rsidR="00E22255">
        <w:rPr>
          <w:rFonts w:ascii="Times New Roman" w:hAnsi="Times New Roman"/>
          <w:b/>
          <w:sz w:val="24"/>
          <w:szCs w:val="24"/>
        </w:rPr>
        <w:t xml:space="preserve">20 </w:t>
      </w:r>
      <w:r w:rsidRPr="00415835">
        <w:rPr>
          <w:rFonts w:ascii="Times New Roman" w:hAnsi="Times New Roman"/>
          <w:b/>
          <w:sz w:val="24"/>
          <w:szCs w:val="24"/>
        </w:rPr>
        <w:t>годов</w:t>
      </w:r>
    </w:p>
    <w:p w:rsidR="0024525F" w:rsidRPr="00415835" w:rsidRDefault="0024525F" w:rsidP="005B0C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052E" w:rsidRPr="000C71B4" w:rsidRDefault="005A052E" w:rsidP="000C71B4">
      <w:pPr>
        <w:spacing w:after="0"/>
        <w:ind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proofErr w:type="gramStart"/>
      <w:r w:rsidRPr="000C71B4">
        <w:rPr>
          <w:rFonts w:ascii="Times New Roman" w:hAnsi="Times New Roman"/>
          <w:bCs/>
          <w:spacing w:val="2"/>
          <w:sz w:val="24"/>
          <w:szCs w:val="24"/>
        </w:rPr>
        <w:t xml:space="preserve">Прогноз социально-экономического развития городского округа Тольятти на 2018 год и плановый период 2019 - 2020 годов </w:t>
      </w:r>
      <w:r w:rsidRPr="000C71B4">
        <w:rPr>
          <w:rFonts w:ascii="Times New Roman" w:hAnsi="Times New Roman"/>
          <w:sz w:val="24"/>
          <w:szCs w:val="24"/>
        </w:rPr>
        <w:t xml:space="preserve">(далее - Прогноз) </w:t>
      </w:r>
      <w:r w:rsidRPr="000C71B4">
        <w:rPr>
          <w:rFonts w:ascii="Times New Roman" w:hAnsi="Times New Roman"/>
          <w:spacing w:val="2"/>
          <w:sz w:val="24"/>
          <w:szCs w:val="24"/>
        </w:rPr>
        <w:t xml:space="preserve">разработан </w:t>
      </w:r>
      <w:r w:rsidRPr="000C71B4">
        <w:rPr>
          <w:rFonts w:ascii="Times New Roman" w:hAnsi="Times New Roman"/>
          <w:bCs/>
          <w:spacing w:val="2"/>
          <w:sz w:val="24"/>
          <w:szCs w:val="24"/>
        </w:rPr>
        <w:t xml:space="preserve">на основе сценарных условий функционирования экономики Российской Федерации и Самарской области, с учетом тенденций социально-экономического развития городского округа Тольятти за истекший период 2017 года и ожидаемых результатов за 2017 год. </w:t>
      </w:r>
      <w:proofErr w:type="gramEnd"/>
    </w:p>
    <w:p w:rsidR="005A052E" w:rsidRPr="000C71B4" w:rsidRDefault="005A052E" w:rsidP="000C71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71B4">
        <w:rPr>
          <w:rFonts w:ascii="Times New Roman" w:hAnsi="Times New Roman"/>
          <w:sz w:val="24"/>
          <w:szCs w:val="24"/>
        </w:rPr>
        <w:t xml:space="preserve">Прогноз основан на приоритетах социально-экономического развития, сформулированных в Основных направлениях деятельности Правительства Российской Федерации на период до 2018 года, </w:t>
      </w:r>
      <w:r w:rsidRPr="000C71B4">
        <w:rPr>
          <w:rFonts w:ascii="Times New Roman" w:hAnsi="Times New Roman"/>
          <w:bCs/>
          <w:spacing w:val="2"/>
          <w:sz w:val="24"/>
          <w:szCs w:val="24"/>
        </w:rPr>
        <w:t xml:space="preserve">Указах Президента Российской Федерации от 07.05.2012, </w:t>
      </w:r>
      <w:hyperlink r:id="rId8" w:history="1">
        <w:r w:rsidRPr="000C71B4">
          <w:rPr>
            <w:rFonts w:ascii="Times New Roman" w:hAnsi="Times New Roman"/>
            <w:sz w:val="24"/>
            <w:szCs w:val="24"/>
          </w:rPr>
          <w:t>Посланиях</w:t>
        </w:r>
      </w:hyperlink>
      <w:r w:rsidRPr="000C71B4">
        <w:rPr>
          <w:rFonts w:ascii="Times New Roman" w:hAnsi="Times New Roman"/>
          <w:sz w:val="24"/>
          <w:szCs w:val="24"/>
        </w:rPr>
        <w:t xml:space="preserve"> Президента Российской Федерации Федеральному Собранию Российской Федерации от </w:t>
      </w:r>
      <w:r w:rsidR="0085114C" w:rsidRPr="000C71B4">
        <w:rPr>
          <w:rFonts w:ascii="Times New Roman" w:hAnsi="Times New Roman"/>
          <w:sz w:val="24"/>
          <w:szCs w:val="24"/>
        </w:rPr>
        <w:t xml:space="preserve">1 декабря 2016 года </w:t>
      </w:r>
      <w:r w:rsidRPr="000C71B4">
        <w:rPr>
          <w:rFonts w:ascii="Times New Roman" w:hAnsi="Times New Roman"/>
          <w:sz w:val="24"/>
          <w:szCs w:val="24"/>
        </w:rPr>
        <w:t xml:space="preserve"> и Посланиях Губернатора Самарской области Самарской Губернской Думе от </w:t>
      </w:r>
      <w:r w:rsidR="0085114C" w:rsidRPr="000C71B4">
        <w:rPr>
          <w:rFonts w:ascii="Times New Roman" w:hAnsi="Times New Roman"/>
          <w:sz w:val="24"/>
          <w:szCs w:val="24"/>
        </w:rPr>
        <w:t>19 декабря 2016 года</w:t>
      </w:r>
      <w:r w:rsidRPr="000C71B4">
        <w:rPr>
          <w:rFonts w:ascii="Times New Roman" w:hAnsi="Times New Roman"/>
          <w:sz w:val="24"/>
          <w:szCs w:val="24"/>
        </w:rPr>
        <w:t>.</w:t>
      </w:r>
      <w:proofErr w:type="gramEnd"/>
      <w:r w:rsidRPr="000C71B4">
        <w:rPr>
          <w:rFonts w:ascii="Times New Roman" w:hAnsi="Times New Roman"/>
          <w:sz w:val="24"/>
          <w:szCs w:val="24"/>
        </w:rPr>
        <w:t xml:space="preserve"> Прогноз учитывает </w:t>
      </w:r>
      <w:r w:rsidRPr="000C71B4">
        <w:rPr>
          <w:rFonts w:ascii="Times New Roman" w:hAnsi="Times New Roman"/>
          <w:bCs/>
          <w:sz w:val="24"/>
          <w:szCs w:val="24"/>
        </w:rPr>
        <w:t xml:space="preserve">реализацию </w:t>
      </w:r>
      <w:r w:rsidRPr="000C71B4">
        <w:rPr>
          <w:rFonts w:ascii="Times New Roman" w:hAnsi="Times New Roman"/>
          <w:spacing w:val="-2"/>
          <w:sz w:val="24"/>
          <w:szCs w:val="24"/>
        </w:rPr>
        <w:t xml:space="preserve">Плана мероприятий по обеспечению устойчивого развития экономики и социальной стабильности в Самарской области на 2016 – 2017 годы, </w:t>
      </w:r>
      <w:r w:rsidRPr="000C71B4">
        <w:rPr>
          <w:rFonts w:ascii="Times New Roman" w:hAnsi="Times New Roman"/>
          <w:sz w:val="24"/>
          <w:szCs w:val="24"/>
        </w:rPr>
        <w:t xml:space="preserve">а также федеральных, региональных и муниципальных стратегических и программных документов. </w:t>
      </w:r>
    </w:p>
    <w:p w:rsidR="005A052E" w:rsidRPr="000C71B4" w:rsidRDefault="005A052E" w:rsidP="000C71B4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C71B4">
        <w:rPr>
          <w:rFonts w:ascii="Times New Roman" w:hAnsi="Times New Roman"/>
          <w:sz w:val="24"/>
          <w:szCs w:val="24"/>
        </w:rPr>
        <w:t>Основные параметры прогноза разработаны в двух вариантах – базовом и целевом.</w:t>
      </w:r>
    </w:p>
    <w:p w:rsidR="003C2D1F" w:rsidRPr="008E0250" w:rsidRDefault="005A052E" w:rsidP="003C2D1F">
      <w:pPr>
        <w:spacing w:after="0"/>
        <w:ind w:firstLine="684"/>
        <w:jc w:val="both"/>
        <w:rPr>
          <w:rFonts w:ascii="Times New Roman" w:hAnsi="Times New Roman"/>
          <w:spacing w:val="-2"/>
          <w:sz w:val="24"/>
          <w:szCs w:val="24"/>
        </w:rPr>
      </w:pPr>
      <w:r w:rsidRPr="000C71B4">
        <w:rPr>
          <w:rFonts w:ascii="Times New Roman" w:hAnsi="Times New Roman"/>
          <w:spacing w:val="-2"/>
          <w:sz w:val="24"/>
          <w:szCs w:val="24"/>
        </w:rPr>
        <w:t xml:space="preserve">Социально-экономическое развитие города по обоим вариантам прогноза будет происходить в условиях сохранения </w:t>
      </w:r>
      <w:r w:rsidR="003C2D1F" w:rsidRPr="008E0250">
        <w:rPr>
          <w:rFonts w:ascii="Times New Roman" w:hAnsi="Times New Roman"/>
          <w:spacing w:val="-2"/>
          <w:sz w:val="24"/>
          <w:szCs w:val="24"/>
        </w:rPr>
        <w:t>действия финансовых и экономических санкций, применяемых в отношении российской экономики со стороны ЕС и США</w:t>
      </w:r>
      <w:r w:rsidR="003C2D1F">
        <w:rPr>
          <w:rFonts w:ascii="Times New Roman" w:hAnsi="Times New Roman"/>
          <w:spacing w:val="-2"/>
          <w:sz w:val="24"/>
          <w:szCs w:val="24"/>
        </w:rPr>
        <w:t xml:space="preserve"> и</w:t>
      </w:r>
      <w:r w:rsidR="003C2D1F" w:rsidRPr="008E0250">
        <w:rPr>
          <w:rFonts w:ascii="Times New Roman" w:hAnsi="Times New Roman"/>
          <w:spacing w:val="-2"/>
          <w:sz w:val="24"/>
          <w:szCs w:val="24"/>
        </w:rPr>
        <w:t xml:space="preserve"> ответных мер на протяжении всего прогнозного периода.</w:t>
      </w:r>
    </w:p>
    <w:p w:rsidR="00354DCD" w:rsidRPr="000C71B4" w:rsidRDefault="003F2086" w:rsidP="000C71B4">
      <w:pPr>
        <w:pStyle w:val="a6"/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C71B4">
        <w:rPr>
          <w:rFonts w:ascii="Times New Roman" w:hAnsi="Times New Roman" w:cs="Times New Roman"/>
          <w:spacing w:val="-2"/>
          <w:sz w:val="24"/>
          <w:szCs w:val="24"/>
        </w:rPr>
        <w:t xml:space="preserve">Отличия по вариантам состоят в различной степени влияния внешних факторов на развитие экономики </w:t>
      </w:r>
      <w:r w:rsidR="00354DCD" w:rsidRPr="000C71B4">
        <w:rPr>
          <w:rFonts w:ascii="Times New Roman" w:hAnsi="Times New Roman" w:cs="Times New Roman"/>
          <w:spacing w:val="-2"/>
          <w:sz w:val="24"/>
          <w:szCs w:val="24"/>
        </w:rPr>
        <w:t>города и</w:t>
      </w:r>
      <w:r w:rsidR="000C71B4">
        <w:rPr>
          <w:rFonts w:ascii="Times New Roman" w:hAnsi="Times New Roman" w:cs="Times New Roman"/>
          <w:spacing w:val="-2"/>
          <w:sz w:val="24"/>
          <w:szCs w:val="24"/>
        </w:rPr>
        <w:t xml:space="preserve">, соответственно, </w:t>
      </w:r>
      <w:r w:rsidRPr="000C71B4">
        <w:rPr>
          <w:rFonts w:ascii="Times New Roman" w:hAnsi="Times New Roman" w:cs="Times New Roman"/>
          <w:spacing w:val="-2"/>
          <w:sz w:val="24"/>
          <w:szCs w:val="24"/>
        </w:rPr>
        <w:t>различной динамике развития основных отраслей и сфер</w:t>
      </w:r>
      <w:r w:rsidR="00354DCD" w:rsidRPr="000C71B4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0C71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5A052E" w:rsidRPr="000C71B4" w:rsidRDefault="003E507E" w:rsidP="006C2640">
      <w:pPr>
        <w:spacing w:after="0"/>
        <w:ind w:firstLine="686"/>
        <w:jc w:val="both"/>
        <w:rPr>
          <w:rFonts w:ascii="Times New Roman" w:hAnsi="Times New Roman"/>
          <w:spacing w:val="-2"/>
          <w:sz w:val="24"/>
          <w:szCs w:val="24"/>
          <w:lang w:eastAsia="ar-SA"/>
        </w:rPr>
      </w:pPr>
      <w:r>
        <w:rPr>
          <w:rFonts w:ascii="Times New Roman" w:hAnsi="Times New Roman"/>
          <w:b/>
          <w:spacing w:val="-2"/>
          <w:sz w:val="24"/>
          <w:szCs w:val="24"/>
          <w:lang w:eastAsia="ar-SA"/>
        </w:rPr>
        <w:t xml:space="preserve">По первому варианту </w:t>
      </w:r>
      <w:r w:rsidR="005A052E" w:rsidRPr="000C71B4">
        <w:rPr>
          <w:rFonts w:ascii="Times New Roman" w:hAnsi="Times New Roman"/>
          <w:b/>
          <w:spacing w:val="-2"/>
          <w:sz w:val="24"/>
          <w:szCs w:val="24"/>
          <w:lang w:eastAsia="ar-SA"/>
        </w:rPr>
        <w:t>(</w:t>
      </w:r>
      <w:r w:rsidR="00743556" w:rsidRPr="000C71B4">
        <w:rPr>
          <w:rFonts w:ascii="Times New Roman" w:hAnsi="Times New Roman"/>
          <w:b/>
          <w:spacing w:val="-2"/>
          <w:sz w:val="24"/>
          <w:szCs w:val="24"/>
          <w:lang w:eastAsia="ar-SA"/>
        </w:rPr>
        <w:t>базов</w:t>
      </w:r>
      <w:r>
        <w:rPr>
          <w:rFonts w:ascii="Times New Roman" w:hAnsi="Times New Roman"/>
          <w:b/>
          <w:spacing w:val="-2"/>
          <w:sz w:val="24"/>
          <w:szCs w:val="24"/>
          <w:lang w:eastAsia="ar-SA"/>
        </w:rPr>
        <w:t>ому</w:t>
      </w:r>
      <w:r w:rsidR="005A052E" w:rsidRPr="000C71B4">
        <w:rPr>
          <w:rFonts w:ascii="Times New Roman" w:hAnsi="Times New Roman"/>
          <w:b/>
          <w:spacing w:val="-2"/>
          <w:sz w:val="24"/>
          <w:szCs w:val="24"/>
          <w:lang w:eastAsia="ar-SA"/>
        </w:rPr>
        <w:t>)</w:t>
      </w:r>
      <w:r w:rsidR="005A052E" w:rsidRPr="000C71B4">
        <w:rPr>
          <w:rFonts w:ascii="Times New Roman" w:hAnsi="Times New Roman"/>
          <w:spacing w:val="-2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eastAsia="ar-SA"/>
        </w:rPr>
        <w:t>несмотря на стабилизацию социально-экономической ситуации, существенн</w:t>
      </w:r>
      <w:r w:rsidR="006C2640">
        <w:rPr>
          <w:rFonts w:ascii="Times New Roman" w:hAnsi="Times New Roman"/>
          <w:spacing w:val="-2"/>
          <w:sz w:val="24"/>
          <w:szCs w:val="24"/>
          <w:lang w:eastAsia="ar-SA"/>
        </w:rPr>
        <w:t>ых сдвигов в экономике города</w:t>
      </w:r>
      <w:r>
        <w:rPr>
          <w:rFonts w:ascii="Times New Roman" w:hAnsi="Times New Roman"/>
          <w:spacing w:val="-2"/>
          <w:sz w:val="24"/>
          <w:szCs w:val="24"/>
          <w:lang w:eastAsia="ar-SA"/>
        </w:rPr>
        <w:t xml:space="preserve"> </w:t>
      </w:r>
      <w:r w:rsidR="00E84755">
        <w:rPr>
          <w:rFonts w:ascii="Times New Roman" w:hAnsi="Times New Roman"/>
          <w:spacing w:val="-2"/>
          <w:sz w:val="24"/>
          <w:szCs w:val="24"/>
          <w:lang w:eastAsia="ar-SA"/>
        </w:rPr>
        <w:t xml:space="preserve">в прогнозном периоде </w:t>
      </w:r>
      <w:r>
        <w:rPr>
          <w:rFonts w:ascii="Times New Roman" w:hAnsi="Times New Roman"/>
          <w:spacing w:val="-2"/>
          <w:sz w:val="24"/>
          <w:szCs w:val="24"/>
          <w:lang w:eastAsia="ar-SA"/>
        </w:rPr>
        <w:t xml:space="preserve">не </w:t>
      </w:r>
      <w:r w:rsidR="006C2640">
        <w:rPr>
          <w:rFonts w:ascii="Times New Roman" w:hAnsi="Times New Roman"/>
          <w:spacing w:val="-2"/>
          <w:sz w:val="24"/>
          <w:szCs w:val="24"/>
          <w:lang w:eastAsia="ar-SA"/>
        </w:rPr>
        <w:t>ожидается</w:t>
      </w:r>
      <w:r>
        <w:rPr>
          <w:rFonts w:ascii="Times New Roman" w:hAnsi="Times New Roman"/>
          <w:spacing w:val="-2"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hAnsi="Times New Roman"/>
          <w:spacing w:val="-2"/>
          <w:sz w:val="24"/>
          <w:szCs w:val="24"/>
          <w:lang w:eastAsia="ar-SA"/>
        </w:rPr>
        <w:t>В</w:t>
      </w:r>
      <w:r w:rsidRPr="000C71B4">
        <w:rPr>
          <w:rFonts w:ascii="Times New Roman" w:hAnsi="Times New Roman"/>
          <w:spacing w:val="-2"/>
          <w:sz w:val="24"/>
          <w:szCs w:val="24"/>
          <w:lang w:eastAsia="ar-SA"/>
        </w:rPr>
        <w:t xml:space="preserve"> условиях </w:t>
      </w:r>
      <w:r>
        <w:rPr>
          <w:rFonts w:ascii="Times New Roman" w:hAnsi="Times New Roman"/>
          <w:spacing w:val="-2"/>
          <w:sz w:val="24"/>
          <w:szCs w:val="24"/>
          <w:lang w:eastAsia="ar-SA"/>
        </w:rPr>
        <w:t>невысокого</w:t>
      </w:r>
      <w:r w:rsidRPr="000C71B4">
        <w:rPr>
          <w:rFonts w:ascii="Times New Roman" w:hAnsi="Times New Roman"/>
          <w:spacing w:val="-2"/>
          <w:sz w:val="24"/>
          <w:szCs w:val="24"/>
          <w:lang w:eastAsia="ar-SA"/>
        </w:rPr>
        <w:t xml:space="preserve"> инвестиционного и потребительского спроса, в том числе на производимую в городском округе Тольятти продукцию</w:t>
      </w:r>
      <w:r>
        <w:rPr>
          <w:rFonts w:ascii="Times New Roman" w:hAnsi="Times New Roman"/>
          <w:spacing w:val="-2"/>
          <w:sz w:val="24"/>
          <w:szCs w:val="24"/>
          <w:lang w:eastAsia="ar-SA"/>
        </w:rPr>
        <w:t>, и</w:t>
      </w:r>
      <w:r w:rsidR="005A052E" w:rsidRPr="000C71B4">
        <w:rPr>
          <w:rFonts w:ascii="Times New Roman" w:hAnsi="Times New Roman"/>
          <w:spacing w:val="-2"/>
          <w:sz w:val="24"/>
          <w:szCs w:val="24"/>
          <w:lang w:eastAsia="ar-SA"/>
        </w:rPr>
        <w:t>нерционны</w:t>
      </w:r>
      <w:r>
        <w:rPr>
          <w:rFonts w:ascii="Times New Roman" w:hAnsi="Times New Roman"/>
          <w:spacing w:val="-2"/>
          <w:sz w:val="24"/>
          <w:szCs w:val="24"/>
          <w:lang w:eastAsia="ar-SA"/>
        </w:rPr>
        <w:t>е</w:t>
      </w:r>
      <w:r w:rsidR="005A052E" w:rsidRPr="000C71B4">
        <w:rPr>
          <w:rFonts w:ascii="Times New Roman" w:hAnsi="Times New Roman"/>
          <w:spacing w:val="-2"/>
          <w:sz w:val="24"/>
          <w:szCs w:val="24"/>
          <w:lang w:eastAsia="ar-SA"/>
        </w:rPr>
        <w:t xml:space="preserve"> тренд</w:t>
      </w:r>
      <w:r>
        <w:rPr>
          <w:rFonts w:ascii="Times New Roman" w:hAnsi="Times New Roman"/>
          <w:spacing w:val="-2"/>
          <w:sz w:val="24"/>
          <w:szCs w:val="24"/>
          <w:lang w:eastAsia="ar-SA"/>
        </w:rPr>
        <w:t>ы</w:t>
      </w:r>
      <w:r w:rsidR="005A052E" w:rsidRPr="000C71B4">
        <w:rPr>
          <w:rFonts w:ascii="Times New Roman" w:hAnsi="Times New Roman"/>
          <w:spacing w:val="-2"/>
          <w:sz w:val="24"/>
          <w:szCs w:val="24"/>
          <w:lang w:eastAsia="ar-SA"/>
        </w:rPr>
        <w:t>, сложивши</w:t>
      </w:r>
      <w:r>
        <w:rPr>
          <w:rFonts w:ascii="Times New Roman" w:hAnsi="Times New Roman"/>
          <w:spacing w:val="-2"/>
          <w:sz w:val="24"/>
          <w:szCs w:val="24"/>
          <w:lang w:eastAsia="ar-SA"/>
        </w:rPr>
        <w:t>еся</w:t>
      </w:r>
      <w:r w:rsidR="005A052E" w:rsidRPr="000C71B4">
        <w:rPr>
          <w:rFonts w:ascii="Times New Roman" w:hAnsi="Times New Roman"/>
          <w:spacing w:val="-2"/>
          <w:sz w:val="24"/>
          <w:szCs w:val="24"/>
          <w:lang w:eastAsia="ar-SA"/>
        </w:rPr>
        <w:t xml:space="preserve"> в экономике </w:t>
      </w:r>
      <w:r w:rsidR="0077736D">
        <w:rPr>
          <w:rFonts w:ascii="Times New Roman" w:hAnsi="Times New Roman"/>
          <w:spacing w:val="-2"/>
          <w:sz w:val="24"/>
          <w:szCs w:val="24"/>
          <w:lang w:eastAsia="ar-SA"/>
        </w:rPr>
        <w:t>города</w:t>
      </w:r>
      <w:r w:rsidR="005A052E" w:rsidRPr="000C71B4">
        <w:rPr>
          <w:rFonts w:ascii="Times New Roman" w:hAnsi="Times New Roman"/>
          <w:spacing w:val="-2"/>
          <w:sz w:val="24"/>
          <w:szCs w:val="24"/>
          <w:lang w:eastAsia="ar-SA"/>
        </w:rPr>
        <w:t xml:space="preserve"> в предшествующие годы</w:t>
      </w:r>
      <w:r w:rsidR="005C3A5C">
        <w:rPr>
          <w:rFonts w:ascii="Times New Roman" w:hAnsi="Times New Roman"/>
          <w:spacing w:val="-2"/>
          <w:sz w:val="24"/>
          <w:szCs w:val="24"/>
          <w:lang w:eastAsia="ar-SA"/>
        </w:rPr>
        <w:t>,</w:t>
      </w:r>
      <w:r>
        <w:rPr>
          <w:rFonts w:ascii="Times New Roman" w:hAnsi="Times New Roman"/>
          <w:spacing w:val="-2"/>
          <w:sz w:val="24"/>
          <w:szCs w:val="24"/>
          <w:lang w:eastAsia="ar-SA"/>
        </w:rPr>
        <w:t xml:space="preserve"> сохранятся</w:t>
      </w:r>
      <w:r w:rsidR="005A052E" w:rsidRPr="000C71B4">
        <w:rPr>
          <w:rFonts w:ascii="Times New Roman" w:hAnsi="Times New Roman"/>
          <w:spacing w:val="-2"/>
          <w:sz w:val="24"/>
          <w:szCs w:val="24"/>
          <w:lang w:eastAsia="ar-SA"/>
        </w:rPr>
        <w:t>.</w:t>
      </w:r>
      <w:r w:rsidR="00533B55">
        <w:rPr>
          <w:rFonts w:ascii="Times New Roman" w:hAnsi="Times New Roman"/>
          <w:spacing w:val="-2"/>
          <w:sz w:val="24"/>
          <w:szCs w:val="24"/>
          <w:lang w:eastAsia="ar-SA"/>
        </w:rPr>
        <w:t xml:space="preserve"> </w:t>
      </w:r>
      <w:proofErr w:type="gramEnd"/>
    </w:p>
    <w:p w:rsidR="005A052E" w:rsidRPr="000C71B4" w:rsidRDefault="005A052E" w:rsidP="000C71B4">
      <w:pPr>
        <w:pStyle w:val="af1"/>
        <w:spacing w:line="276" w:lineRule="auto"/>
        <w:rPr>
          <w:sz w:val="24"/>
          <w:szCs w:val="24"/>
          <w:shd w:val="clear" w:color="auto" w:fill="FFFFFF"/>
        </w:rPr>
      </w:pPr>
      <w:r w:rsidRPr="000C71B4">
        <w:rPr>
          <w:b/>
          <w:spacing w:val="-2"/>
          <w:sz w:val="24"/>
          <w:szCs w:val="24"/>
        </w:rPr>
        <w:t>По второму варианту (</w:t>
      </w:r>
      <w:r w:rsidR="00743556" w:rsidRPr="000C71B4">
        <w:rPr>
          <w:b/>
          <w:spacing w:val="-2"/>
          <w:sz w:val="24"/>
          <w:szCs w:val="24"/>
        </w:rPr>
        <w:t>целево</w:t>
      </w:r>
      <w:r w:rsidR="00C507C7" w:rsidRPr="000C71B4">
        <w:rPr>
          <w:b/>
          <w:spacing w:val="-2"/>
          <w:sz w:val="24"/>
          <w:szCs w:val="24"/>
        </w:rPr>
        <w:t>му</w:t>
      </w:r>
      <w:r w:rsidRPr="000C71B4">
        <w:rPr>
          <w:b/>
          <w:spacing w:val="-2"/>
          <w:sz w:val="24"/>
          <w:szCs w:val="24"/>
        </w:rPr>
        <w:t>)</w:t>
      </w:r>
      <w:r w:rsidRPr="000C71B4">
        <w:rPr>
          <w:spacing w:val="-2"/>
          <w:sz w:val="24"/>
          <w:szCs w:val="24"/>
        </w:rPr>
        <w:t xml:space="preserve"> ожидается</w:t>
      </w:r>
      <w:r w:rsidRPr="000C71B4">
        <w:rPr>
          <w:sz w:val="24"/>
          <w:szCs w:val="24"/>
        </w:rPr>
        <w:t xml:space="preserve"> </w:t>
      </w:r>
      <w:r w:rsidRPr="000C71B4">
        <w:rPr>
          <w:sz w:val="24"/>
          <w:szCs w:val="24"/>
          <w:lang w:eastAsia="ru-RU"/>
        </w:rPr>
        <w:t xml:space="preserve">постепенное «оживление» экономики города вследствие восстановления инвестиционного и потребительского </w:t>
      </w:r>
      <w:r w:rsidRPr="000C71B4">
        <w:rPr>
          <w:sz w:val="24"/>
          <w:szCs w:val="24"/>
          <w:shd w:val="clear" w:color="auto" w:fill="FFFFFF"/>
        </w:rPr>
        <w:t>спроса</w:t>
      </w:r>
      <w:r w:rsidR="00074C58" w:rsidRPr="000C71B4">
        <w:rPr>
          <w:sz w:val="24"/>
          <w:szCs w:val="24"/>
          <w:shd w:val="clear" w:color="auto" w:fill="FFFFFF"/>
        </w:rPr>
        <w:t xml:space="preserve"> с последующим выходом экономики на стадию устойчивого развития.</w:t>
      </w:r>
    </w:p>
    <w:p w:rsidR="00354DCD" w:rsidRPr="000C71B4" w:rsidRDefault="00354DCD" w:rsidP="000C71B4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7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Оба варианта предусматривают реализацию в городском округе мероприятий, направленных на повышение инвестиционной активности, модернизацию отраслей экономики, создание высокопроизводительных рабочих мест, развитие инновационного и высокотехнологичного производства, </w:t>
      </w:r>
      <w:r w:rsidRPr="000C71B4">
        <w:rPr>
          <w:rFonts w:ascii="Times New Roman" w:hAnsi="Times New Roman" w:cs="Times New Roman"/>
          <w:sz w:val="24"/>
          <w:szCs w:val="24"/>
          <w:lang w:eastAsia="ru-RU"/>
        </w:rPr>
        <w:t>но ожидаемая степень достижения поставленных задач по второму варианту является более высокой.</w:t>
      </w:r>
    </w:p>
    <w:p w:rsidR="005A052E" w:rsidRPr="000C71B4" w:rsidRDefault="00C1784C" w:rsidP="000C71B4">
      <w:pPr>
        <w:pStyle w:val="a6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71B4">
        <w:rPr>
          <w:rFonts w:ascii="Times New Roman" w:hAnsi="Times New Roman" w:cs="Times New Roman"/>
          <w:sz w:val="24"/>
          <w:szCs w:val="24"/>
          <w:lang w:eastAsia="ru-RU"/>
        </w:rPr>
        <w:t>Первый</w:t>
      </w:r>
      <w:r w:rsidR="005A052E" w:rsidRPr="000C71B4">
        <w:rPr>
          <w:rFonts w:ascii="Times New Roman" w:hAnsi="Times New Roman" w:cs="Times New Roman"/>
          <w:sz w:val="24"/>
          <w:szCs w:val="24"/>
          <w:lang w:eastAsia="ru-RU"/>
        </w:rPr>
        <w:t xml:space="preserve"> вариант предлагается в качестве базового для разработки параметров бюджета на 2018 год и плановый период 2019 - 2020 годов. </w:t>
      </w:r>
    </w:p>
    <w:p w:rsidR="001E40D0" w:rsidRPr="000C71B4" w:rsidRDefault="001E40D0" w:rsidP="000C71B4">
      <w:pPr>
        <w:pStyle w:val="a6"/>
        <w:spacing w:after="0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0C71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Развитие экономики городского округа Тольятти в прогнозном периоде будет определяться влиянием следующих основных факторов:</w:t>
      </w:r>
    </w:p>
    <w:p w:rsidR="00354DCD" w:rsidRPr="000C71B4" w:rsidRDefault="001E40D0" w:rsidP="000C71B4">
      <w:pPr>
        <w:pStyle w:val="a6"/>
        <w:spacing w:after="0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0C71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 состояние</w:t>
      </w:r>
      <w:r w:rsidR="00D7395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</w:t>
      </w:r>
      <w:r w:rsidRPr="000C71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российской экономики и возможны</w:t>
      </w:r>
      <w:r w:rsidR="00D7395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ми</w:t>
      </w:r>
      <w:r w:rsidRPr="000C71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геополитически</w:t>
      </w:r>
      <w:r w:rsidR="00D7395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ми</w:t>
      </w:r>
      <w:r w:rsidRPr="000C71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риск</w:t>
      </w:r>
      <w:r w:rsidR="00D7395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ами</w:t>
      </w:r>
      <w:r w:rsidR="00354DCD" w:rsidRPr="000C71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354DCD" w:rsidRPr="000C71B4">
        <w:rPr>
          <w:rFonts w:ascii="Times New Roman" w:hAnsi="Times New Roman" w:cs="Times New Roman"/>
          <w:spacing w:val="-2"/>
          <w:sz w:val="24"/>
          <w:szCs w:val="24"/>
        </w:rPr>
        <w:t xml:space="preserve">(конъюнктура мировых рынков, динамика обменного курса рубля, проводимая на </w:t>
      </w:r>
      <w:r w:rsidR="00354DCD" w:rsidRPr="000C71B4">
        <w:rPr>
          <w:rFonts w:ascii="Times New Roman" w:hAnsi="Times New Roman" w:cs="Times New Roman"/>
          <w:spacing w:val="-2"/>
          <w:sz w:val="24"/>
          <w:szCs w:val="24"/>
        </w:rPr>
        <w:lastRenderedPageBreak/>
        <w:t>федеральном уровне внешнеэкономическая, налоговая, бюджетная, кредитно-денежная политика, параметры инфляции и др. факторы);</w:t>
      </w:r>
    </w:p>
    <w:p w:rsidR="001E40D0" w:rsidRPr="000C71B4" w:rsidRDefault="001E40D0" w:rsidP="000C71B4">
      <w:pPr>
        <w:numPr>
          <w:ilvl w:val="0"/>
          <w:numId w:val="3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 w:rsidRPr="000C71B4">
        <w:rPr>
          <w:rFonts w:ascii="Times New Roman" w:hAnsi="Times New Roman"/>
          <w:color w:val="1A1A1A"/>
          <w:sz w:val="24"/>
          <w:szCs w:val="24"/>
          <w:shd w:val="clear" w:color="auto" w:fill="FFFFFF"/>
          <w:lang w:eastAsia="ar-SA"/>
        </w:rPr>
        <w:t xml:space="preserve">- </w:t>
      </w:r>
      <w:r w:rsidRPr="000C71B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демографическ</w:t>
      </w:r>
      <w:r w:rsidR="00D73958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ой</w:t>
      </w:r>
      <w:r w:rsidRPr="000C71B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ситуаци</w:t>
      </w:r>
      <w:r w:rsidR="00D73958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ей</w:t>
      </w:r>
      <w:r w:rsidR="003F2086" w:rsidRPr="000C71B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, </w:t>
      </w:r>
      <w:r w:rsidR="00D5735B" w:rsidRPr="000C71B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состояние</w:t>
      </w:r>
      <w:r w:rsidR="00D73958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м</w:t>
      </w:r>
      <w:r w:rsidR="003F2086" w:rsidRPr="000C71B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рынк</w:t>
      </w:r>
      <w:r w:rsidR="00D5735B" w:rsidRPr="000C71B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а</w:t>
      </w:r>
      <w:r w:rsidR="003F2086" w:rsidRPr="000C71B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труда и</w:t>
      </w:r>
      <w:r w:rsidRPr="000C71B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A847E3" w:rsidRPr="000C71B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развитие</w:t>
      </w:r>
      <w:r w:rsidR="00D73958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м</w:t>
      </w:r>
      <w:r w:rsidR="00A847E3" w:rsidRPr="000C71B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человеческого капитала</w:t>
      </w:r>
      <w:r w:rsidRPr="000C71B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;</w:t>
      </w:r>
    </w:p>
    <w:p w:rsidR="00E555C3" w:rsidRPr="000C71B4" w:rsidRDefault="00E555C3" w:rsidP="000C71B4">
      <w:pPr>
        <w:pStyle w:val="a6"/>
        <w:spacing w:after="0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  <w:r w:rsidRPr="000C71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- эффективность</w:t>
      </w:r>
      <w:r w:rsidR="00D7395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ю</w:t>
      </w:r>
      <w:r w:rsidRPr="000C71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деятельности хозяйствующих субъектов;</w:t>
      </w:r>
    </w:p>
    <w:p w:rsidR="00E555C3" w:rsidRPr="000C71B4" w:rsidRDefault="00A847E3" w:rsidP="000C71B4">
      <w:pPr>
        <w:numPr>
          <w:ilvl w:val="0"/>
          <w:numId w:val="3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 w:rsidRPr="000C71B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- состояние</w:t>
      </w:r>
      <w:r w:rsidR="00D73958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м</w:t>
      </w:r>
      <w:r w:rsidRPr="000C71B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основных фондов реального сектора экономики;</w:t>
      </w:r>
    </w:p>
    <w:p w:rsidR="00A847E3" w:rsidRPr="000C71B4" w:rsidRDefault="00A847E3" w:rsidP="000C71B4">
      <w:pPr>
        <w:numPr>
          <w:ilvl w:val="0"/>
          <w:numId w:val="3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 w:rsidRPr="000C71B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- инвестиционны</w:t>
      </w:r>
      <w:r w:rsidR="00D73958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м</w:t>
      </w:r>
      <w:r w:rsidRPr="000C71B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климат</w:t>
      </w:r>
      <w:r w:rsidR="00D73958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ом</w:t>
      </w:r>
      <w:r w:rsidRPr="000C71B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и развитие</w:t>
      </w:r>
      <w:r w:rsidR="00D73958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м</w:t>
      </w:r>
      <w:r w:rsidRPr="000C71B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предпринимательства;</w:t>
      </w:r>
    </w:p>
    <w:p w:rsidR="00A847E3" w:rsidRPr="000C71B4" w:rsidRDefault="00A847E3" w:rsidP="000C71B4">
      <w:pPr>
        <w:numPr>
          <w:ilvl w:val="0"/>
          <w:numId w:val="3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  <w:lang w:eastAsia="ar-SA"/>
        </w:rPr>
      </w:pPr>
      <w:r w:rsidRPr="000C71B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- </w:t>
      </w:r>
      <w:r w:rsidRPr="000C71B4">
        <w:rPr>
          <w:rFonts w:ascii="Times New Roman" w:hAnsi="Times New Roman"/>
          <w:color w:val="1A1A1A"/>
          <w:sz w:val="24"/>
          <w:szCs w:val="24"/>
          <w:shd w:val="clear" w:color="auto" w:fill="FFFFFF"/>
          <w:lang w:eastAsia="ar-SA"/>
        </w:rPr>
        <w:t>эффективность</w:t>
      </w:r>
      <w:r w:rsidR="00D73958">
        <w:rPr>
          <w:rFonts w:ascii="Times New Roman" w:hAnsi="Times New Roman"/>
          <w:color w:val="1A1A1A"/>
          <w:sz w:val="24"/>
          <w:szCs w:val="24"/>
          <w:shd w:val="clear" w:color="auto" w:fill="FFFFFF"/>
          <w:lang w:eastAsia="ar-SA"/>
        </w:rPr>
        <w:t>ю</w:t>
      </w:r>
      <w:r w:rsidRPr="000C71B4">
        <w:rPr>
          <w:rFonts w:ascii="Times New Roman" w:hAnsi="Times New Roman"/>
          <w:color w:val="1A1A1A"/>
          <w:sz w:val="24"/>
          <w:szCs w:val="24"/>
          <w:shd w:val="clear" w:color="auto" w:fill="FFFFFF"/>
          <w:lang w:eastAsia="ar-SA"/>
        </w:rPr>
        <w:t xml:space="preserve"> государственных расходов и др. </w:t>
      </w:r>
    </w:p>
    <w:p w:rsidR="0053388C" w:rsidRPr="000C71B4" w:rsidRDefault="00E555C3" w:rsidP="000C71B4">
      <w:pPr>
        <w:pStyle w:val="a6"/>
        <w:spacing w:after="0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0C71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53388C" w:rsidRPr="000C71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Основными приоритетами с</w:t>
      </w:r>
      <w:r w:rsidR="000D4D5C" w:rsidRPr="000C71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оциально-экономической политики </w:t>
      </w:r>
      <w:r w:rsidR="0053388C" w:rsidRPr="000C71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в </w:t>
      </w:r>
      <w:r w:rsidR="003F2086" w:rsidRPr="000C71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среднесрочном периоде </w:t>
      </w:r>
      <w:r w:rsidR="0053388C" w:rsidRPr="000C71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являются:</w:t>
      </w:r>
    </w:p>
    <w:p w:rsidR="0053388C" w:rsidRPr="000C71B4" w:rsidRDefault="0053388C" w:rsidP="000C71B4">
      <w:pPr>
        <w:pStyle w:val="af"/>
        <w:numPr>
          <w:ilvl w:val="0"/>
          <w:numId w:val="3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0C71B4">
        <w:rPr>
          <w:bCs/>
          <w:sz w:val="24"/>
          <w:szCs w:val="24"/>
        </w:rPr>
        <w:t>- обеспечение устойчивого развития экономики и социальной стабильности;</w:t>
      </w:r>
    </w:p>
    <w:p w:rsidR="0053388C" w:rsidRPr="000C71B4" w:rsidRDefault="0053388C" w:rsidP="000C71B4">
      <w:pPr>
        <w:pStyle w:val="af"/>
        <w:numPr>
          <w:ilvl w:val="0"/>
          <w:numId w:val="3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0C71B4">
        <w:rPr>
          <w:bCs/>
          <w:sz w:val="24"/>
          <w:szCs w:val="24"/>
        </w:rPr>
        <w:t xml:space="preserve">- диверсификация экономики, </w:t>
      </w:r>
      <w:r w:rsidR="002C6321" w:rsidRPr="000C71B4">
        <w:rPr>
          <w:bCs/>
          <w:sz w:val="24"/>
          <w:szCs w:val="24"/>
        </w:rPr>
        <w:t>привлечение инвестиций и развитие малого и среднего предпринимательства;</w:t>
      </w:r>
    </w:p>
    <w:p w:rsidR="0053388C" w:rsidRPr="000C71B4" w:rsidRDefault="0053388C" w:rsidP="000C71B4">
      <w:pPr>
        <w:pStyle w:val="af"/>
        <w:numPr>
          <w:ilvl w:val="0"/>
          <w:numId w:val="3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0C71B4">
        <w:rPr>
          <w:bCs/>
          <w:sz w:val="24"/>
          <w:szCs w:val="24"/>
        </w:rPr>
        <w:t>- инновационное развитие и поддержка высокот</w:t>
      </w:r>
      <w:r w:rsidR="002C6321" w:rsidRPr="000C71B4">
        <w:rPr>
          <w:bCs/>
          <w:sz w:val="24"/>
          <w:szCs w:val="24"/>
        </w:rPr>
        <w:t xml:space="preserve">ехнологичных секторов экономики, </w:t>
      </w:r>
      <w:r w:rsidR="002C6321" w:rsidRPr="000C71B4">
        <w:rPr>
          <w:sz w:val="24"/>
          <w:szCs w:val="24"/>
        </w:rPr>
        <w:t>наращивание инжинирингового потенциала;</w:t>
      </w:r>
    </w:p>
    <w:p w:rsidR="000D4D5C" w:rsidRPr="000C71B4" w:rsidRDefault="00916EB2" w:rsidP="000C71B4">
      <w:pPr>
        <w:pStyle w:val="af"/>
        <w:numPr>
          <w:ilvl w:val="0"/>
          <w:numId w:val="3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0C71B4">
        <w:rPr>
          <w:bCs/>
          <w:sz w:val="24"/>
          <w:szCs w:val="24"/>
        </w:rPr>
        <w:t>- развитие инфраструктуры (</w:t>
      </w:r>
      <w:r w:rsidR="002C6321" w:rsidRPr="000C71B4">
        <w:rPr>
          <w:bCs/>
          <w:sz w:val="24"/>
          <w:szCs w:val="24"/>
        </w:rPr>
        <w:t xml:space="preserve">социальной, </w:t>
      </w:r>
      <w:r w:rsidRPr="000C71B4">
        <w:rPr>
          <w:bCs/>
          <w:sz w:val="24"/>
          <w:szCs w:val="24"/>
        </w:rPr>
        <w:t>транспортной, информационно-коммуникационной, энергетической и др.)</w:t>
      </w:r>
      <w:r w:rsidR="000D4D5C" w:rsidRPr="000C71B4">
        <w:rPr>
          <w:bCs/>
          <w:sz w:val="24"/>
          <w:szCs w:val="24"/>
        </w:rPr>
        <w:t>;</w:t>
      </w:r>
    </w:p>
    <w:p w:rsidR="00916EB2" w:rsidRPr="000C71B4" w:rsidRDefault="000D4D5C" w:rsidP="000C71B4">
      <w:pPr>
        <w:pStyle w:val="af"/>
        <w:numPr>
          <w:ilvl w:val="0"/>
          <w:numId w:val="3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0C71B4">
        <w:rPr>
          <w:bCs/>
          <w:sz w:val="24"/>
          <w:szCs w:val="24"/>
        </w:rPr>
        <w:t>- привлечение средств вышестоящих бюджетов для финансирования расходов бюджета городского округа Тольятти</w:t>
      </w:r>
      <w:r w:rsidR="002C6321" w:rsidRPr="000C71B4">
        <w:rPr>
          <w:bCs/>
          <w:sz w:val="24"/>
          <w:szCs w:val="24"/>
        </w:rPr>
        <w:t>.</w:t>
      </w:r>
    </w:p>
    <w:p w:rsidR="00837244" w:rsidRPr="000C71B4" w:rsidRDefault="00837244" w:rsidP="000C71B4">
      <w:pPr>
        <w:pStyle w:val="af"/>
        <w:numPr>
          <w:ilvl w:val="0"/>
          <w:numId w:val="3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0C71B4">
        <w:rPr>
          <w:sz w:val="24"/>
          <w:szCs w:val="24"/>
        </w:rPr>
        <w:t>Положительный эффект на экономику Тольятти окажет функционирование территорий опережающего социально-экономического развития  (далее – ТОСЭР</w:t>
      </w:r>
      <w:r w:rsidR="001A71CC" w:rsidRPr="000C71B4">
        <w:rPr>
          <w:sz w:val="24"/>
          <w:szCs w:val="24"/>
        </w:rPr>
        <w:t xml:space="preserve"> «Тольятти»</w:t>
      </w:r>
      <w:r w:rsidRPr="000C71B4">
        <w:rPr>
          <w:sz w:val="24"/>
          <w:szCs w:val="24"/>
        </w:rPr>
        <w:t>)</w:t>
      </w:r>
      <w:r w:rsidR="001A71CC" w:rsidRPr="000C71B4">
        <w:rPr>
          <w:sz w:val="24"/>
          <w:szCs w:val="24"/>
        </w:rPr>
        <w:t>, а также</w:t>
      </w:r>
      <w:r w:rsidRPr="000C71B4">
        <w:rPr>
          <w:sz w:val="24"/>
          <w:szCs w:val="24"/>
        </w:rPr>
        <w:t xml:space="preserve">  сотрудничество с Фондом развития моногородов в части привлечения средств Фонда на реализацию новых инвестиционных проектов и создание необходимой для них инфраструктуры.</w:t>
      </w:r>
    </w:p>
    <w:p w:rsidR="00892CF6" w:rsidRPr="000C71B4" w:rsidRDefault="00892CF6" w:rsidP="000C71B4">
      <w:pPr>
        <w:widowControl w:val="0"/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C71B4">
        <w:rPr>
          <w:rFonts w:ascii="Times New Roman" w:hAnsi="Times New Roman"/>
          <w:sz w:val="24"/>
          <w:szCs w:val="24"/>
        </w:rPr>
        <w:t xml:space="preserve">Новые направления поддержки моногорода Тольятти открываются в рамках </w:t>
      </w:r>
      <w:proofErr w:type="gramStart"/>
      <w:r w:rsidRPr="000C71B4">
        <w:rPr>
          <w:rFonts w:ascii="Times New Roman" w:hAnsi="Times New Roman"/>
          <w:sz w:val="24"/>
          <w:szCs w:val="24"/>
        </w:rPr>
        <w:t>федеральной приоритетной</w:t>
      </w:r>
      <w:proofErr w:type="gramEnd"/>
      <w:r w:rsidRPr="000C71B4">
        <w:rPr>
          <w:rFonts w:ascii="Times New Roman" w:hAnsi="Times New Roman"/>
          <w:sz w:val="24"/>
          <w:szCs w:val="24"/>
        </w:rPr>
        <w:t xml:space="preserve"> программы </w:t>
      </w:r>
      <w:r w:rsidR="003C0F13" w:rsidRPr="003C0F13">
        <w:rPr>
          <w:rFonts w:ascii="Times New Roman" w:hAnsi="Times New Roman"/>
          <w:sz w:val="24"/>
          <w:szCs w:val="24"/>
        </w:rPr>
        <w:t>«Комплексное развитие моногорода – городской округ Тольятти»</w:t>
      </w:r>
      <w:r w:rsidRPr="000C71B4">
        <w:rPr>
          <w:rFonts w:ascii="Times New Roman" w:hAnsi="Times New Roman"/>
          <w:sz w:val="24"/>
          <w:szCs w:val="24"/>
        </w:rPr>
        <w:t>, реализация которой будет вестись с использованием проектного подхода. В данную программу вошли мероприятия в таких областях, как здравоохранение, образование, безопасные и качественные дороги, качественные услуги ЖКХ и создание комфортной городской среды, поддержка малого бизнеса. Одним из аспектов реализации программы Тольятти выступает реализация мероприятий «Пять шагов благоустройства</w:t>
      </w:r>
      <w:r w:rsidR="003C0F13">
        <w:rPr>
          <w:rFonts w:ascii="Times New Roman" w:hAnsi="Times New Roman"/>
          <w:sz w:val="24"/>
          <w:szCs w:val="24"/>
        </w:rPr>
        <w:t xml:space="preserve"> повседневности</w:t>
      </w:r>
      <w:r w:rsidRPr="000C71B4">
        <w:rPr>
          <w:rFonts w:ascii="Times New Roman" w:hAnsi="Times New Roman"/>
          <w:sz w:val="24"/>
          <w:szCs w:val="24"/>
        </w:rPr>
        <w:t>».</w:t>
      </w:r>
    </w:p>
    <w:p w:rsidR="00892CF6" w:rsidRPr="000C71B4" w:rsidRDefault="00892CF6" w:rsidP="000C71B4">
      <w:pPr>
        <w:widowControl w:val="0"/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71B4">
        <w:rPr>
          <w:rFonts w:ascii="Times New Roman" w:hAnsi="Times New Roman"/>
          <w:sz w:val="24"/>
          <w:szCs w:val="24"/>
        </w:rPr>
        <w:t>На динамику развития городского округа Тольятти будет оказывать влияние эффективность мер государственной поддержки автомобилестроения, реализация крупных проектов на предприятиях химического комплекса, а также реализация за счет средств федерального и областного бюджетов мероприятий по строительству и реконструкции социальной и улично-дорожной инфраструктуры в рамках подготовки и проведения празднования 50-летия выпуска первого легкового автомобиля ВАЗ в городе Тольятти.</w:t>
      </w:r>
      <w:proofErr w:type="gramEnd"/>
    </w:p>
    <w:p w:rsidR="00892CF6" w:rsidRPr="000C71B4" w:rsidRDefault="00892CF6" w:rsidP="000C71B4">
      <w:pPr>
        <w:widowControl w:val="0"/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C71B4">
        <w:rPr>
          <w:rFonts w:ascii="Times New Roman" w:hAnsi="Times New Roman"/>
          <w:sz w:val="24"/>
          <w:szCs w:val="24"/>
        </w:rPr>
        <w:t>Дополнительным стимулом для развития Тольятти должна стать реализация мероприятий по развитию Тольятти как инженерного центра России.</w:t>
      </w:r>
    </w:p>
    <w:p w:rsidR="00252845" w:rsidRPr="000C71B4" w:rsidRDefault="000C71B4" w:rsidP="000C71B4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Согласно сценарным условиям </w:t>
      </w:r>
      <w:r w:rsidRPr="000C71B4">
        <w:rPr>
          <w:rFonts w:ascii="Times New Roman" w:hAnsi="Times New Roman"/>
          <w:sz w:val="24"/>
          <w:szCs w:val="24"/>
        </w:rPr>
        <w:t>социально-экономического развития Самарской области на 2018 год и плановый период 2019 и 2020 годов</w:t>
      </w:r>
      <w:r w:rsidRPr="000C71B4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н</w:t>
      </w:r>
      <w:r w:rsidR="0085114C" w:rsidRPr="000C71B4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а протяжении всего прогнозного периода</w:t>
      </w:r>
      <w:r w:rsidR="00252845" w:rsidRPr="000C71B4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по первому и второму вариантам прогноза индекс потребительских цен (</w:t>
      </w:r>
      <w:r w:rsidR="005E12A9" w:rsidRPr="000C71B4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как среднегодовой, так и </w:t>
      </w:r>
      <w:r w:rsidR="00252845" w:rsidRPr="000C71B4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декабрь к декабрю) будет стабильно сохраняться на уровне </w:t>
      </w:r>
      <w:r w:rsidR="00252845" w:rsidRPr="000C71B4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lastRenderedPageBreak/>
        <w:t>104</w:t>
      </w:r>
      <w:r w:rsidR="0085114C" w:rsidRPr="000C71B4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</w:t>
      </w:r>
      <w:r w:rsidR="00252845" w:rsidRPr="000C71B4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%.</w:t>
      </w:r>
      <w:r w:rsidR="005E12A9" w:rsidRPr="000C71B4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</w:t>
      </w:r>
    </w:p>
    <w:p w:rsidR="005365B8" w:rsidRPr="005106B1" w:rsidRDefault="005365B8" w:rsidP="005365B8">
      <w:pPr>
        <w:pStyle w:val="1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6B1">
        <w:rPr>
          <w:rFonts w:ascii="Times New Roman" w:hAnsi="Times New Roman"/>
          <w:sz w:val="24"/>
          <w:szCs w:val="24"/>
        </w:rPr>
        <w:t xml:space="preserve">Приоритетной задачей региональной </w:t>
      </w:r>
      <w:r w:rsidRPr="005106B1">
        <w:rPr>
          <w:rFonts w:ascii="Times New Roman" w:hAnsi="Times New Roman"/>
          <w:b/>
          <w:sz w:val="24"/>
          <w:szCs w:val="24"/>
        </w:rPr>
        <w:t>тарифной политики</w:t>
      </w:r>
      <w:r w:rsidRPr="005106B1">
        <w:rPr>
          <w:rFonts w:ascii="Times New Roman" w:hAnsi="Times New Roman"/>
          <w:sz w:val="24"/>
          <w:szCs w:val="24"/>
        </w:rPr>
        <w:t xml:space="preserve"> в среднесрочной перспективе является создание условий для дальнейшей стабилизации цен на потребительском рынке региона и городского округа Тольятти, а также контроль и мониторинг за ценообразованием на социально значимые товары и услуги.</w:t>
      </w:r>
    </w:p>
    <w:p w:rsidR="005365B8" w:rsidRPr="005365B8" w:rsidRDefault="005365B8" w:rsidP="005365B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65B8">
        <w:rPr>
          <w:rFonts w:ascii="Times New Roman" w:hAnsi="Times New Roman"/>
          <w:sz w:val="24"/>
          <w:szCs w:val="24"/>
          <w:lang w:eastAsia="ar-SA"/>
        </w:rPr>
        <w:t xml:space="preserve">В соответствии с прогнозом роста цен (тарифов), размещенного на сайте Министерства экономического развития Российской Федерации, предельные индексы изменения совокупной платы граждан за коммунальные услуги (без учета услуг по обращению с твердыми коммунальными отходами) составят: </w:t>
      </w:r>
    </w:p>
    <w:p w:rsidR="005365B8" w:rsidRPr="005365B8" w:rsidRDefault="005365B8" w:rsidP="005365B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65B8">
        <w:rPr>
          <w:rFonts w:ascii="Times New Roman" w:hAnsi="Times New Roman"/>
          <w:sz w:val="24"/>
          <w:szCs w:val="24"/>
          <w:lang w:eastAsia="ar-SA"/>
        </w:rPr>
        <w:t>с июля  2018 года – 4,0 %, с июля 2019 года – 4,0 %, с июля 2020 года – 4,0 %.</w:t>
      </w:r>
    </w:p>
    <w:p w:rsidR="005365B8" w:rsidRPr="005365B8" w:rsidRDefault="005365B8" w:rsidP="005365B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65B8">
        <w:rPr>
          <w:rFonts w:ascii="Times New Roman" w:hAnsi="Times New Roman"/>
          <w:sz w:val="24"/>
          <w:szCs w:val="24"/>
          <w:lang w:eastAsia="ar-SA"/>
        </w:rPr>
        <w:t>Также, прогноз роста цен (тарифов) на коммунальные услуги, размещенного на сайте Министерства энергетики и жилищно-коммунального хозяйства Самарской области указан в таблице: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61"/>
        <w:gridCol w:w="1793"/>
        <w:gridCol w:w="1701"/>
        <w:gridCol w:w="1701"/>
      </w:tblGrid>
      <w:tr w:rsidR="005365B8" w:rsidRPr="005365B8" w:rsidTr="00D73958">
        <w:trPr>
          <w:trHeight w:val="300"/>
        </w:trPr>
        <w:tc>
          <w:tcPr>
            <w:tcW w:w="4161" w:type="dxa"/>
            <w:noWrap/>
            <w:vAlign w:val="center"/>
          </w:tcPr>
          <w:p w:rsidR="005365B8" w:rsidRPr="005365B8" w:rsidRDefault="005365B8" w:rsidP="00D739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5B8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793" w:type="dxa"/>
            <w:noWrap/>
            <w:vAlign w:val="center"/>
          </w:tcPr>
          <w:p w:rsidR="005365B8" w:rsidRPr="005365B8" w:rsidRDefault="005365B8" w:rsidP="00D739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5B8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701" w:type="dxa"/>
            <w:noWrap/>
            <w:vAlign w:val="center"/>
          </w:tcPr>
          <w:p w:rsidR="005365B8" w:rsidRPr="005365B8" w:rsidRDefault="005365B8" w:rsidP="00D739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5B8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701" w:type="dxa"/>
            <w:noWrap/>
            <w:vAlign w:val="center"/>
          </w:tcPr>
          <w:p w:rsidR="005365B8" w:rsidRPr="005365B8" w:rsidRDefault="005365B8" w:rsidP="00D739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5B8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</w:tr>
      <w:tr w:rsidR="005365B8" w:rsidRPr="005365B8" w:rsidTr="00D73958">
        <w:trPr>
          <w:trHeight w:val="300"/>
        </w:trPr>
        <w:tc>
          <w:tcPr>
            <w:tcW w:w="9356" w:type="dxa"/>
            <w:gridSpan w:val="4"/>
            <w:noWrap/>
            <w:vAlign w:val="center"/>
          </w:tcPr>
          <w:p w:rsidR="005365B8" w:rsidRPr="005365B8" w:rsidRDefault="005365B8" w:rsidP="005365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B8">
              <w:rPr>
                <w:rFonts w:ascii="Times New Roman" w:hAnsi="Times New Roman"/>
                <w:sz w:val="24"/>
                <w:szCs w:val="24"/>
              </w:rPr>
              <w:t>Тепловая энергия</w:t>
            </w:r>
            <w:r w:rsidR="00AC0A76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5365B8" w:rsidRPr="005365B8" w:rsidTr="005365B8">
        <w:trPr>
          <w:trHeight w:val="300"/>
        </w:trPr>
        <w:tc>
          <w:tcPr>
            <w:tcW w:w="4161" w:type="dxa"/>
            <w:vMerge w:val="restart"/>
            <w:noWrap/>
            <w:vAlign w:val="center"/>
          </w:tcPr>
          <w:p w:rsidR="005365B8" w:rsidRPr="005365B8" w:rsidRDefault="005365B8" w:rsidP="005365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B8">
              <w:rPr>
                <w:rFonts w:ascii="Times New Roman" w:hAnsi="Times New Roman"/>
                <w:sz w:val="24"/>
                <w:szCs w:val="24"/>
              </w:rPr>
              <w:t>срок и размеры индексации тарифов</w:t>
            </w:r>
          </w:p>
        </w:tc>
        <w:tc>
          <w:tcPr>
            <w:tcW w:w="1793" w:type="dxa"/>
            <w:noWrap/>
            <w:vAlign w:val="center"/>
          </w:tcPr>
          <w:p w:rsidR="005365B8" w:rsidRPr="005365B8" w:rsidRDefault="005365B8" w:rsidP="005365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B8">
              <w:rPr>
                <w:rFonts w:ascii="Times New Roman" w:hAnsi="Times New Roman"/>
                <w:sz w:val="24"/>
                <w:szCs w:val="24"/>
              </w:rPr>
              <w:t>с июля</w:t>
            </w:r>
          </w:p>
        </w:tc>
        <w:tc>
          <w:tcPr>
            <w:tcW w:w="1701" w:type="dxa"/>
            <w:noWrap/>
            <w:vAlign w:val="center"/>
          </w:tcPr>
          <w:p w:rsidR="005365B8" w:rsidRPr="005365B8" w:rsidRDefault="005365B8" w:rsidP="005365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B8">
              <w:rPr>
                <w:rFonts w:ascii="Times New Roman" w:hAnsi="Times New Roman"/>
                <w:sz w:val="24"/>
                <w:szCs w:val="24"/>
              </w:rPr>
              <w:t>с июля</w:t>
            </w:r>
          </w:p>
        </w:tc>
        <w:tc>
          <w:tcPr>
            <w:tcW w:w="1701" w:type="dxa"/>
            <w:noWrap/>
            <w:vAlign w:val="center"/>
          </w:tcPr>
          <w:p w:rsidR="005365B8" w:rsidRPr="005365B8" w:rsidRDefault="005365B8" w:rsidP="005365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B8">
              <w:rPr>
                <w:rFonts w:ascii="Times New Roman" w:hAnsi="Times New Roman"/>
                <w:sz w:val="24"/>
                <w:szCs w:val="24"/>
              </w:rPr>
              <w:t>с июля</w:t>
            </w:r>
          </w:p>
        </w:tc>
      </w:tr>
      <w:tr w:rsidR="005365B8" w:rsidRPr="005365B8" w:rsidTr="005365B8">
        <w:trPr>
          <w:trHeight w:val="350"/>
        </w:trPr>
        <w:tc>
          <w:tcPr>
            <w:tcW w:w="4161" w:type="dxa"/>
            <w:vMerge/>
            <w:vAlign w:val="center"/>
          </w:tcPr>
          <w:p w:rsidR="005365B8" w:rsidRPr="005365B8" w:rsidRDefault="005365B8" w:rsidP="005365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noWrap/>
            <w:vAlign w:val="center"/>
          </w:tcPr>
          <w:p w:rsidR="005365B8" w:rsidRPr="00AC0A76" w:rsidRDefault="00AC0A76" w:rsidP="00AC0A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A76">
              <w:rPr>
                <w:rFonts w:ascii="Times New Roman" w:hAnsi="Times New Roman"/>
                <w:sz w:val="24"/>
                <w:szCs w:val="24"/>
              </w:rPr>
              <w:t>10</w:t>
            </w:r>
            <w:r w:rsidR="005365B8" w:rsidRPr="00AC0A76">
              <w:rPr>
                <w:rFonts w:ascii="Times New Roman" w:hAnsi="Times New Roman"/>
                <w:sz w:val="24"/>
                <w:szCs w:val="24"/>
              </w:rPr>
              <w:t xml:space="preserve">4,0 </w:t>
            </w:r>
          </w:p>
        </w:tc>
        <w:tc>
          <w:tcPr>
            <w:tcW w:w="1701" w:type="dxa"/>
            <w:noWrap/>
            <w:vAlign w:val="center"/>
          </w:tcPr>
          <w:p w:rsidR="005365B8" w:rsidRPr="005365B8" w:rsidRDefault="00AC0A76" w:rsidP="00AC0A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365B8" w:rsidRPr="005365B8">
              <w:rPr>
                <w:rFonts w:ascii="Times New Roman" w:hAnsi="Times New Roman"/>
                <w:sz w:val="24"/>
                <w:szCs w:val="24"/>
              </w:rPr>
              <w:t xml:space="preserve">4,0 </w:t>
            </w:r>
          </w:p>
        </w:tc>
        <w:tc>
          <w:tcPr>
            <w:tcW w:w="1701" w:type="dxa"/>
            <w:noWrap/>
            <w:vAlign w:val="center"/>
          </w:tcPr>
          <w:p w:rsidR="005365B8" w:rsidRPr="005365B8" w:rsidRDefault="00AC0A76" w:rsidP="00AC0A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365B8" w:rsidRPr="005365B8">
              <w:rPr>
                <w:rFonts w:ascii="Times New Roman" w:hAnsi="Times New Roman"/>
                <w:sz w:val="24"/>
                <w:szCs w:val="24"/>
              </w:rPr>
              <w:t xml:space="preserve">3,4 </w:t>
            </w:r>
          </w:p>
        </w:tc>
      </w:tr>
      <w:tr w:rsidR="005365B8" w:rsidRPr="005365B8" w:rsidTr="00D73958">
        <w:trPr>
          <w:trHeight w:val="588"/>
        </w:trPr>
        <w:tc>
          <w:tcPr>
            <w:tcW w:w="9356" w:type="dxa"/>
            <w:gridSpan w:val="4"/>
            <w:vAlign w:val="center"/>
          </w:tcPr>
          <w:p w:rsidR="005365B8" w:rsidRPr="00AC0A76" w:rsidRDefault="005365B8" w:rsidP="005365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A76">
              <w:rPr>
                <w:rFonts w:ascii="Times New Roman" w:hAnsi="Times New Roman"/>
                <w:sz w:val="24"/>
                <w:szCs w:val="24"/>
              </w:rPr>
              <w:t>Водоснабжение, водоотведение</w:t>
            </w:r>
            <w:r w:rsidR="00AC0A76" w:rsidRPr="00AC0A76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5365B8" w:rsidRPr="005365B8" w:rsidTr="00D73958">
        <w:trPr>
          <w:trHeight w:val="243"/>
        </w:trPr>
        <w:tc>
          <w:tcPr>
            <w:tcW w:w="4161" w:type="dxa"/>
            <w:vMerge w:val="restart"/>
            <w:vAlign w:val="center"/>
          </w:tcPr>
          <w:p w:rsidR="005365B8" w:rsidRPr="005365B8" w:rsidRDefault="005365B8" w:rsidP="005365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B8">
              <w:rPr>
                <w:rFonts w:ascii="Times New Roman" w:hAnsi="Times New Roman"/>
                <w:sz w:val="24"/>
                <w:szCs w:val="24"/>
              </w:rPr>
              <w:t>срок и размеры индексации тарифов</w:t>
            </w:r>
          </w:p>
        </w:tc>
        <w:tc>
          <w:tcPr>
            <w:tcW w:w="1793" w:type="dxa"/>
            <w:noWrap/>
            <w:vAlign w:val="center"/>
          </w:tcPr>
          <w:p w:rsidR="005365B8" w:rsidRPr="00AC0A76" w:rsidRDefault="005365B8" w:rsidP="005365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A76">
              <w:rPr>
                <w:rFonts w:ascii="Times New Roman" w:hAnsi="Times New Roman"/>
                <w:sz w:val="24"/>
                <w:szCs w:val="24"/>
              </w:rPr>
              <w:t>с июля</w:t>
            </w:r>
          </w:p>
        </w:tc>
        <w:tc>
          <w:tcPr>
            <w:tcW w:w="1701" w:type="dxa"/>
            <w:noWrap/>
            <w:vAlign w:val="center"/>
          </w:tcPr>
          <w:p w:rsidR="005365B8" w:rsidRPr="005365B8" w:rsidRDefault="005365B8" w:rsidP="005365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B8">
              <w:rPr>
                <w:rFonts w:ascii="Times New Roman" w:hAnsi="Times New Roman"/>
                <w:sz w:val="24"/>
                <w:szCs w:val="24"/>
              </w:rPr>
              <w:t>с июля</w:t>
            </w:r>
          </w:p>
        </w:tc>
        <w:tc>
          <w:tcPr>
            <w:tcW w:w="1701" w:type="dxa"/>
            <w:noWrap/>
            <w:vAlign w:val="center"/>
          </w:tcPr>
          <w:p w:rsidR="005365B8" w:rsidRPr="005365B8" w:rsidRDefault="005365B8" w:rsidP="005365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B8">
              <w:rPr>
                <w:rFonts w:ascii="Times New Roman" w:hAnsi="Times New Roman"/>
                <w:sz w:val="24"/>
                <w:szCs w:val="24"/>
              </w:rPr>
              <w:t>с июля</w:t>
            </w:r>
          </w:p>
        </w:tc>
      </w:tr>
      <w:tr w:rsidR="005365B8" w:rsidRPr="005365B8" w:rsidTr="00D73958">
        <w:trPr>
          <w:trHeight w:val="336"/>
        </w:trPr>
        <w:tc>
          <w:tcPr>
            <w:tcW w:w="4161" w:type="dxa"/>
            <w:vMerge/>
            <w:tcBorders>
              <w:top w:val="nil"/>
            </w:tcBorders>
            <w:vAlign w:val="center"/>
          </w:tcPr>
          <w:p w:rsidR="005365B8" w:rsidRPr="005365B8" w:rsidRDefault="005365B8" w:rsidP="005365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noWrap/>
            <w:vAlign w:val="center"/>
          </w:tcPr>
          <w:p w:rsidR="005365B8" w:rsidRPr="00AC0A76" w:rsidRDefault="00AC0A76" w:rsidP="00AC0A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A76">
              <w:rPr>
                <w:rFonts w:ascii="Times New Roman" w:hAnsi="Times New Roman"/>
                <w:sz w:val="24"/>
                <w:szCs w:val="24"/>
              </w:rPr>
              <w:t>10</w:t>
            </w:r>
            <w:r w:rsidR="005365B8" w:rsidRPr="00AC0A76">
              <w:rPr>
                <w:rFonts w:ascii="Times New Roman" w:hAnsi="Times New Roman"/>
                <w:sz w:val="24"/>
                <w:szCs w:val="24"/>
              </w:rPr>
              <w:t xml:space="preserve">4,0 </w:t>
            </w:r>
          </w:p>
        </w:tc>
        <w:tc>
          <w:tcPr>
            <w:tcW w:w="1701" w:type="dxa"/>
            <w:noWrap/>
            <w:vAlign w:val="center"/>
          </w:tcPr>
          <w:p w:rsidR="005365B8" w:rsidRPr="005365B8" w:rsidRDefault="00AC0A76" w:rsidP="00AC0A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365B8" w:rsidRPr="005365B8">
              <w:rPr>
                <w:rFonts w:ascii="Times New Roman" w:hAnsi="Times New Roman"/>
                <w:sz w:val="24"/>
                <w:szCs w:val="24"/>
              </w:rPr>
              <w:t xml:space="preserve">4,0 </w:t>
            </w:r>
          </w:p>
        </w:tc>
        <w:tc>
          <w:tcPr>
            <w:tcW w:w="1701" w:type="dxa"/>
            <w:noWrap/>
            <w:vAlign w:val="center"/>
          </w:tcPr>
          <w:p w:rsidR="005365B8" w:rsidRPr="005365B8" w:rsidRDefault="00AC0A76" w:rsidP="00AC0A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365B8" w:rsidRPr="005365B8">
              <w:rPr>
                <w:rFonts w:ascii="Times New Roman" w:hAnsi="Times New Roman"/>
                <w:sz w:val="24"/>
                <w:szCs w:val="24"/>
              </w:rPr>
              <w:t xml:space="preserve">4,0 </w:t>
            </w:r>
          </w:p>
        </w:tc>
      </w:tr>
      <w:tr w:rsidR="005365B8" w:rsidRPr="005365B8" w:rsidTr="00D73958">
        <w:trPr>
          <w:trHeight w:val="453"/>
        </w:trPr>
        <w:tc>
          <w:tcPr>
            <w:tcW w:w="9356" w:type="dxa"/>
            <w:gridSpan w:val="4"/>
            <w:noWrap/>
            <w:vAlign w:val="center"/>
          </w:tcPr>
          <w:p w:rsidR="005365B8" w:rsidRPr="00AC0A76" w:rsidRDefault="005365B8" w:rsidP="005365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A76">
              <w:rPr>
                <w:rFonts w:ascii="Times New Roman" w:hAnsi="Times New Roman"/>
                <w:sz w:val="24"/>
                <w:szCs w:val="24"/>
              </w:rPr>
              <w:t>Газ природный (оптовые цены)</w:t>
            </w:r>
            <w:r w:rsidR="00AC0A76" w:rsidRPr="00AC0A76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5365B8" w:rsidRPr="005365B8" w:rsidTr="00D73958">
        <w:trPr>
          <w:trHeight w:val="300"/>
        </w:trPr>
        <w:tc>
          <w:tcPr>
            <w:tcW w:w="4161" w:type="dxa"/>
            <w:noWrap/>
            <w:vAlign w:val="center"/>
          </w:tcPr>
          <w:p w:rsidR="005365B8" w:rsidRPr="005365B8" w:rsidRDefault="005365B8" w:rsidP="005365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5B8">
              <w:rPr>
                <w:rFonts w:ascii="Times New Roman" w:hAnsi="Times New Roman"/>
                <w:sz w:val="24"/>
                <w:szCs w:val="24"/>
              </w:rPr>
              <w:t>Регулируемые цены для всех категорий потребителей</w:t>
            </w:r>
          </w:p>
        </w:tc>
        <w:tc>
          <w:tcPr>
            <w:tcW w:w="1793" w:type="dxa"/>
            <w:noWrap/>
            <w:vAlign w:val="center"/>
          </w:tcPr>
          <w:p w:rsidR="005365B8" w:rsidRPr="00AC0A76" w:rsidRDefault="005365B8" w:rsidP="005365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A76"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1701" w:type="dxa"/>
            <w:noWrap/>
            <w:vAlign w:val="center"/>
          </w:tcPr>
          <w:p w:rsidR="005365B8" w:rsidRPr="005365B8" w:rsidRDefault="005365B8" w:rsidP="005365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B8"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1701" w:type="dxa"/>
            <w:noWrap/>
            <w:vAlign w:val="center"/>
          </w:tcPr>
          <w:p w:rsidR="005365B8" w:rsidRPr="005365B8" w:rsidRDefault="005365B8" w:rsidP="005365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B8"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</w:tr>
      <w:tr w:rsidR="005365B8" w:rsidRPr="005365B8" w:rsidTr="00D73958">
        <w:trPr>
          <w:trHeight w:val="300"/>
        </w:trPr>
        <w:tc>
          <w:tcPr>
            <w:tcW w:w="4161" w:type="dxa"/>
            <w:noWrap/>
            <w:vAlign w:val="center"/>
          </w:tcPr>
          <w:p w:rsidR="005365B8" w:rsidRPr="005365B8" w:rsidRDefault="005365B8" w:rsidP="005365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5B8">
              <w:rPr>
                <w:rFonts w:ascii="Times New Roman" w:hAnsi="Times New Roman"/>
                <w:sz w:val="24"/>
                <w:szCs w:val="24"/>
              </w:rPr>
              <w:t>для всех категорий потребителей, кроме населения</w:t>
            </w:r>
          </w:p>
        </w:tc>
        <w:tc>
          <w:tcPr>
            <w:tcW w:w="1793" w:type="dxa"/>
            <w:noWrap/>
            <w:vAlign w:val="center"/>
          </w:tcPr>
          <w:p w:rsidR="005365B8" w:rsidRPr="005365B8" w:rsidRDefault="005365B8" w:rsidP="005365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B8"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1701" w:type="dxa"/>
            <w:noWrap/>
            <w:vAlign w:val="center"/>
          </w:tcPr>
          <w:p w:rsidR="005365B8" w:rsidRPr="005365B8" w:rsidRDefault="005365B8" w:rsidP="005365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B8"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1701" w:type="dxa"/>
            <w:noWrap/>
            <w:vAlign w:val="center"/>
          </w:tcPr>
          <w:p w:rsidR="005365B8" w:rsidRPr="005365B8" w:rsidRDefault="005365B8" w:rsidP="005365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B8"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</w:tr>
      <w:tr w:rsidR="005365B8" w:rsidRPr="005365B8" w:rsidTr="00D73958">
        <w:trPr>
          <w:trHeight w:val="300"/>
        </w:trPr>
        <w:tc>
          <w:tcPr>
            <w:tcW w:w="4161" w:type="dxa"/>
            <w:noWrap/>
            <w:vAlign w:val="center"/>
          </w:tcPr>
          <w:p w:rsidR="005365B8" w:rsidRPr="005365B8" w:rsidRDefault="005365B8" w:rsidP="005365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5B8">
              <w:rPr>
                <w:rFonts w:ascii="Times New Roman" w:hAnsi="Times New Roman"/>
                <w:sz w:val="24"/>
                <w:szCs w:val="24"/>
              </w:rPr>
              <w:t>для населения</w:t>
            </w:r>
          </w:p>
        </w:tc>
        <w:tc>
          <w:tcPr>
            <w:tcW w:w="1793" w:type="dxa"/>
            <w:noWrap/>
            <w:vAlign w:val="center"/>
          </w:tcPr>
          <w:p w:rsidR="005365B8" w:rsidRPr="005365B8" w:rsidRDefault="005365B8" w:rsidP="005365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B8"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1701" w:type="dxa"/>
            <w:noWrap/>
            <w:vAlign w:val="center"/>
          </w:tcPr>
          <w:p w:rsidR="005365B8" w:rsidRPr="005365B8" w:rsidRDefault="005365B8" w:rsidP="005365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B8"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1701" w:type="dxa"/>
            <w:noWrap/>
            <w:vAlign w:val="center"/>
          </w:tcPr>
          <w:p w:rsidR="005365B8" w:rsidRPr="005365B8" w:rsidRDefault="005365B8" w:rsidP="005365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B8"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</w:tr>
      <w:tr w:rsidR="005365B8" w:rsidRPr="005365B8" w:rsidTr="00D73958">
        <w:trPr>
          <w:trHeight w:val="300"/>
        </w:trPr>
        <w:tc>
          <w:tcPr>
            <w:tcW w:w="9356" w:type="dxa"/>
            <w:gridSpan w:val="4"/>
            <w:noWrap/>
            <w:vAlign w:val="center"/>
          </w:tcPr>
          <w:p w:rsidR="005365B8" w:rsidRPr="005365B8" w:rsidRDefault="005365B8" w:rsidP="005365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B8">
              <w:rPr>
                <w:rFonts w:ascii="Times New Roman" w:hAnsi="Times New Roman"/>
                <w:sz w:val="24"/>
                <w:szCs w:val="24"/>
              </w:rPr>
              <w:t>Электрическая энергия</w:t>
            </w:r>
            <w:r w:rsidR="00AC0A76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5365B8" w:rsidRPr="005365B8" w:rsidTr="00D73958">
        <w:trPr>
          <w:trHeight w:val="300"/>
        </w:trPr>
        <w:tc>
          <w:tcPr>
            <w:tcW w:w="4161" w:type="dxa"/>
            <w:noWrap/>
            <w:vAlign w:val="center"/>
          </w:tcPr>
          <w:p w:rsidR="005365B8" w:rsidRPr="005365B8" w:rsidRDefault="005365B8" w:rsidP="005365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65B8">
              <w:rPr>
                <w:rFonts w:ascii="Times New Roman" w:hAnsi="Times New Roman"/>
                <w:sz w:val="24"/>
                <w:szCs w:val="24"/>
              </w:rPr>
              <w:t>Регулируемые тарифы и рыночных цен, для всех категорий потребителей, исключая население)</w:t>
            </w:r>
            <w:proofErr w:type="gramEnd"/>
          </w:p>
        </w:tc>
        <w:tc>
          <w:tcPr>
            <w:tcW w:w="1793" w:type="dxa"/>
            <w:noWrap/>
            <w:vAlign w:val="center"/>
          </w:tcPr>
          <w:p w:rsidR="005365B8" w:rsidRPr="005365B8" w:rsidRDefault="005365B8" w:rsidP="005365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B8">
              <w:rPr>
                <w:rFonts w:ascii="Times New Roman" w:hAnsi="Times New Roman"/>
                <w:sz w:val="24"/>
                <w:szCs w:val="24"/>
              </w:rPr>
              <w:t>105,3-106,3</w:t>
            </w:r>
          </w:p>
        </w:tc>
        <w:tc>
          <w:tcPr>
            <w:tcW w:w="1701" w:type="dxa"/>
            <w:noWrap/>
            <w:vAlign w:val="center"/>
          </w:tcPr>
          <w:p w:rsidR="005365B8" w:rsidRPr="005365B8" w:rsidRDefault="005365B8" w:rsidP="005365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B8">
              <w:rPr>
                <w:rFonts w:ascii="Times New Roman" w:hAnsi="Times New Roman"/>
                <w:sz w:val="24"/>
                <w:szCs w:val="24"/>
              </w:rPr>
              <w:t>105,3-106,3</w:t>
            </w:r>
          </w:p>
        </w:tc>
        <w:tc>
          <w:tcPr>
            <w:tcW w:w="1701" w:type="dxa"/>
            <w:noWrap/>
            <w:vAlign w:val="center"/>
          </w:tcPr>
          <w:p w:rsidR="005365B8" w:rsidRPr="005365B8" w:rsidRDefault="005365B8" w:rsidP="005365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B8">
              <w:rPr>
                <w:rFonts w:ascii="Times New Roman" w:hAnsi="Times New Roman"/>
                <w:sz w:val="24"/>
                <w:szCs w:val="24"/>
              </w:rPr>
              <w:t>107,5-108,5</w:t>
            </w:r>
          </w:p>
        </w:tc>
      </w:tr>
    </w:tbl>
    <w:p w:rsidR="005365B8" w:rsidRDefault="005365B8" w:rsidP="005365B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365B8" w:rsidRPr="005365B8" w:rsidRDefault="005365B8" w:rsidP="005365B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365B8">
        <w:rPr>
          <w:rFonts w:ascii="Times New Roman" w:hAnsi="Times New Roman"/>
          <w:sz w:val="24"/>
          <w:szCs w:val="24"/>
        </w:rPr>
        <w:t>Основными направлениями государственной политики на 2018 – 2020 годы в сфере коммунального комплекса являются мониторинг функционирования принятых ранее и разработка новых норм, направленных на привлечение частных инвестиций в сферу коммунального хозяйства. Приоритетным направлением также останется внедрение и организация контроля показателей качества и надежности, предоставляемых потребителям коммунальных услуг с учётом мер, принимаемых по ограничению стоимости таких услуг.</w:t>
      </w:r>
    </w:p>
    <w:p w:rsidR="005365B8" w:rsidRPr="005365B8" w:rsidRDefault="005365B8" w:rsidP="005365B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365B8">
        <w:rPr>
          <w:rFonts w:ascii="Times New Roman" w:hAnsi="Times New Roman"/>
          <w:sz w:val="24"/>
          <w:szCs w:val="24"/>
        </w:rPr>
        <w:lastRenderedPageBreak/>
        <w:t>На величину платы за содержание жилых помещений в 2018 году окажет влияние изменение законодательства, а именно:</w:t>
      </w:r>
    </w:p>
    <w:p w:rsidR="005365B8" w:rsidRPr="005365B8" w:rsidRDefault="005365B8" w:rsidP="005365B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365B8">
        <w:rPr>
          <w:rFonts w:ascii="Times New Roman" w:hAnsi="Times New Roman"/>
          <w:sz w:val="24"/>
          <w:szCs w:val="24"/>
        </w:rPr>
        <w:t>- утверждение тарифа на услугу по обращению с твердыми коммунальными отходами.</w:t>
      </w:r>
    </w:p>
    <w:p w:rsidR="005365B8" w:rsidRPr="005365B8" w:rsidRDefault="005365B8" w:rsidP="005365B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365B8">
        <w:rPr>
          <w:rFonts w:ascii="Times New Roman" w:hAnsi="Times New Roman"/>
          <w:sz w:val="24"/>
          <w:szCs w:val="24"/>
        </w:rPr>
        <w:t>Величина тарифа на проезд пассажиров в муниципальном транспорте будет определяться с учетом оптимизации деятельности муниципальных предприятий, показателей бюджета городского округа Тольятти и анализа изменения пассажиропотока.</w:t>
      </w:r>
    </w:p>
    <w:p w:rsidR="00B144C2" w:rsidRPr="00E22255" w:rsidRDefault="00B144C2" w:rsidP="00B144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D3198" w:rsidRPr="00065A6A" w:rsidRDefault="003D3198" w:rsidP="003D3198">
      <w:pPr>
        <w:pStyle w:val="1"/>
        <w:spacing w:line="276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65A6A">
        <w:rPr>
          <w:rFonts w:ascii="Times New Roman" w:hAnsi="Times New Roman"/>
          <w:b/>
          <w:sz w:val="24"/>
          <w:szCs w:val="24"/>
        </w:rPr>
        <w:t>Промышленное производство                                                                         (Обрабатывающие производства.</w:t>
      </w:r>
      <w:proofErr w:type="gramEnd"/>
      <w:r w:rsidRPr="00065A6A">
        <w:rPr>
          <w:rFonts w:ascii="Times New Roman" w:hAnsi="Times New Roman"/>
          <w:b/>
          <w:sz w:val="24"/>
          <w:szCs w:val="24"/>
        </w:rPr>
        <w:t xml:space="preserve"> Обеспечение электрической энергией, газом и паром; кондиционирование воздуха. </w:t>
      </w:r>
      <w:proofErr w:type="gramStart"/>
      <w:r w:rsidRPr="00065A6A">
        <w:rPr>
          <w:rFonts w:ascii="Times New Roman" w:hAnsi="Times New Roman"/>
          <w:b/>
          <w:sz w:val="24"/>
          <w:szCs w:val="24"/>
        </w:rPr>
        <w:t>Водоснабжение; водоотведение, организация сбора и утилизации отходов, деятельность по ликвидации загрязнений)</w:t>
      </w:r>
      <w:proofErr w:type="gramEnd"/>
    </w:p>
    <w:p w:rsidR="003D3198" w:rsidRPr="00065A6A" w:rsidRDefault="003D3198" w:rsidP="003D3198">
      <w:pPr>
        <w:pStyle w:val="1"/>
        <w:spacing w:line="276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D3198" w:rsidRPr="00CA2EC9" w:rsidRDefault="003D3198" w:rsidP="00CA2EC9">
      <w:pPr>
        <w:pStyle w:val="1"/>
        <w:spacing w:line="276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2EC9">
        <w:rPr>
          <w:rFonts w:ascii="Times New Roman" w:hAnsi="Times New Roman"/>
          <w:sz w:val="24"/>
          <w:szCs w:val="24"/>
          <w:lang w:eastAsia="ru-RU"/>
        </w:rPr>
        <w:t>Прогноз развития промышленного комплекса городского округа Тольятти формируется на основании фактических данных органов статистики, собственных прогнозов крупных предприятий города</w:t>
      </w:r>
      <w:r w:rsidRPr="00CA2EC9">
        <w:rPr>
          <w:rFonts w:ascii="Times New Roman" w:hAnsi="Times New Roman"/>
          <w:sz w:val="24"/>
          <w:szCs w:val="24"/>
        </w:rPr>
        <w:t>,</w:t>
      </w:r>
      <w:r w:rsidRPr="00CA2EC9">
        <w:rPr>
          <w:rFonts w:ascii="Times New Roman" w:hAnsi="Times New Roman"/>
          <w:sz w:val="24"/>
          <w:szCs w:val="24"/>
          <w:lang w:eastAsia="ru-RU"/>
        </w:rPr>
        <w:t xml:space="preserve"> а также с учетом тенденций развития промышленного производства в городском округе Тольятти и региона в целом.</w:t>
      </w:r>
    </w:p>
    <w:p w:rsidR="003D3198" w:rsidRPr="00CA2EC9" w:rsidRDefault="003D3198" w:rsidP="00CA2E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2EC9">
        <w:rPr>
          <w:rFonts w:ascii="Times New Roman" w:hAnsi="Times New Roman"/>
          <w:sz w:val="24"/>
          <w:szCs w:val="24"/>
        </w:rPr>
        <w:t>Определяющими факторами развития промышленного комплекса городского округа в прогнозном периоде станут: состояние российского рынка легковых автомобилей, макроэкономические условия, влияющие на инвестиционную активность; курс национальной валюты; продолжение действия секторальных санкций, ограничивающих доступ предприятий к отдельным зарубежным технологиям и капиталам; уровень платежеспособности населения; объемы государственной поддержки отечественных производителей.</w:t>
      </w:r>
    </w:p>
    <w:p w:rsidR="0037720F" w:rsidRDefault="003D3198" w:rsidP="00CA2E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2EC9">
        <w:rPr>
          <w:rFonts w:ascii="Times New Roman" w:hAnsi="Times New Roman"/>
          <w:sz w:val="24"/>
          <w:szCs w:val="24"/>
        </w:rPr>
        <w:t xml:space="preserve">Рост объемов отгруженной промышленной продукции в городском округе в 2017 году </w:t>
      </w:r>
      <w:proofErr w:type="gramStart"/>
      <w:r w:rsidRPr="00CA2EC9">
        <w:rPr>
          <w:rFonts w:ascii="Times New Roman" w:hAnsi="Times New Roman"/>
          <w:sz w:val="24"/>
          <w:szCs w:val="24"/>
        </w:rPr>
        <w:t>связан</w:t>
      </w:r>
      <w:proofErr w:type="gramEnd"/>
      <w:r w:rsidRPr="00CA2EC9">
        <w:rPr>
          <w:rFonts w:ascii="Times New Roman" w:hAnsi="Times New Roman"/>
          <w:sz w:val="24"/>
          <w:szCs w:val="24"/>
        </w:rPr>
        <w:t xml:space="preserve"> прежде всего с повышенным спросом на новую модель ПАО «АВТОВАЗ» X-</w:t>
      </w:r>
      <w:r w:rsidRPr="00CA2EC9">
        <w:rPr>
          <w:rFonts w:ascii="Times New Roman" w:hAnsi="Times New Roman"/>
          <w:sz w:val="24"/>
          <w:szCs w:val="24"/>
          <w:lang w:val="en-US"/>
        </w:rPr>
        <w:t>Ray</w:t>
      </w:r>
      <w:r w:rsidRPr="00CA2EC9">
        <w:rPr>
          <w:rFonts w:ascii="Times New Roman" w:hAnsi="Times New Roman"/>
          <w:sz w:val="24"/>
          <w:szCs w:val="24"/>
        </w:rPr>
        <w:t xml:space="preserve"> , выпуск которой начался в феврале 2016 года. </w:t>
      </w:r>
      <w:proofErr w:type="gramStart"/>
      <w:r w:rsidRPr="00CA2EC9">
        <w:rPr>
          <w:rFonts w:ascii="Times New Roman" w:hAnsi="Times New Roman"/>
          <w:sz w:val="24"/>
          <w:szCs w:val="24"/>
        </w:rPr>
        <w:t>Постепенное снижение темпов продаж данной модели</w:t>
      </w:r>
      <w:r w:rsidR="0037720F">
        <w:rPr>
          <w:rFonts w:ascii="Times New Roman" w:hAnsi="Times New Roman"/>
          <w:sz w:val="24"/>
          <w:szCs w:val="24"/>
        </w:rPr>
        <w:t>, а также неопределенность в выборе площадок для</w:t>
      </w:r>
      <w:r w:rsidRPr="00CA2EC9">
        <w:rPr>
          <w:rFonts w:ascii="Times New Roman" w:hAnsi="Times New Roman"/>
          <w:sz w:val="24"/>
          <w:szCs w:val="24"/>
        </w:rPr>
        <w:t xml:space="preserve"> реализации проектов</w:t>
      </w:r>
      <w:r w:rsidR="0037720F">
        <w:rPr>
          <w:rFonts w:ascii="Times New Roman" w:hAnsi="Times New Roman"/>
          <w:sz w:val="24"/>
          <w:szCs w:val="24"/>
        </w:rPr>
        <w:t xml:space="preserve"> по производству новых моделей и модификаций</w:t>
      </w:r>
      <w:r w:rsidRPr="00CA2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2EC9">
        <w:rPr>
          <w:rFonts w:ascii="Times New Roman" w:hAnsi="Times New Roman"/>
          <w:sz w:val="24"/>
          <w:szCs w:val="24"/>
        </w:rPr>
        <w:t>ПАО</w:t>
      </w:r>
      <w:proofErr w:type="spellEnd"/>
      <w:r w:rsidRPr="00CA2EC9">
        <w:rPr>
          <w:rFonts w:ascii="Times New Roman" w:hAnsi="Times New Roman"/>
          <w:sz w:val="24"/>
          <w:szCs w:val="24"/>
        </w:rPr>
        <w:t xml:space="preserve"> «АВТОВАЗ» (г. Тольятти</w:t>
      </w:r>
      <w:r w:rsidR="0037720F">
        <w:rPr>
          <w:rFonts w:ascii="Times New Roman" w:hAnsi="Times New Roman"/>
          <w:sz w:val="24"/>
          <w:szCs w:val="24"/>
        </w:rPr>
        <w:t>,</w:t>
      </w:r>
      <w:r w:rsidRPr="00CA2EC9">
        <w:rPr>
          <w:rFonts w:ascii="Times New Roman" w:hAnsi="Times New Roman"/>
          <w:sz w:val="24"/>
          <w:szCs w:val="24"/>
        </w:rPr>
        <w:t xml:space="preserve"> г. Ижевск</w:t>
      </w:r>
      <w:r w:rsidR="0037720F">
        <w:rPr>
          <w:rFonts w:ascii="Times New Roman" w:hAnsi="Times New Roman"/>
          <w:sz w:val="24"/>
          <w:szCs w:val="24"/>
        </w:rPr>
        <w:t xml:space="preserve"> и т.д.</w:t>
      </w:r>
      <w:r w:rsidRPr="00CA2EC9">
        <w:rPr>
          <w:rFonts w:ascii="Times New Roman" w:hAnsi="Times New Roman"/>
          <w:sz w:val="24"/>
          <w:szCs w:val="24"/>
        </w:rPr>
        <w:t xml:space="preserve">) </w:t>
      </w:r>
      <w:r w:rsidR="0037720F">
        <w:rPr>
          <w:rFonts w:ascii="Times New Roman" w:hAnsi="Times New Roman"/>
          <w:sz w:val="24"/>
          <w:szCs w:val="24"/>
        </w:rPr>
        <w:t>с учетом невысокого потребительского спроса на автомобильном рынке</w:t>
      </w:r>
      <w:r w:rsidR="0037720F" w:rsidRPr="00CA2EC9">
        <w:rPr>
          <w:rFonts w:ascii="Times New Roman" w:hAnsi="Times New Roman"/>
          <w:sz w:val="24"/>
          <w:szCs w:val="24"/>
        </w:rPr>
        <w:t xml:space="preserve"> </w:t>
      </w:r>
      <w:r w:rsidRPr="00CA2EC9">
        <w:rPr>
          <w:rFonts w:ascii="Times New Roman" w:hAnsi="Times New Roman"/>
          <w:sz w:val="24"/>
          <w:szCs w:val="24"/>
        </w:rPr>
        <w:t>позволяют предположить незначительный спад промышленно</w:t>
      </w:r>
      <w:r w:rsidR="0037720F">
        <w:rPr>
          <w:rFonts w:ascii="Times New Roman" w:hAnsi="Times New Roman"/>
          <w:sz w:val="24"/>
          <w:szCs w:val="24"/>
        </w:rPr>
        <w:t>го производства в городском округе Тольятти по базовому варианту прогноза</w:t>
      </w:r>
      <w:r w:rsidRPr="00CA2EC9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3D3198" w:rsidRPr="00CA2EC9" w:rsidRDefault="003D3198" w:rsidP="00CA2E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2EC9">
        <w:rPr>
          <w:rFonts w:ascii="Times New Roman" w:hAnsi="Times New Roman"/>
          <w:sz w:val="24"/>
          <w:szCs w:val="24"/>
        </w:rPr>
        <w:t xml:space="preserve">Кроме того, на динамику отгрузки </w:t>
      </w:r>
      <w:r w:rsidR="0037720F">
        <w:rPr>
          <w:rFonts w:ascii="Times New Roman" w:hAnsi="Times New Roman"/>
          <w:sz w:val="24"/>
          <w:szCs w:val="24"/>
        </w:rPr>
        <w:t>в прогнозном периоде отрицательное влияние окажет</w:t>
      </w:r>
      <w:r w:rsidRPr="00CA2EC9">
        <w:rPr>
          <w:rFonts w:ascii="Times New Roman" w:hAnsi="Times New Roman"/>
          <w:sz w:val="24"/>
          <w:szCs w:val="24"/>
        </w:rPr>
        <w:t xml:space="preserve"> ситуация в химической промышленности (усиление конкуренции на мировом  рынке химической отрасли</w:t>
      </w:r>
      <w:r w:rsidR="00CA2EC9">
        <w:rPr>
          <w:rFonts w:ascii="Times New Roman" w:hAnsi="Times New Roman"/>
          <w:sz w:val="24"/>
          <w:szCs w:val="24"/>
        </w:rPr>
        <w:t xml:space="preserve"> и</w:t>
      </w:r>
      <w:r w:rsidRPr="00CA2EC9">
        <w:rPr>
          <w:rFonts w:ascii="Times New Roman" w:hAnsi="Times New Roman"/>
          <w:sz w:val="24"/>
          <w:szCs w:val="24"/>
        </w:rPr>
        <w:t xml:space="preserve"> спад цен на продукцию). </w:t>
      </w:r>
    </w:p>
    <w:p w:rsidR="003D3198" w:rsidRPr="00CA2EC9" w:rsidRDefault="003D3198" w:rsidP="00CA2EC9">
      <w:pPr>
        <w:spacing w:after="0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CA2EC9">
        <w:rPr>
          <w:rFonts w:ascii="Times New Roman" w:hAnsi="Times New Roman"/>
          <w:sz w:val="24"/>
          <w:szCs w:val="24"/>
        </w:rPr>
        <w:t xml:space="preserve">По базовому варианту прогноза индекс промышленного производства по городскому округу Тольятти относительно предыдущего года составит: в 2018 году -  </w:t>
      </w:r>
      <w:r w:rsidR="00627312">
        <w:rPr>
          <w:rFonts w:ascii="Times New Roman" w:hAnsi="Times New Roman"/>
          <w:sz w:val="24"/>
          <w:szCs w:val="24"/>
        </w:rPr>
        <w:t xml:space="preserve"> </w:t>
      </w:r>
      <w:r w:rsidRPr="00CA2EC9">
        <w:rPr>
          <w:rFonts w:ascii="Times New Roman" w:hAnsi="Times New Roman"/>
          <w:sz w:val="24"/>
          <w:szCs w:val="24"/>
        </w:rPr>
        <w:t xml:space="preserve">97,3 %, в 2019 году – 98,4 %, в 2020 году – 99,8 %. В 2020 году относительно 2017 года производство уменьшится на 4,4 %, в том числе в обрабатывающих производствах – </w:t>
      </w:r>
      <w:r w:rsidR="00627312">
        <w:rPr>
          <w:rFonts w:ascii="Times New Roman" w:hAnsi="Times New Roman"/>
          <w:sz w:val="24"/>
          <w:szCs w:val="24"/>
        </w:rPr>
        <w:t xml:space="preserve"> </w:t>
      </w:r>
      <w:r w:rsidRPr="00CA2EC9">
        <w:rPr>
          <w:rFonts w:ascii="Times New Roman" w:hAnsi="Times New Roman"/>
          <w:sz w:val="24"/>
          <w:szCs w:val="24"/>
        </w:rPr>
        <w:t>на 4,6 %.</w:t>
      </w:r>
      <w:r w:rsidRPr="00CA2EC9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3D3198" w:rsidRPr="00CA2EC9" w:rsidRDefault="003D3198" w:rsidP="00CA2E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2EC9">
        <w:rPr>
          <w:rFonts w:ascii="Times New Roman" w:hAnsi="Times New Roman"/>
          <w:sz w:val="24"/>
          <w:szCs w:val="24"/>
        </w:rPr>
        <w:t xml:space="preserve"> Целевой вариант базируется на следующих факторах:</w:t>
      </w:r>
    </w:p>
    <w:p w:rsidR="003D3198" w:rsidRPr="00CA2EC9" w:rsidRDefault="003D3198" w:rsidP="00CA2E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2EC9">
        <w:rPr>
          <w:rFonts w:ascii="Times New Roman" w:hAnsi="Times New Roman"/>
          <w:sz w:val="24"/>
          <w:szCs w:val="24"/>
        </w:rPr>
        <w:t>- модернизация и техническое перевооружение производств, оптимизация производственных процессов на базе современных технологий и оборудования;</w:t>
      </w:r>
    </w:p>
    <w:p w:rsidR="003D3198" w:rsidRPr="00CA2EC9" w:rsidRDefault="003D3198" w:rsidP="00CA2E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2EC9">
        <w:rPr>
          <w:rFonts w:ascii="Times New Roman" w:hAnsi="Times New Roman"/>
          <w:sz w:val="24"/>
          <w:szCs w:val="24"/>
        </w:rPr>
        <w:t>- повышение конкурентоспособности продукции за счет внедрения новых технологий и повышения качества продукции;</w:t>
      </w:r>
    </w:p>
    <w:p w:rsidR="003D3198" w:rsidRPr="00CA2EC9" w:rsidRDefault="003D3198" w:rsidP="00CA2E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2EC9">
        <w:rPr>
          <w:rFonts w:ascii="Times New Roman" w:hAnsi="Times New Roman"/>
          <w:sz w:val="24"/>
          <w:szCs w:val="24"/>
        </w:rPr>
        <w:lastRenderedPageBreak/>
        <w:t xml:space="preserve">- снижение себестоимости за счет роста производительности труда, внедрение </w:t>
      </w:r>
      <w:proofErr w:type="spellStart"/>
      <w:r w:rsidRPr="00CA2EC9">
        <w:rPr>
          <w:rFonts w:ascii="Times New Roman" w:hAnsi="Times New Roman"/>
          <w:sz w:val="24"/>
          <w:szCs w:val="24"/>
        </w:rPr>
        <w:t>энерго</w:t>
      </w:r>
      <w:proofErr w:type="spellEnd"/>
      <w:r w:rsidRPr="00CA2EC9">
        <w:rPr>
          <w:rFonts w:ascii="Times New Roman" w:hAnsi="Times New Roman"/>
          <w:sz w:val="24"/>
          <w:szCs w:val="24"/>
        </w:rPr>
        <w:t>- и ресурсосберегающих технологий;</w:t>
      </w:r>
    </w:p>
    <w:p w:rsidR="003D3198" w:rsidRPr="00CA2EC9" w:rsidRDefault="003D3198" w:rsidP="00CA2E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2EC9">
        <w:rPr>
          <w:rFonts w:ascii="Times New Roman" w:hAnsi="Times New Roman"/>
          <w:sz w:val="24"/>
          <w:szCs w:val="24"/>
        </w:rPr>
        <w:t>- развитие кадрового потенциала;</w:t>
      </w:r>
    </w:p>
    <w:p w:rsidR="003D3198" w:rsidRPr="00CA2EC9" w:rsidRDefault="003D3198" w:rsidP="00CA2E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2EC9">
        <w:rPr>
          <w:rFonts w:ascii="Times New Roman" w:hAnsi="Times New Roman"/>
          <w:sz w:val="24"/>
          <w:szCs w:val="24"/>
        </w:rPr>
        <w:t xml:space="preserve">- снижение зависимости экономики от сырьевого экспорта и поставок импортных комплектующих; </w:t>
      </w:r>
    </w:p>
    <w:p w:rsidR="003D3198" w:rsidRPr="00CA2EC9" w:rsidRDefault="003D3198" w:rsidP="00CA2E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2EC9">
        <w:rPr>
          <w:rFonts w:ascii="Times New Roman" w:hAnsi="Times New Roman"/>
          <w:sz w:val="24"/>
          <w:szCs w:val="24"/>
        </w:rPr>
        <w:t>- развитие совместных произво</w:t>
      </w:r>
      <w:proofErr w:type="gramStart"/>
      <w:r w:rsidRPr="00CA2EC9">
        <w:rPr>
          <w:rFonts w:ascii="Times New Roman" w:hAnsi="Times New Roman"/>
          <w:sz w:val="24"/>
          <w:szCs w:val="24"/>
        </w:rPr>
        <w:t>дств с з</w:t>
      </w:r>
      <w:proofErr w:type="gramEnd"/>
      <w:r w:rsidRPr="00CA2EC9">
        <w:rPr>
          <w:rFonts w:ascii="Times New Roman" w:hAnsi="Times New Roman"/>
          <w:sz w:val="24"/>
          <w:szCs w:val="24"/>
        </w:rPr>
        <w:t>арубежными организациями в рамках инфраструктурных площадок, таких как технопарк в сфере высоких технологий «Жигулевская долина», индустриальный парк «</w:t>
      </w:r>
      <w:proofErr w:type="spellStart"/>
      <w:r w:rsidRPr="00CA2EC9">
        <w:rPr>
          <w:rFonts w:ascii="Times New Roman" w:hAnsi="Times New Roman"/>
          <w:sz w:val="24"/>
          <w:szCs w:val="24"/>
        </w:rPr>
        <w:t>Тольяттисинтез</w:t>
      </w:r>
      <w:proofErr w:type="spellEnd"/>
      <w:r w:rsidRPr="00CA2EC9">
        <w:rPr>
          <w:rFonts w:ascii="Times New Roman" w:hAnsi="Times New Roman"/>
          <w:sz w:val="24"/>
          <w:szCs w:val="24"/>
        </w:rPr>
        <w:t>», индустриальные парки «АВТОВАЗ» и «ВЦМ», Особая экономическая зона промышленно-производственного типа «Тольятти» на территории Ставропольского района, успешная реализация проекта «ТОСЭР» Тольятти.</w:t>
      </w:r>
    </w:p>
    <w:p w:rsidR="003D3198" w:rsidRPr="00CA2EC9" w:rsidRDefault="003D3198" w:rsidP="00CA2EC9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EC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A2EC9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CA2EC9">
        <w:rPr>
          <w:rFonts w:ascii="Times New Roman" w:hAnsi="Times New Roman" w:cs="Times New Roman"/>
          <w:sz w:val="24"/>
          <w:szCs w:val="24"/>
        </w:rPr>
        <w:t xml:space="preserve"> реализации целевого варианта прогноза индекс промышленного производства относительно предыдущего года </w:t>
      </w:r>
      <w:r w:rsidR="00B235BE">
        <w:rPr>
          <w:rFonts w:ascii="Times New Roman" w:hAnsi="Times New Roman" w:cs="Times New Roman"/>
          <w:sz w:val="24"/>
          <w:szCs w:val="24"/>
        </w:rPr>
        <w:t>будет расти</w:t>
      </w:r>
      <w:r w:rsidRPr="00CA2EC9">
        <w:rPr>
          <w:rFonts w:ascii="Times New Roman" w:hAnsi="Times New Roman" w:cs="Times New Roman"/>
          <w:sz w:val="24"/>
          <w:szCs w:val="24"/>
        </w:rPr>
        <w:t xml:space="preserve">: в 2018 году – 101,8 %, в 2019 году – 102,3 %, в 2020 году – 103,2 %. </w:t>
      </w:r>
      <w:r w:rsidR="00B235BE">
        <w:rPr>
          <w:rFonts w:ascii="Times New Roman" w:hAnsi="Times New Roman" w:cs="Times New Roman"/>
          <w:sz w:val="24"/>
          <w:szCs w:val="24"/>
        </w:rPr>
        <w:t>Объемы промышленного производства города</w:t>
      </w:r>
      <w:r w:rsidRPr="00CA2EC9">
        <w:rPr>
          <w:rFonts w:ascii="Times New Roman" w:hAnsi="Times New Roman" w:cs="Times New Roman"/>
          <w:sz w:val="24"/>
          <w:szCs w:val="24"/>
        </w:rPr>
        <w:t xml:space="preserve"> в 2020 году </w:t>
      </w:r>
      <w:r w:rsidR="00B235BE">
        <w:rPr>
          <w:rFonts w:ascii="Times New Roman" w:hAnsi="Times New Roman" w:cs="Times New Roman"/>
          <w:sz w:val="24"/>
          <w:szCs w:val="24"/>
        </w:rPr>
        <w:t xml:space="preserve">увеличатся </w:t>
      </w:r>
      <w:r w:rsidRPr="00CA2EC9">
        <w:rPr>
          <w:rFonts w:ascii="Times New Roman" w:hAnsi="Times New Roman" w:cs="Times New Roman"/>
          <w:sz w:val="24"/>
          <w:szCs w:val="24"/>
        </w:rPr>
        <w:t xml:space="preserve">к уровню 2017 года </w:t>
      </w:r>
      <w:r w:rsidR="00B235BE">
        <w:rPr>
          <w:rFonts w:ascii="Times New Roman" w:hAnsi="Times New Roman" w:cs="Times New Roman"/>
          <w:sz w:val="24"/>
          <w:szCs w:val="24"/>
        </w:rPr>
        <w:t xml:space="preserve">на </w:t>
      </w:r>
      <w:r w:rsidRPr="00CA2EC9">
        <w:rPr>
          <w:rFonts w:ascii="Times New Roman" w:hAnsi="Times New Roman" w:cs="Times New Roman"/>
          <w:sz w:val="24"/>
          <w:szCs w:val="24"/>
        </w:rPr>
        <w:t>7,5 %.</w:t>
      </w:r>
    </w:p>
    <w:p w:rsidR="003D3198" w:rsidRPr="00CA2EC9" w:rsidRDefault="003D3198" w:rsidP="00CA2EC9">
      <w:pPr>
        <w:pStyle w:val="10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EC9">
        <w:rPr>
          <w:rFonts w:ascii="Times New Roman" w:hAnsi="Times New Roman" w:cs="Times New Roman"/>
          <w:sz w:val="24"/>
          <w:szCs w:val="24"/>
        </w:rPr>
        <w:t xml:space="preserve">Объем отгруженной промышленной продукции  в 2018 – 2020 годах составит: </w:t>
      </w:r>
    </w:p>
    <w:p w:rsidR="003D3198" w:rsidRPr="00CA2EC9" w:rsidRDefault="003D3198" w:rsidP="00CA2EC9">
      <w:pPr>
        <w:pStyle w:val="10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EC9">
        <w:rPr>
          <w:rFonts w:ascii="Times New Roman" w:hAnsi="Times New Roman" w:cs="Times New Roman"/>
          <w:sz w:val="24"/>
          <w:szCs w:val="24"/>
        </w:rPr>
        <w:t xml:space="preserve">- в 2018 году - по первому варианту прогноза – 432,9 млрд. руб., по второму варианту – 452,8 млрд. руб.; </w:t>
      </w:r>
    </w:p>
    <w:p w:rsidR="003D3198" w:rsidRPr="00CA2EC9" w:rsidRDefault="003D3198" w:rsidP="00CA2EC9">
      <w:pPr>
        <w:pStyle w:val="10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EC9">
        <w:rPr>
          <w:rFonts w:ascii="Times New Roman" w:hAnsi="Times New Roman" w:cs="Times New Roman"/>
          <w:sz w:val="24"/>
          <w:szCs w:val="24"/>
        </w:rPr>
        <w:t>- в 2019 году -  по первому варианту прогноза – 447,7 млрд. руб., по второму варианту – 486,9 млрд. руб.;</w:t>
      </w:r>
    </w:p>
    <w:p w:rsidR="003D3198" w:rsidRPr="00CA2EC9" w:rsidRDefault="003D3198" w:rsidP="00CA2EC9">
      <w:pPr>
        <w:pStyle w:val="10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2EC9">
        <w:rPr>
          <w:rFonts w:ascii="Times New Roman" w:hAnsi="Times New Roman" w:cs="Times New Roman"/>
          <w:sz w:val="24"/>
          <w:szCs w:val="24"/>
        </w:rPr>
        <w:t>- в 2020 году -  по первому варианту прогноза – 469,3 млрд. руб., по второму варианту – 526,9 млрд. руб.</w:t>
      </w:r>
    </w:p>
    <w:p w:rsidR="003D3198" w:rsidRPr="00CA2EC9" w:rsidRDefault="003D3198" w:rsidP="00CA2EC9">
      <w:pPr>
        <w:pStyle w:val="23"/>
        <w:widowControl w:val="0"/>
        <w:spacing w:after="0" w:line="276" w:lineRule="auto"/>
        <w:ind w:left="0" w:firstLine="709"/>
        <w:jc w:val="both"/>
        <w:outlineLvl w:val="0"/>
      </w:pPr>
      <w:r w:rsidRPr="00CA2EC9">
        <w:t xml:space="preserve">По виду экономической деятельности «производство автотранспортных средств, прицепов и полуприцепов» по первому варианту прогноза в 2020 году к уровню 2017 года прогнозируется спад производства на 6,9 %; по второму варианту – рост на 4,8 %. </w:t>
      </w:r>
    </w:p>
    <w:p w:rsidR="003D3198" w:rsidRPr="00CA2EC9" w:rsidRDefault="003D3198" w:rsidP="00CA2EC9">
      <w:pPr>
        <w:pStyle w:val="23"/>
        <w:spacing w:after="0" w:line="276" w:lineRule="auto"/>
        <w:ind w:left="0" w:firstLine="709"/>
        <w:jc w:val="both"/>
        <w:outlineLvl w:val="0"/>
        <w:rPr>
          <w:bCs/>
        </w:rPr>
      </w:pPr>
      <w:r w:rsidRPr="00CA2EC9">
        <w:t>На развитие автомобилестроительной отрасли в городском округе в прогнозном периоде повлияют</w:t>
      </w:r>
      <w:r w:rsidRPr="00CA2EC9">
        <w:rPr>
          <w:bCs/>
        </w:rPr>
        <w:t>:</w:t>
      </w:r>
    </w:p>
    <w:p w:rsidR="003D3198" w:rsidRPr="00CA2EC9" w:rsidRDefault="003D3198" w:rsidP="00CA2EC9">
      <w:pPr>
        <w:pStyle w:val="23"/>
        <w:numPr>
          <w:ilvl w:val="0"/>
          <w:numId w:val="10"/>
        </w:numPr>
        <w:spacing w:after="0" w:line="276" w:lineRule="auto"/>
        <w:ind w:left="709" w:firstLine="0"/>
        <w:jc w:val="both"/>
        <w:outlineLvl w:val="0"/>
        <w:rPr>
          <w:bCs/>
        </w:rPr>
      </w:pPr>
      <w:r w:rsidRPr="00CA2EC9">
        <w:rPr>
          <w:bCs/>
        </w:rPr>
        <w:t>состояние российского рынка легковых автомобилей;</w:t>
      </w:r>
    </w:p>
    <w:p w:rsidR="003D3198" w:rsidRPr="00CA2EC9" w:rsidRDefault="003D3198" w:rsidP="00CA2EC9">
      <w:pPr>
        <w:pStyle w:val="23"/>
        <w:spacing w:after="0" w:line="276" w:lineRule="auto"/>
        <w:ind w:left="0" w:firstLine="709"/>
        <w:jc w:val="both"/>
        <w:outlineLvl w:val="0"/>
      </w:pPr>
      <w:r w:rsidRPr="00CA2EC9">
        <w:rPr>
          <w:bCs/>
        </w:rPr>
        <w:t xml:space="preserve">Правительство России планирует с 2018 года перевести </w:t>
      </w:r>
      <w:r w:rsidRPr="00CA2EC9">
        <w:t xml:space="preserve">предприятия </w:t>
      </w:r>
      <w:proofErr w:type="spellStart"/>
      <w:r w:rsidRPr="00CA2EC9">
        <w:t>автопрома</w:t>
      </w:r>
      <w:proofErr w:type="spellEnd"/>
      <w:r w:rsidRPr="00CA2EC9">
        <w:t xml:space="preserve"> на новый инвестиционный режим, предполагающий стимулирование экспорта автомобилей, развитие производства </w:t>
      </w:r>
      <w:proofErr w:type="spellStart"/>
      <w:r w:rsidRPr="00CA2EC9">
        <w:t>автокомпонентов</w:t>
      </w:r>
      <w:proofErr w:type="spellEnd"/>
      <w:r w:rsidRPr="00CA2EC9">
        <w:t xml:space="preserve"> и интеграцию в мировой </w:t>
      </w:r>
      <w:proofErr w:type="spellStart"/>
      <w:r w:rsidRPr="00CA2EC9">
        <w:t>автопром</w:t>
      </w:r>
      <w:proofErr w:type="spellEnd"/>
      <w:r w:rsidRPr="00CA2EC9">
        <w:t xml:space="preserve">. </w:t>
      </w:r>
    </w:p>
    <w:p w:rsidR="003D3198" w:rsidRPr="00CA2EC9" w:rsidRDefault="003D3198" w:rsidP="00CA2EC9">
      <w:pPr>
        <w:pStyle w:val="23"/>
        <w:numPr>
          <w:ilvl w:val="0"/>
          <w:numId w:val="10"/>
        </w:numPr>
        <w:spacing w:after="0" w:line="276" w:lineRule="auto"/>
        <w:ind w:left="709" w:firstLine="0"/>
        <w:jc w:val="both"/>
        <w:outlineLvl w:val="0"/>
      </w:pPr>
      <w:r w:rsidRPr="00CA2EC9">
        <w:t>организация эффективной дилерской сети ПАО «АВТОВАЗ»;</w:t>
      </w:r>
    </w:p>
    <w:p w:rsidR="003D3198" w:rsidRPr="00CA2EC9" w:rsidRDefault="003D3198" w:rsidP="00CA2EC9">
      <w:pPr>
        <w:pStyle w:val="23"/>
        <w:spacing w:after="0" w:line="276" w:lineRule="auto"/>
        <w:ind w:left="0" w:firstLine="709"/>
        <w:jc w:val="both"/>
        <w:outlineLvl w:val="0"/>
      </w:pPr>
      <w:r w:rsidRPr="00CA2EC9">
        <w:t xml:space="preserve">В </w:t>
      </w:r>
      <w:proofErr w:type="gramStart"/>
      <w:r w:rsidRPr="00CA2EC9">
        <w:t>планах</w:t>
      </w:r>
      <w:proofErr w:type="gramEnd"/>
      <w:r w:rsidRPr="00CA2EC9">
        <w:t xml:space="preserve"> </w:t>
      </w:r>
      <w:proofErr w:type="spellStart"/>
      <w:r w:rsidRPr="00CA2EC9">
        <w:t>ПАО</w:t>
      </w:r>
      <w:proofErr w:type="spellEnd"/>
      <w:r w:rsidRPr="00CA2EC9">
        <w:t xml:space="preserve"> «АВТОВАЗ» – в течение пяти лет удвоить долю экспорта </w:t>
      </w:r>
      <w:proofErr w:type="spellStart"/>
      <w:r w:rsidRPr="00CA2EC9">
        <w:t>L</w:t>
      </w:r>
      <w:r w:rsidRPr="00CA2EC9">
        <w:rPr>
          <w:lang w:val="en-US"/>
        </w:rPr>
        <w:t>ada</w:t>
      </w:r>
      <w:proofErr w:type="spellEnd"/>
      <w:r w:rsidRPr="00CA2EC9">
        <w:t xml:space="preserve"> </w:t>
      </w:r>
      <w:r w:rsidR="00627312">
        <w:t xml:space="preserve"> </w:t>
      </w:r>
      <w:r w:rsidRPr="00CA2EC9">
        <w:t>до 20 %.</w:t>
      </w:r>
    </w:p>
    <w:p w:rsidR="003D3198" w:rsidRPr="00CA2EC9" w:rsidRDefault="003D3198" w:rsidP="00CA2EC9">
      <w:pPr>
        <w:pStyle w:val="23"/>
        <w:numPr>
          <w:ilvl w:val="0"/>
          <w:numId w:val="10"/>
        </w:numPr>
        <w:spacing w:after="0" w:line="276" w:lineRule="auto"/>
        <w:ind w:left="0" w:firstLine="709"/>
        <w:jc w:val="both"/>
        <w:outlineLvl w:val="0"/>
      </w:pPr>
      <w:r w:rsidRPr="00CA2EC9">
        <w:rPr>
          <w:color w:val="000000"/>
        </w:rPr>
        <w:t>темпы</w:t>
      </w:r>
      <w:r w:rsidRPr="00CA2EC9">
        <w:t xml:space="preserve"> разработки и постановки на конвейер новых моделей и модификаций ПАО «АВТОВАЗ» и ЗАО «GM-АВТОВАЗ»;</w:t>
      </w:r>
    </w:p>
    <w:p w:rsidR="003D3198" w:rsidRPr="00CA2EC9" w:rsidRDefault="003D3198" w:rsidP="00CA2EC9">
      <w:pPr>
        <w:pStyle w:val="23"/>
        <w:spacing w:after="0" w:line="276" w:lineRule="auto"/>
        <w:ind w:left="0" w:firstLine="709"/>
        <w:jc w:val="both"/>
        <w:outlineLvl w:val="0"/>
      </w:pPr>
      <w:r w:rsidRPr="00CA2EC9">
        <w:t xml:space="preserve">ПАО «АВТОВАЗ» планирует в течение ближайших десяти лет выпустить восемь новых моделей </w:t>
      </w:r>
      <w:proofErr w:type="spellStart"/>
      <w:r w:rsidRPr="00CA2EC9">
        <w:t>Lada</w:t>
      </w:r>
      <w:proofErr w:type="spellEnd"/>
      <w:r w:rsidRPr="00CA2EC9">
        <w:t xml:space="preserve">. После выхода на рынок </w:t>
      </w:r>
      <w:proofErr w:type="spellStart"/>
      <w:r w:rsidRPr="00CA2EC9">
        <w:t>LADA</w:t>
      </w:r>
      <w:proofErr w:type="spellEnd"/>
      <w:r w:rsidRPr="00CA2EC9">
        <w:t xml:space="preserve"> </w:t>
      </w:r>
      <w:proofErr w:type="spellStart"/>
      <w:r w:rsidRPr="00CA2EC9">
        <w:t>Vesta</w:t>
      </w:r>
      <w:proofErr w:type="spellEnd"/>
      <w:r w:rsidRPr="00CA2EC9">
        <w:t xml:space="preserve"> </w:t>
      </w:r>
      <w:proofErr w:type="spellStart"/>
      <w:r w:rsidRPr="00CA2EC9">
        <w:t>SW</w:t>
      </w:r>
      <w:proofErr w:type="spellEnd"/>
      <w:r w:rsidRPr="00CA2EC9">
        <w:t xml:space="preserve"> и </w:t>
      </w:r>
      <w:proofErr w:type="spellStart"/>
      <w:r w:rsidRPr="00CA2EC9">
        <w:t>SW</w:t>
      </w:r>
      <w:proofErr w:type="spellEnd"/>
      <w:r w:rsidRPr="00CA2EC9">
        <w:t xml:space="preserve"> </w:t>
      </w:r>
      <w:proofErr w:type="spellStart"/>
      <w:r w:rsidRPr="00CA2EC9">
        <w:t>Cross</w:t>
      </w:r>
      <w:proofErr w:type="spellEnd"/>
      <w:r w:rsidRPr="00CA2EC9">
        <w:t xml:space="preserve">, который запланирован к концу 2017 года, ПАО «АВТОВАЗ» планирует реализовать проекты по следующим поколениям модели 4x4 и модели </w:t>
      </w:r>
      <w:proofErr w:type="spellStart"/>
      <w:r w:rsidRPr="00CA2EC9">
        <w:t>Granta</w:t>
      </w:r>
      <w:proofErr w:type="spellEnd"/>
      <w:r w:rsidRPr="00CA2EC9">
        <w:t xml:space="preserve">. Также среди ближайших новинок значатся: </w:t>
      </w:r>
      <w:proofErr w:type="spellStart"/>
      <w:r w:rsidRPr="00CA2EC9">
        <w:t>Lada</w:t>
      </w:r>
      <w:proofErr w:type="spellEnd"/>
      <w:r w:rsidRPr="00CA2EC9">
        <w:t xml:space="preserve"> </w:t>
      </w:r>
      <w:proofErr w:type="spellStart"/>
      <w:r w:rsidRPr="00CA2EC9">
        <w:t>Vesta</w:t>
      </w:r>
      <w:proofErr w:type="spellEnd"/>
      <w:r w:rsidRPr="00CA2EC9">
        <w:t xml:space="preserve"> </w:t>
      </w:r>
      <w:proofErr w:type="spellStart"/>
      <w:r w:rsidRPr="00CA2EC9">
        <w:t>Signature</w:t>
      </w:r>
      <w:proofErr w:type="spellEnd"/>
      <w:r w:rsidRPr="00CA2EC9">
        <w:t xml:space="preserve">, </w:t>
      </w:r>
      <w:proofErr w:type="spellStart"/>
      <w:r w:rsidRPr="00CA2EC9">
        <w:t>Lada</w:t>
      </w:r>
      <w:proofErr w:type="spellEnd"/>
      <w:r w:rsidRPr="00CA2EC9">
        <w:t xml:space="preserve"> </w:t>
      </w:r>
      <w:proofErr w:type="spellStart"/>
      <w:r w:rsidRPr="00CA2EC9">
        <w:t>Vesta</w:t>
      </w:r>
      <w:proofErr w:type="spellEnd"/>
      <w:r w:rsidRPr="00CA2EC9">
        <w:t xml:space="preserve"> </w:t>
      </w:r>
      <w:proofErr w:type="spellStart"/>
      <w:r w:rsidRPr="00CA2EC9">
        <w:t>Cross</w:t>
      </w:r>
      <w:proofErr w:type="spellEnd"/>
      <w:r w:rsidRPr="00CA2EC9">
        <w:t xml:space="preserve"> </w:t>
      </w:r>
      <w:proofErr w:type="spellStart"/>
      <w:r w:rsidRPr="00CA2EC9">
        <w:t>Sedan</w:t>
      </w:r>
      <w:proofErr w:type="spellEnd"/>
      <w:r w:rsidRPr="00CA2EC9">
        <w:t xml:space="preserve">, </w:t>
      </w:r>
      <w:proofErr w:type="spellStart"/>
      <w:r w:rsidRPr="00CA2EC9">
        <w:t>Lada</w:t>
      </w:r>
      <w:proofErr w:type="spellEnd"/>
      <w:r w:rsidRPr="00CA2EC9">
        <w:t xml:space="preserve"> </w:t>
      </w:r>
      <w:proofErr w:type="spellStart"/>
      <w:r w:rsidRPr="00CA2EC9">
        <w:t>Vesta</w:t>
      </w:r>
      <w:proofErr w:type="spellEnd"/>
      <w:r w:rsidRPr="00CA2EC9">
        <w:t xml:space="preserve"> </w:t>
      </w:r>
      <w:proofErr w:type="spellStart"/>
      <w:r w:rsidRPr="00CA2EC9">
        <w:t>Sport</w:t>
      </w:r>
      <w:proofErr w:type="spellEnd"/>
      <w:r w:rsidRPr="00CA2EC9">
        <w:t xml:space="preserve">, </w:t>
      </w:r>
      <w:proofErr w:type="spellStart"/>
      <w:r w:rsidRPr="00CA2EC9">
        <w:t>Lada</w:t>
      </w:r>
      <w:proofErr w:type="spellEnd"/>
      <w:r w:rsidRPr="00CA2EC9">
        <w:t xml:space="preserve"> </w:t>
      </w:r>
      <w:proofErr w:type="spellStart"/>
      <w:r w:rsidRPr="00CA2EC9">
        <w:t>XRAY</w:t>
      </w:r>
      <w:proofErr w:type="spellEnd"/>
      <w:r w:rsidRPr="00CA2EC9">
        <w:t xml:space="preserve"> </w:t>
      </w:r>
      <w:proofErr w:type="spellStart"/>
      <w:r w:rsidRPr="00CA2EC9">
        <w:t>Cross</w:t>
      </w:r>
      <w:proofErr w:type="spellEnd"/>
      <w:r w:rsidRPr="00CA2EC9">
        <w:t xml:space="preserve">, </w:t>
      </w:r>
      <w:proofErr w:type="spellStart"/>
      <w:r w:rsidRPr="00CA2EC9">
        <w:rPr>
          <w:lang w:val="en-US"/>
        </w:rPr>
        <w:t>Lada</w:t>
      </w:r>
      <w:proofErr w:type="spellEnd"/>
      <w:r w:rsidRPr="00CA2EC9">
        <w:t xml:space="preserve"> </w:t>
      </w:r>
      <w:proofErr w:type="spellStart"/>
      <w:r w:rsidRPr="00CA2EC9">
        <w:rPr>
          <w:lang w:val="en-US"/>
        </w:rPr>
        <w:t>XRAY</w:t>
      </w:r>
      <w:proofErr w:type="spellEnd"/>
      <w:r w:rsidRPr="00CA2EC9">
        <w:t xml:space="preserve"> </w:t>
      </w:r>
      <w:r w:rsidRPr="00CA2EC9">
        <w:rPr>
          <w:lang w:val="en-US"/>
        </w:rPr>
        <w:t>Sport</w:t>
      </w:r>
      <w:r w:rsidRPr="00CA2EC9">
        <w:t xml:space="preserve">, </w:t>
      </w:r>
      <w:proofErr w:type="spellStart"/>
      <w:r w:rsidRPr="00CA2EC9">
        <w:t>Lada</w:t>
      </w:r>
      <w:proofErr w:type="spellEnd"/>
      <w:r w:rsidRPr="00CA2EC9">
        <w:t xml:space="preserve"> 4×4 </w:t>
      </w:r>
      <w:proofErr w:type="spellStart"/>
      <w:r w:rsidRPr="00CA2EC9">
        <w:t>битопливная</w:t>
      </w:r>
      <w:proofErr w:type="spellEnd"/>
      <w:r w:rsidRPr="00CA2EC9">
        <w:t xml:space="preserve"> модель внедорожника, </w:t>
      </w:r>
      <w:proofErr w:type="spellStart"/>
      <w:r w:rsidRPr="00CA2EC9">
        <w:t>Lada</w:t>
      </w:r>
      <w:proofErr w:type="spellEnd"/>
      <w:r w:rsidRPr="00CA2EC9">
        <w:t xml:space="preserve"> </w:t>
      </w:r>
      <w:proofErr w:type="spellStart"/>
      <w:r w:rsidRPr="00CA2EC9">
        <w:t>X-CODE</w:t>
      </w:r>
      <w:proofErr w:type="spellEnd"/>
      <w:r w:rsidRPr="00CA2EC9">
        <w:t xml:space="preserve">. Кроме того, предприятие планирует вывести на российский рынок новый бюджетный автомобиль по цене ниже самого дешевого их существующих </w:t>
      </w:r>
      <w:proofErr w:type="spellStart"/>
      <w:r w:rsidRPr="00CA2EC9">
        <w:t>автовазовских</w:t>
      </w:r>
      <w:proofErr w:type="spellEnd"/>
      <w:r w:rsidRPr="00CA2EC9">
        <w:t xml:space="preserve"> авто.</w:t>
      </w:r>
    </w:p>
    <w:p w:rsidR="003D3198" w:rsidRPr="00CA2EC9" w:rsidRDefault="003D3198" w:rsidP="00CA2EC9">
      <w:pPr>
        <w:pStyle w:val="23"/>
        <w:spacing w:after="0" w:line="276" w:lineRule="auto"/>
        <w:ind w:left="0" w:firstLine="709"/>
        <w:jc w:val="both"/>
        <w:outlineLvl w:val="0"/>
      </w:pPr>
      <w:r w:rsidRPr="00CA2EC9">
        <w:lastRenderedPageBreak/>
        <w:t xml:space="preserve">Стоит отметить, что производство модификаций </w:t>
      </w:r>
      <w:proofErr w:type="spellStart"/>
      <w:r w:rsidRPr="00CA2EC9">
        <w:t>Lada</w:t>
      </w:r>
      <w:proofErr w:type="spellEnd"/>
      <w:r w:rsidRPr="00CA2EC9">
        <w:t xml:space="preserve"> </w:t>
      </w:r>
      <w:proofErr w:type="spellStart"/>
      <w:r w:rsidRPr="00CA2EC9">
        <w:t>Vesta</w:t>
      </w:r>
      <w:proofErr w:type="spellEnd"/>
      <w:r w:rsidRPr="00CA2EC9">
        <w:t xml:space="preserve"> будет осуществляться на площадке ижевского завода, и в расчет прогнозного показателя не включено.</w:t>
      </w:r>
    </w:p>
    <w:p w:rsidR="003D3198" w:rsidRPr="00CA2EC9" w:rsidRDefault="003D3198" w:rsidP="00CA2EC9">
      <w:pPr>
        <w:pStyle w:val="23"/>
        <w:spacing w:after="0" w:line="276" w:lineRule="auto"/>
        <w:ind w:left="0" w:firstLine="709"/>
        <w:jc w:val="both"/>
        <w:outlineLvl w:val="0"/>
        <w:rPr>
          <w:color w:val="000000"/>
        </w:rPr>
      </w:pPr>
      <w:r w:rsidRPr="00CA2EC9">
        <w:t>ЗАО «GM-АВТОВАЗ» продолжит</w:t>
      </w:r>
      <w:r w:rsidRPr="00CA2EC9">
        <w:rPr>
          <w:color w:val="000000"/>
        </w:rPr>
        <w:t xml:space="preserve"> работу над </w:t>
      </w:r>
      <w:proofErr w:type="spellStart"/>
      <w:r w:rsidRPr="00CA2EC9">
        <w:rPr>
          <w:color w:val="000000"/>
        </w:rPr>
        <w:t>Chevrolet</w:t>
      </w:r>
      <w:proofErr w:type="spellEnd"/>
      <w:r w:rsidRPr="00CA2EC9">
        <w:rPr>
          <w:color w:val="000000"/>
        </w:rPr>
        <w:t xml:space="preserve"> </w:t>
      </w:r>
      <w:proofErr w:type="spellStart"/>
      <w:r w:rsidRPr="00CA2EC9">
        <w:rPr>
          <w:color w:val="000000"/>
        </w:rPr>
        <w:t>Niva</w:t>
      </w:r>
      <w:proofErr w:type="spellEnd"/>
      <w:r w:rsidRPr="00CA2EC9">
        <w:rPr>
          <w:color w:val="000000"/>
        </w:rPr>
        <w:t xml:space="preserve"> нового поколения, с</w:t>
      </w:r>
      <w:r w:rsidRPr="00CA2EC9">
        <w:t>тарт производства намечен на январь 2019 года</w:t>
      </w:r>
      <w:r w:rsidRPr="00CA2EC9">
        <w:rPr>
          <w:color w:val="000000"/>
        </w:rPr>
        <w:t xml:space="preserve">. </w:t>
      </w:r>
    </w:p>
    <w:p w:rsidR="003D3198" w:rsidRPr="00CA2EC9" w:rsidRDefault="003D3198" w:rsidP="00CA2EC9">
      <w:pPr>
        <w:pStyle w:val="23"/>
        <w:numPr>
          <w:ilvl w:val="0"/>
          <w:numId w:val="10"/>
        </w:numPr>
        <w:spacing w:after="0" w:line="276" w:lineRule="auto"/>
        <w:ind w:left="0" w:firstLine="709"/>
        <w:jc w:val="both"/>
        <w:outlineLvl w:val="0"/>
      </w:pPr>
      <w:r w:rsidRPr="00CA2EC9">
        <w:t xml:space="preserve">снятие с производства в середине 2018 года </w:t>
      </w:r>
      <w:proofErr w:type="spellStart"/>
      <w:r w:rsidRPr="00CA2EC9">
        <w:t>Lada</w:t>
      </w:r>
      <w:proofErr w:type="spellEnd"/>
      <w:r w:rsidRPr="00CA2EC9">
        <w:t xml:space="preserve"> </w:t>
      </w:r>
      <w:proofErr w:type="spellStart"/>
      <w:r w:rsidRPr="00CA2EC9">
        <w:t>Priora</w:t>
      </w:r>
      <w:proofErr w:type="spellEnd"/>
      <w:r w:rsidRPr="00CA2EC9">
        <w:t xml:space="preserve">, продажи которой по итогам 2016 года составили около 6 % всех продаж автомобилей </w:t>
      </w:r>
      <w:proofErr w:type="spellStart"/>
      <w:r w:rsidRPr="00CA2EC9">
        <w:t>Lada</w:t>
      </w:r>
      <w:proofErr w:type="spellEnd"/>
      <w:r w:rsidRPr="00CA2EC9">
        <w:t xml:space="preserve"> на площадке в </w:t>
      </w:r>
      <w:proofErr w:type="gramStart"/>
      <w:r w:rsidRPr="00CA2EC9">
        <w:t>г</w:t>
      </w:r>
      <w:proofErr w:type="gramEnd"/>
      <w:r w:rsidRPr="00CA2EC9">
        <w:t>. Тольятти;</w:t>
      </w:r>
    </w:p>
    <w:p w:rsidR="003D3198" w:rsidRPr="00CA2EC9" w:rsidRDefault="003D3198" w:rsidP="00CA2EC9">
      <w:pPr>
        <w:pStyle w:val="23"/>
        <w:numPr>
          <w:ilvl w:val="0"/>
          <w:numId w:val="10"/>
        </w:numPr>
        <w:spacing w:after="0" w:line="276" w:lineRule="auto"/>
        <w:ind w:left="0" w:firstLine="709"/>
        <w:jc w:val="both"/>
        <w:outlineLvl w:val="0"/>
      </w:pPr>
      <w:proofErr w:type="gramStart"/>
      <w:r w:rsidRPr="00CA2EC9">
        <w:t xml:space="preserve">начало производства в Казахстане в декабре 2016 года всех основных моделей </w:t>
      </w:r>
      <w:proofErr w:type="spellStart"/>
      <w:r w:rsidRPr="00CA2EC9">
        <w:t>Lada</w:t>
      </w:r>
      <w:proofErr w:type="spellEnd"/>
      <w:r w:rsidRPr="00CA2EC9">
        <w:t xml:space="preserve"> на мощностях группы «</w:t>
      </w:r>
      <w:proofErr w:type="spellStart"/>
      <w:r w:rsidRPr="00CA2EC9">
        <w:t>Бипэк</w:t>
      </w:r>
      <w:proofErr w:type="spellEnd"/>
      <w:r w:rsidRPr="00CA2EC9">
        <w:t xml:space="preserve"> авто – Азия авто» и в июне 2017 года </w:t>
      </w:r>
      <w:proofErr w:type="spellStart"/>
      <w:r w:rsidRPr="00CA2EC9">
        <w:t>Chevrolet</w:t>
      </w:r>
      <w:proofErr w:type="spellEnd"/>
      <w:r w:rsidRPr="00CA2EC9">
        <w:t xml:space="preserve"> </w:t>
      </w:r>
      <w:proofErr w:type="spellStart"/>
      <w:r w:rsidRPr="00CA2EC9">
        <w:t>Niva</w:t>
      </w:r>
      <w:proofErr w:type="spellEnd"/>
      <w:r w:rsidRPr="00CA2EC9">
        <w:t xml:space="preserve"> на мощностях ТОО «</w:t>
      </w:r>
      <w:proofErr w:type="spellStart"/>
      <w:r w:rsidRPr="00CA2EC9">
        <w:t>СарыаркаАвтоПром</w:t>
      </w:r>
      <w:proofErr w:type="spellEnd"/>
      <w:r w:rsidRPr="00CA2EC9">
        <w:t>, что означает закрытие одного из значимых экспортных направлений легковых автомобилей (в 2015 году в Казахстане реализовано 24,5 тыс. автомобилей производства ПАО «АВТОВАЗ»);</w:t>
      </w:r>
      <w:proofErr w:type="gramEnd"/>
    </w:p>
    <w:p w:rsidR="003D3198" w:rsidRPr="00CA2EC9" w:rsidRDefault="003D3198" w:rsidP="00CA2EC9">
      <w:pPr>
        <w:pStyle w:val="23"/>
        <w:numPr>
          <w:ilvl w:val="0"/>
          <w:numId w:val="10"/>
        </w:numPr>
        <w:spacing w:after="0" w:line="276" w:lineRule="auto"/>
        <w:ind w:left="0" w:firstLine="709"/>
        <w:jc w:val="both"/>
        <w:outlineLvl w:val="0"/>
      </w:pPr>
      <w:r w:rsidRPr="00CA2EC9">
        <w:t xml:space="preserve">продление программ господдержки </w:t>
      </w:r>
      <w:proofErr w:type="spellStart"/>
      <w:r w:rsidRPr="00CA2EC9">
        <w:t>авторынка</w:t>
      </w:r>
      <w:proofErr w:type="spellEnd"/>
      <w:r w:rsidRPr="00CA2EC9">
        <w:t xml:space="preserve"> на 2018 год.</w:t>
      </w:r>
    </w:p>
    <w:p w:rsidR="003D3198" w:rsidRPr="00CA2EC9" w:rsidRDefault="003D3198" w:rsidP="00CA2EC9">
      <w:pPr>
        <w:pStyle w:val="23"/>
        <w:spacing w:after="0" w:line="276" w:lineRule="auto"/>
        <w:ind w:left="0" w:firstLine="709"/>
        <w:jc w:val="both"/>
        <w:outlineLvl w:val="0"/>
      </w:pPr>
      <w:r w:rsidRPr="00CA2EC9">
        <w:t>Таким образом, прогноз  выпуска легковых автомобилей в городском округе в прогнозном периоде по разным вариантам будет иметь разнонаправленную динамику.</w:t>
      </w:r>
    </w:p>
    <w:p w:rsidR="003D3198" w:rsidRPr="00CA2EC9" w:rsidRDefault="003D3198" w:rsidP="00CA2EC9">
      <w:pPr>
        <w:pStyle w:val="10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EC9">
        <w:rPr>
          <w:rFonts w:ascii="Times New Roman" w:hAnsi="Times New Roman" w:cs="Times New Roman"/>
          <w:sz w:val="24"/>
          <w:szCs w:val="24"/>
        </w:rPr>
        <w:t xml:space="preserve">- в 2018 году – 317,0 тыс. штук по первому варианту (96,4 % к уровню предыдущего года) и 331,0 тыс. штук по второму (100,6 % к уровню предыдущего года) соответственно; </w:t>
      </w:r>
    </w:p>
    <w:p w:rsidR="003D3198" w:rsidRPr="00CA2EC9" w:rsidRDefault="003D3198" w:rsidP="00CA2EC9">
      <w:pPr>
        <w:pStyle w:val="10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EC9">
        <w:rPr>
          <w:rFonts w:ascii="Times New Roman" w:hAnsi="Times New Roman" w:cs="Times New Roman"/>
          <w:sz w:val="24"/>
          <w:szCs w:val="24"/>
        </w:rPr>
        <w:t xml:space="preserve">- в 2019 году – 309,0 тыс. штук (97,5 % к уровню предыдущего года) и 337,0 тыс. штук (101,8 % к уровню предыдущего года) соответственно; </w:t>
      </w:r>
    </w:p>
    <w:p w:rsidR="003D3198" w:rsidRPr="00CA2EC9" w:rsidRDefault="003D3198" w:rsidP="00CA2EC9">
      <w:pPr>
        <w:pStyle w:val="10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EC9">
        <w:rPr>
          <w:rFonts w:ascii="Times New Roman" w:hAnsi="Times New Roman" w:cs="Times New Roman"/>
          <w:sz w:val="24"/>
          <w:szCs w:val="24"/>
        </w:rPr>
        <w:t xml:space="preserve">- в 2020 году – 307,0 тыс. штук (99,4 % к уровню предыдущего года) и 344,0 тыс. штук (102,1 % к уровню предыдущего года) соответственно. </w:t>
      </w:r>
    </w:p>
    <w:p w:rsidR="003D3198" w:rsidRPr="00CA2EC9" w:rsidRDefault="003D3198" w:rsidP="00CA2EC9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EC9">
        <w:rPr>
          <w:rFonts w:ascii="Times New Roman" w:hAnsi="Times New Roman" w:cs="Times New Roman"/>
          <w:sz w:val="24"/>
          <w:szCs w:val="24"/>
        </w:rPr>
        <w:t xml:space="preserve">Объем отгруженной продукции в автомобилестроении к 2020 году составит: по первому варианту прогноза 285,6 млрд. руб., по второму варианту – 320,8 млрд. руб. </w:t>
      </w:r>
    </w:p>
    <w:p w:rsidR="003D3198" w:rsidRPr="00CA2EC9" w:rsidRDefault="003D3198" w:rsidP="00CA2EC9">
      <w:pPr>
        <w:pStyle w:val="23"/>
        <w:spacing w:after="0" w:line="276" w:lineRule="auto"/>
        <w:ind w:left="0" w:firstLine="708"/>
        <w:jc w:val="both"/>
        <w:outlineLvl w:val="0"/>
        <w:rPr>
          <w:lang w:eastAsia="ar-SA"/>
        </w:rPr>
      </w:pPr>
      <w:r w:rsidRPr="00CA2EC9">
        <w:rPr>
          <w:lang w:eastAsia="ar-SA"/>
        </w:rPr>
        <w:t>Определяющими факторами развития химического производства в городском округе в прогнозном периоде являются макроэкономические условия, влияющие на инвестиционную активность и конъюнктуру мирового рынка химической продукции, а также развитие промышленной площадки индустриального парка «</w:t>
      </w:r>
      <w:proofErr w:type="spellStart"/>
      <w:r w:rsidRPr="00CA2EC9">
        <w:rPr>
          <w:lang w:eastAsia="ar-SA"/>
        </w:rPr>
        <w:t>Тольяттисинтез</w:t>
      </w:r>
      <w:proofErr w:type="spellEnd"/>
      <w:r w:rsidRPr="00CA2EC9">
        <w:rPr>
          <w:lang w:eastAsia="ar-SA"/>
        </w:rPr>
        <w:t xml:space="preserve">» и полнота реализации инвестиционных проектов </w:t>
      </w:r>
      <w:proofErr w:type="spellStart"/>
      <w:r w:rsidRPr="00CA2EC9">
        <w:rPr>
          <w:lang w:eastAsia="ar-SA"/>
        </w:rPr>
        <w:t>ПАО</w:t>
      </w:r>
      <w:proofErr w:type="spellEnd"/>
      <w:r w:rsidRPr="00CA2EC9">
        <w:rPr>
          <w:lang w:eastAsia="ar-SA"/>
        </w:rPr>
        <w:t xml:space="preserve"> «</w:t>
      </w:r>
      <w:proofErr w:type="spellStart"/>
      <w:r w:rsidRPr="00CA2EC9">
        <w:rPr>
          <w:lang w:eastAsia="ar-SA"/>
        </w:rPr>
        <w:t>Тольяттиазот</w:t>
      </w:r>
      <w:proofErr w:type="spellEnd"/>
      <w:r w:rsidRPr="00CA2EC9">
        <w:rPr>
          <w:lang w:eastAsia="ar-SA"/>
        </w:rPr>
        <w:t xml:space="preserve">» и </w:t>
      </w:r>
      <w:proofErr w:type="spellStart"/>
      <w:r w:rsidRPr="00CA2EC9">
        <w:rPr>
          <w:lang w:eastAsia="ar-SA"/>
        </w:rPr>
        <w:t>ПАО</w:t>
      </w:r>
      <w:proofErr w:type="spellEnd"/>
      <w:r w:rsidRPr="00CA2EC9">
        <w:rPr>
          <w:lang w:eastAsia="ar-SA"/>
        </w:rPr>
        <w:t xml:space="preserve"> «</w:t>
      </w:r>
      <w:proofErr w:type="spellStart"/>
      <w:r w:rsidRPr="00CA2EC9">
        <w:rPr>
          <w:lang w:eastAsia="ar-SA"/>
        </w:rPr>
        <w:t>Куйбышевазот</w:t>
      </w:r>
      <w:proofErr w:type="spellEnd"/>
      <w:r w:rsidRPr="00CA2EC9">
        <w:rPr>
          <w:lang w:eastAsia="ar-SA"/>
        </w:rPr>
        <w:t>».</w:t>
      </w:r>
    </w:p>
    <w:p w:rsidR="003D3198" w:rsidRPr="00CA2EC9" w:rsidRDefault="003D3198" w:rsidP="00CA2EC9">
      <w:pPr>
        <w:pStyle w:val="10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EC9">
        <w:rPr>
          <w:rFonts w:ascii="Times New Roman" w:hAnsi="Times New Roman" w:cs="Times New Roman"/>
          <w:sz w:val="24"/>
          <w:szCs w:val="24"/>
        </w:rPr>
        <w:t xml:space="preserve">В случае реализации базового варианта в прогнозном периоде </w:t>
      </w:r>
      <w:r w:rsidR="00CF3BB3">
        <w:rPr>
          <w:rFonts w:ascii="Times New Roman" w:hAnsi="Times New Roman" w:cs="Times New Roman"/>
          <w:sz w:val="24"/>
          <w:szCs w:val="24"/>
        </w:rPr>
        <w:t xml:space="preserve">негативная </w:t>
      </w:r>
      <w:r w:rsidRPr="00CA2EC9">
        <w:rPr>
          <w:rFonts w:ascii="Times New Roman" w:hAnsi="Times New Roman" w:cs="Times New Roman"/>
          <w:sz w:val="24"/>
          <w:szCs w:val="24"/>
        </w:rPr>
        <w:t>тенденция</w:t>
      </w:r>
      <w:r w:rsidR="00CF3BB3">
        <w:rPr>
          <w:rFonts w:ascii="Times New Roman" w:hAnsi="Times New Roman" w:cs="Times New Roman"/>
          <w:sz w:val="24"/>
          <w:szCs w:val="24"/>
        </w:rPr>
        <w:t xml:space="preserve"> </w:t>
      </w:r>
      <w:r w:rsidR="00CF3BB3" w:rsidRPr="00CA2EC9">
        <w:rPr>
          <w:rFonts w:ascii="Times New Roman" w:hAnsi="Times New Roman" w:cs="Times New Roman"/>
          <w:sz w:val="24"/>
          <w:szCs w:val="24"/>
        </w:rPr>
        <w:t>продолжится</w:t>
      </w:r>
      <w:r w:rsidRPr="00CA2EC9">
        <w:rPr>
          <w:rFonts w:ascii="Times New Roman" w:hAnsi="Times New Roman" w:cs="Times New Roman"/>
          <w:sz w:val="24"/>
          <w:szCs w:val="24"/>
        </w:rPr>
        <w:t>. В 2018 году по данному варианту прогноза индекс производства составит 98,8 %, в 2019 году –100,1 %, в 2020 году – 100,5 %. В 2020 году химическое производство уменьшится к 2017 году на 0,6 %.</w:t>
      </w:r>
    </w:p>
    <w:p w:rsidR="003D3198" w:rsidRPr="00CA2EC9" w:rsidRDefault="003D3198" w:rsidP="00CA2EC9">
      <w:pPr>
        <w:pStyle w:val="10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EC9">
        <w:rPr>
          <w:rFonts w:ascii="Times New Roman" w:hAnsi="Times New Roman" w:cs="Times New Roman"/>
          <w:sz w:val="24"/>
          <w:szCs w:val="24"/>
        </w:rPr>
        <w:t xml:space="preserve">По целевому варианту в результате проводимой политики реконструкции и модернизации производства с целью выпуска новой конкурентоспособной продукции в 2018 – 2020 годах  на основных химических предприятиях городского округа ожидается рост объемов выработки продукции. К 2019 году химическое производство увеличится на 11,5 % по отношению к 2017 году. </w:t>
      </w:r>
    </w:p>
    <w:p w:rsidR="003D3198" w:rsidRPr="00CA2EC9" w:rsidRDefault="003D3198" w:rsidP="00CA2EC9">
      <w:pPr>
        <w:pStyle w:val="11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EC9">
        <w:rPr>
          <w:rFonts w:ascii="Times New Roman" w:hAnsi="Times New Roman"/>
          <w:sz w:val="24"/>
          <w:szCs w:val="24"/>
        </w:rPr>
        <w:t xml:space="preserve">К 2020 году объем отгруженной промышленной продукции химических производств по двум вариантам прогноза составит 112,9 млрд. руб. и 126,3 млрд. руб. соответственно. </w:t>
      </w:r>
    </w:p>
    <w:p w:rsidR="003D3198" w:rsidRPr="00CA2EC9" w:rsidRDefault="003D3198" w:rsidP="00CA2EC9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2EC9">
        <w:rPr>
          <w:rFonts w:ascii="Times New Roman" w:hAnsi="Times New Roman" w:cs="Times New Roman"/>
          <w:sz w:val="24"/>
          <w:szCs w:val="24"/>
        </w:rPr>
        <w:t xml:space="preserve">Увеличение производства </w:t>
      </w:r>
      <w:r w:rsidRPr="00CA2EC9">
        <w:rPr>
          <w:rFonts w:ascii="Times New Roman" w:hAnsi="Times New Roman" w:cs="Times New Roman"/>
          <w:iCs/>
          <w:sz w:val="24"/>
          <w:szCs w:val="24"/>
        </w:rPr>
        <w:t xml:space="preserve">в 2020 году относительно 2017 года ожидается по следующим видам промышленной деятельности по первому и второму вариантам прогноза: </w:t>
      </w:r>
    </w:p>
    <w:p w:rsidR="003D3198" w:rsidRPr="00CA2EC9" w:rsidRDefault="003D3198" w:rsidP="00CA2EC9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2EC9">
        <w:rPr>
          <w:rFonts w:ascii="Times New Roman" w:hAnsi="Times New Roman" w:cs="Times New Roman"/>
          <w:iCs/>
          <w:sz w:val="24"/>
          <w:szCs w:val="24"/>
        </w:rPr>
        <w:lastRenderedPageBreak/>
        <w:t>- в производстве пищевых продуктов – на 0,8 % и 14,3 % соответственно;</w:t>
      </w:r>
    </w:p>
    <w:p w:rsidR="003D3198" w:rsidRPr="00CA2EC9" w:rsidRDefault="003D3198" w:rsidP="00CA2EC9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2EC9">
        <w:rPr>
          <w:rFonts w:ascii="Times New Roman" w:hAnsi="Times New Roman" w:cs="Times New Roman"/>
          <w:iCs/>
          <w:sz w:val="24"/>
          <w:szCs w:val="24"/>
        </w:rPr>
        <w:t>- в производстве напитков – на 0,4 % и 18,2 % соответственно;</w:t>
      </w:r>
    </w:p>
    <w:p w:rsidR="003D3198" w:rsidRPr="00CA2EC9" w:rsidRDefault="003D3198" w:rsidP="00CA2EC9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2EC9">
        <w:rPr>
          <w:rFonts w:ascii="Times New Roman" w:hAnsi="Times New Roman" w:cs="Times New Roman"/>
          <w:iCs/>
          <w:sz w:val="24"/>
          <w:szCs w:val="24"/>
        </w:rPr>
        <w:t>- в производстве текстильных изделий – на 0,5 % и 13,1 % соответственно;</w:t>
      </w:r>
    </w:p>
    <w:p w:rsidR="003D3198" w:rsidRPr="00CA2EC9" w:rsidRDefault="003D3198" w:rsidP="00CA2EC9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2EC9">
        <w:rPr>
          <w:rFonts w:ascii="Times New Roman" w:hAnsi="Times New Roman" w:cs="Times New Roman"/>
          <w:iCs/>
          <w:sz w:val="24"/>
          <w:szCs w:val="24"/>
        </w:rPr>
        <w:t>- в производстве резиновых и пластмассовых изделий – на 3,1 % и 18,2 % соответственно;</w:t>
      </w:r>
    </w:p>
    <w:p w:rsidR="003D3198" w:rsidRPr="00CA2EC9" w:rsidRDefault="003D3198" w:rsidP="00CA2EC9">
      <w:pPr>
        <w:pStyle w:val="10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2EC9">
        <w:rPr>
          <w:rFonts w:ascii="Times New Roman" w:hAnsi="Times New Roman" w:cs="Times New Roman"/>
          <w:iCs/>
          <w:sz w:val="24"/>
          <w:szCs w:val="24"/>
        </w:rPr>
        <w:t xml:space="preserve">- в производстве прочей неметаллической минеральной продукции - на 1,5 % и 21,9 % соответственно; </w:t>
      </w:r>
    </w:p>
    <w:p w:rsidR="003D3198" w:rsidRPr="00CA2EC9" w:rsidRDefault="003D3198" w:rsidP="00CA2EC9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2EC9">
        <w:rPr>
          <w:rFonts w:ascii="Times New Roman" w:hAnsi="Times New Roman" w:cs="Times New Roman"/>
          <w:iCs/>
          <w:sz w:val="24"/>
          <w:szCs w:val="24"/>
        </w:rPr>
        <w:t xml:space="preserve">- в производстве готовых металлических изделий, кроме машин и оборудования – на 3,6 % и 20,8 % соответственно; </w:t>
      </w:r>
    </w:p>
    <w:p w:rsidR="003D3198" w:rsidRPr="00CA2EC9" w:rsidRDefault="003D3198" w:rsidP="00CA2EC9">
      <w:pPr>
        <w:pStyle w:val="10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2EC9">
        <w:rPr>
          <w:rFonts w:ascii="Times New Roman" w:hAnsi="Times New Roman" w:cs="Times New Roman"/>
          <w:iCs/>
          <w:sz w:val="24"/>
          <w:szCs w:val="24"/>
        </w:rPr>
        <w:t>- в производстве машин и оборудования – на 6,0 % и 24,7 % соответственно;</w:t>
      </w:r>
    </w:p>
    <w:p w:rsidR="003D3198" w:rsidRPr="00CA2EC9" w:rsidRDefault="003D3198" w:rsidP="00CA2EC9">
      <w:pPr>
        <w:pStyle w:val="10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A2EC9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CA2EC9">
        <w:rPr>
          <w:rFonts w:ascii="Times New Roman" w:hAnsi="Times New Roman" w:cs="Times New Roman"/>
          <w:sz w:val="24"/>
          <w:szCs w:val="24"/>
          <w:lang w:eastAsia="zh-CN"/>
        </w:rPr>
        <w:t>в водоснабжении; водоотведении, организации сбора и утилизации отходов, деятельности по ликвидации загрязнений - на 2,5 % и 9,5 % соответственно.</w:t>
      </w:r>
    </w:p>
    <w:p w:rsidR="003D3198" w:rsidRPr="00CA2EC9" w:rsidRDefault="003D3198" w:rsidP="00CA2EC9">
      <w:pPr>
        <w:pStyle w:val="10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2EC9">
        <w:rPr>
          <w:rFonts w:ascii="Times New Roman" w:hAnsi="Times New Roman" w:cs="Times New Roman"/>
          <w:sz w:val="24"/>
          <w:szCs w:val="24"/>
          <w:lang w:eastAsia="zh-CN"/>
        </w:rPr>
        <w:t xml:space="preserve">Металлургическое производство по первому варианту прогноза в 2020 году сократится на 0,5 %, по второму увеличится на 17,4 %. Также разнонаправленную динамику в 2018-2020 гг. по различным вариантам прогноза покажет обеспечение электрической энергией, газом и паром; кондиционирование воздуха: по первому варианту спад (6,2 %), по второму – незначительный рост (0,7 %). </w:t>
      </w:r>
    </w:p>
    <w:p w:rsidR="003D3198" w:rsidRPr="00CA2EC9" w:rsidRDefault="003D3198" w:rsidP="00CA2EC9">
      <w:pPr>
        <w:pStyle w:val="10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2EC9">
        <w:rPr>
          <w:rFonts w:ascii="Times New Roman" w:hAnsi="Times New Roman" w:cs="Times New Roman"/>
          <w:iCs/>
          <w:sz w:val="24"/>
          <w:szCs w:val="24"/>
        </w:rPr>
        <w:t>Снижение производства по обоим вариантам прогноза в 2020 году к 2017 году будет демонстрировать ремонт и монтаж машин и оборудования – на 34,0 % и 25,8 % соответственно.</w:t>
      </w:r>
    </w:p>
    <w:p w:rsidR="003D3198" w:rsidRPr="00CA2EC9" w:rsidRDefault="003D3198" w:rsidP="00CA2EC9">
      <w:pPr>
        <w:pStyle w:val="10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2EC9">
        <w:rPr>
          <w:rFonts w:ascii="Times New Roman" w:hAnsi="Times New Roman" w:cs="Times New Roman"/>
          <w:iCs/>
          <w:sz w:val="24"/>
          <w:szCs w:val="24"/>
        </w:rPr>
        <w:t>Результатом проводимых в городском округе мер, направленных на диверсификацию производства, в прогнозном периоде ожидается постепенное снижение доли отгруженной продукции автомобилестроительной отрасли, за счет роста доли прочих видов промышленной деятельности.</w:t>
      </w:r>
    </w:p>
    <w:p w:rsidR="003D3198" w:rsidRPr="00CA2EC9" w:rsidRDefault="003D3198" w:rsidP="00CA2EC9">
      <w:pPr>
        <w:pStyle w:val="10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2EC9">
        <w:rPr>
          <w:rFonts w:ascii="Times New Roman" w:hAnsi="Times New Roman" w:cs="Times New Roman"/>
          <w:iCs/>
          <w:sz w:val="24"/>
          <w:szCs w:val="24"/>
        </w:rPr>
        <w:t xml:space="preserve">Улучшению ситуации в сфере рационального использования </w:t>
      </w:r>
      <w:proofErr w:type="spellStart"/>
      <w:r w:rsidRPr="00CA2EC9">
        <w:rPr>
          <w:rFonts w:ascii="Times New Roman" w:hAnsi="Times New Roman" w:cs="Times New Roman"/>
          <w:iCs/>
          <w:sz w:val="24"/>
          <w:szCs w:val="24"/>
        </w:rPr>
        <w:t>топливн</w:t>
      </w:r>
      <w:proofErr w:type="gramStart"/>
      <w:r w:rsidRPr="00CA2EC9">
        <w:rPr>
          <w:rFonts w:ascii="Times New Roman" w:hAnsi="Times New Roman" w:cs="Times New Roman"/>
          <w:iCs/>
          <w:sz w:val="24"/>
          <w:szCs w:val="24"/>
        </w:rPr>
        <w:t>о</w:t>
      </w:r>
      <w:proofErr w:type="spellEnd"/>
      <w:r w:rsidRPr="00CA2EC9">
        <w:rPr>
          <w:rFonts w:ascii="Times New Roman" w:hAnsi="Times New Roman" w:cs="Times New Roman"/>
          <w:iCs/>
          <w:sz w:val="24"/>
          <w:szCs w:val="24"/>
        </w:rPr>
        <w:t>-</w:t>
      </w:r>
      <w:proofErr w:type="gramEnd"/>
      <w:r w:rsidRPr="00CA2EC9">
        <w:rPr>
          <w:rFonts w:ascii="Times New Roman" w:hAnsi="Times New Roman" w:cs="Times New Roman"/>
          <w:iCs/>
          <w:sz w:val="24"/>
          <w:szCs w:val="24"/>
        </w:rPr>
        <w:t xml:space="preserve"> энергетических ресурсов и ускорению модернизации энергетического комплекса региона будет способствовать реализация мероприятий государственной программы Самарской области «</w:t>
      </w:r>
      <w:proofErr w:type="spellStart"/>
      <w:r w:rsidRPr="00CA2EC9">
        <w:rPr>
          <w:rFonts w:ascii="Times New Roman" w:hAnsi="Times New Roman" w:cs="Times New Roman"/>
          <w:iCs/>
          <w:sz w:val="24"/>
          <w:szCs w:val="24"/>
        </w:rPr>
        <w:t>Энергоэффективность</w:t>
      </w:r>
      <w:proofErr w:type="spellEnd"/>
      <w:r w:rsidRPr="00CA2EC9">
        <w:rPr>
          <w:rFonts w:ascii="Times New Roman" w:hAnsi="Times New Roman" w:cs="Times New Roman"/>
          <w:iCs/>
          <w:sz w:val="24"/>
          <w:szCs w:val="24"/>
        </w:rPr>
        <w:t xml:space="preserve"> и развитие энергетики Самарской области на 2014-2020 годы», утвержденной  Постановлением Правительства Самарской области от 29.11.2013 № 702.  </w:t>
      </w:r>
    </w:p>
    <w:p w:rsidR="006C2640" w:rsidRDefault="006C2640" w:rsidP="003D3198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3198" w:rsidRPr="001A630A" w:rsidRDefault="003D3198" w:rsidP="003D3198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3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Малое и среднее предпринимательство </w:t>
      </w:r>
    </w:p>
    <w:p w:rsidR="003D3198" w:rsidRDefault="003D3198" w:rsidP="00CF3BB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D3198" w:rsidRPr="00BC2FA9" w:rsidRDefault="003D3198" w:rsidP="00CF3BB3">
      <w:pPr>
        <w:pStyle w:val="af6"/>
        <w:spacing w:before="0" w:line="276" w:lineRule="auto"/>
        <w:ind w:left="0" w:right="0" w:firstLine="709"/>
        <w:jc w:val="both"/>
        <w:rPr>
          <w:color w:val="1A1A1A"/>
          <w:sz w:val="24"/>
          <w:szCs w:val="24"/>
          <w:shd w:val="clear" w:color="auto" w:fill="FFFFFF"/>
        </w:rPr>
      </w:pPr>
      <w:r>
        <w:rPr>
          <w:sz w:val="24"/>
          <w:szCs w:val="24"/>
        </w:rPr>
        <w:t>Прогноз</w:t>
      </w:r>
      <w:r w:rsidRPr="00BC2FA9">
        <w:rPr>
          <w:sz w:val="24"/>
          <w:szCs w:val="24"/>
        </w:rPr>
        <w:t xml:space="preserve"> развития малого и среднего предпринимательства по городскому округу Тольятти на 2018-2020 годы составлен н</w:t>
      </w:r>
      <w:r w:rsidRPr="00BC2FA9">
        <w:rPr>
          <w:color w:val="1A1A1A"/>
          <w:sz w:val="24"/>
          <w:szCs w:val="24"/>
          <w:shd w:val="clear" w:color="auto" w:fill="FFFFFF"/>
        </w:rPr>
        <w:t>а основе сведений, содержащихся в Едином реестре субъектов малого и среднего предпринимательства, размещенном в свободном доступе на официальном сайте ФНС России.</w:t>
      </w:r>
    </w:p>
    <w:p w:rsidR="003D3198" w:rsidRPr="00BC2FA9" w:rsidRDefault="003D3198" w:rsidP="003D3198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FA9">
        <w:rPr>
          <w:rFonts w:ascii="Times New Roman" w:hAnsi="Times New Roman" w:cs="Times New Roman"/>
          <w:sz w:val="24"/>
          <w:szCs w:val="24"/>
        </w:rPr>
        <w:t xml:space="preserve">На основании анализа имеющихся данных </w:t>
      </w:r>
      <w:r w:rsidRPr="00BC2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Pr="00BC2FA9">
        <w:rPr>
          <w:rFonts w:ascii="Times New Roman" w:hAnsi="Times New Roman" w:cs="Times New Roman"/>
          <w:color w:val="000000"/>
          <w:sz w:val="24"/>
          <w:szCs w:val="24"/>
        </w:rPr>
        <w:t xml:space="preserve"> 2016 и истекший период 2017 года прогнозируется положительная динамика количества субъектов малого и среднего предпринимательства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СМСП) </w:t>
      </w:r>
      <w:r w:rsidRPr="00BC2FA9">
        <w:rPr>
          <w:rFonts w:ascii="Times New Roman" w:hAnsi="Times New Roman" w:cs="Times New Roman"/>
          <w:color w:val="000000"/>
          <w:sz w:val="24"/>
          <w:szCs w:val="24"/>
        </w:rPr>
        <w:t xml:space="preserve">по первому и второму варианту прогноза. </w:t>
      </w:r>
    </w:p>
    <w:p w:rsidR="003D3198" w:rsidRPr="00BC2FA9" w:rsidRDefault="003D3198" w:rsidP="003D3198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FA9">
        <w:rPr>
          <w:rFonts w:ascii="Times New Roman" w:hAnsi="Times New Roman" w:cs="Times New Roman"/>
          <w:color w:val="000000"/>
          <w:sz w:val="24"/>
          <w:szCs w:val="24"/>
        </w:rPr>
        <w:t xml:space="preserve">По первому варианту прогноза количество </w:t>
      </w:r>
      <w:r>
        <w:rPr>
          <w:rFonts w:ascii="Times New Roman" w:hAnsi="Times New Roman" w:cs="Times New Roman"/>
          <w:color w:val="000000"/>
          <w:sz w:val="24"/>
          <w:szCs w:val="24"/>
        </w:rPr>
        <w:t>СМСП</w:t>
      </w:r>
      <w:r w:rsidRPr="00BC2FA9">
        <w:rPr>
          <w:rFonts w:ascii="Times New Roman" w:hAnsi="Times New Roman" w:cs="Times New Roman"/>
          <w:color w:val="000000"/>
          <w:sz w:val="24"/>
          <w:szCs w:val="24"/>
        </w:rPr>
        <w:t xml:space="preserve"> в городском округе составит: в 2018 году – 25,6 тыс.ед.; в 2019 году – 25,7 тыс.ед.; в 2020 году – 25,8 тыс.ед. Рост количества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СМСП</w:t>
      </w:r>
      <w:r w:rsidRPr="00BC2FA9">
        <w:rPr>
          <w:rFonts w:ascii="Times New Roman" w:hAnsi="Times New Roman" w:cs="Times New Roman"/>
          <w:color w:val="000000"/>
          <w:sz w:val="24"/>
          <w:szCs w:val="24"/>
        </w:rPr>
        <w:t xml:space="preserve"> в 2020 году к 2017 году составит 0,9 %. </w:t>
      </w:r>
    </w:p>
    <w:p w:rsidR="003D3198" w:rsidRPr="00BC2FA9" w:rsidRDefault="003D3198" w:rsidP="003D3198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F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 второму варианту прогноза количество </w:t>
      </w:r>
      <w:r>
        <w:rPr>
          <w:rFonts w:ascii="Times New Roman" w:hAnsi="Times New Roman" w:cs="Times New Roman"/>
          <w:color w:val="000000"/>
          <w:sz w:val="24"/>
          <w:szCs w:val="24"/>
        </w:rPr>
        <w:t>СМСП</w:t>
      </w:r>
      <w:r w:rsidRPr="00BC2FA9">
        <w:rPr>
          <w:rFonts w:ascii="Times New Roman" w:hAnsi="Times New Roman" w:cs="Times New Roman"/>
          <w:color w:val="000000"/>
          <w:sz w:val="24"/>
          <w:szCs w:val="24"/>
        </w:rPr>
        <w:t xml:space="preserve"> составит: в 2018 году – 25,7 тыс.ед.; в 2019 году – 26,0 тыс.ед.; в 2020 году – 26,4 тыс.ед. В 2020 году к 2017 году количество </w:t>
      </w:r>
      <w:r>
        <w:rPr>
          <w:rFonts w:ascii="Times New Roman" w:hAnsi="Times New Roman" w:cs="Times New Roman"/>
          <w:color w:val="000000"/>
          <w:sz w:val="24"/>
          <w:szCs w:val="24"/>
        </w:rPr>
        <w:t>СМСП</w:t>
      </w:r>
      <w:r w:rsidRPr="00BC2FA9">
        <w:rPr>
          <w:rFonts w:ascii="Times New Roman" w:hAnsi="Times New Roman" w:cs="Times New Roman"/>
          <w:color w:val="000000"/>
          <w:sz w:val="24"/>
          <w:szCs w:val="24"/>
        </w:rPr>
        <w:t xml:space="preserve"> увеличится на 3,3 %. </w:t>
      </w:r>
    </w:p>
    <w:p w:rsidR="003D3198" w:rsidRPr="00BC2FA9" w:rsidRDefault="003D3198" w:rsidP="003D3198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FA9">
        <w:rPr>
          <w:rFonts w:ascii="Times New Roman" w:hAnsi="Times New Roman" w:cs="Times New Roman"/>
          <w:color w:val="000000"/>
          <w:sz w:val="24"/>
          <w:szCs w:val="24"/>
        </w:rPr>
        <w:t xml:space="preserve">На положительную динамику количества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СМСП</w:t>
      </w:r>
      <w:r w:rsidRPr="00BC2FA9">
        <w:rPr>
          <w:rFonts w:ascii="Times New Roman" w:hAnsi="Times New Roman" w:cs="Times New Roman"/>
          <w:color w:val="000000"/>
          <w:sz w:val="24"/>
          <w:szCs w:val="24"/>
        </w:rPr>
        <w:t xml:space="preserve"> окажут влияние:</w:t>
      </w:r>
    </w:p>
    <w:p w:rsidR="003D3198" w:rsidRPr="00C068BE" w:rsidRDefault="003D3198" w:rsidP="003D3198">
      <w:pPr>
        <w:pStyle w:val="af1"/>
        <w:numPr>
          <w:ilvl w:val="0"/>
          <w:numId w:val="11"/>
        </w:numPr>
        <w:spacing w:line="276" w:lineRule="auto"/>
        <w:ind w:left="0" w:firstLine="709"/>
        <w:rPr>
          <w:sz w:val="24"/>
          <w:szCs w:val="24"/>
        </w:rPr>
      </w:pPr>
      <w:r w:rsidRPr="00BC2FA9">
        <w:rPr>
          <w:sz w:val="24"/>
          <w:szCs w:val="24"/>
        </w:rPr>
        <w:t xml:space="preserve">реализация </w:t>
      </w:r>
      <w:r w:rsidRPr="00BC2FA9">
        <w:rPr>
          <w:color w:val="000000"/>
          <w:sz w:val="24"/>
          <w:szCs w:val="24"/>
        </w:rPr>
        <w:t xml:space="preserve">мероприятий муниципальной программы городского округа Тольятти </w:t>
      </w:r>
      <w:r w:rsidRPr="00BC2FA9">
        <w:rPr>
          <w:rFonts w:eastAsia="Calibri"/>
          <w:sz w:val="24"/>
          <w:szCs w:val="24"/>
        </w:rPr>
        <w:t>«Развитие малого и среднего предпринимательства городского округа Тольятти на 2018-2022 годы»</w:t>
      </w:r>
      <w:r>
        <w:rPr>
          <w:rFonts w:eastAsia="Calibri"/>
          <w:sz w:val="24"/>
          <w:szCs w:val="24"/>
        </w:rPr>
        <w:t xml:space="preserve"> (далее</w:t>
      </w:r>
      <w:r w:rsidR="00F967EE">
        <w:rPr>
          <w:rFonts w:eastAsia="Calibri"/>
          <w:sz w:val="24"/>
          <w:szCs w:val="24"/>
        </w:rPr>
        <w:t xml:space="preserve"> по разделу </w:t>
      </w:r>
      <w:r>
        <w:rPr>
          <w:rFonts w:eastAsia="Calibri"/>
          <w:sz w:val="24"/>
          <w:szCs w:val="24"/>
        </w:rPr>
        <w:t xml:space="preserve"> – Программа), утвержденной постановлением администрации </w:t>
      </w:r>
      <w:r>
        <w:rPr>
          <w:sz w:val="24"/>
          <w:szCs w:val="24"/>
          <w:shd w:val="clear" w:color="auto" w:fill="FFFFFF"/>
        </w:rPr>
        <w:t>городского округа Тольятти от 28.08.2017 № 2917-п/1</w:t>
      </w:r>
      <w:r w:rsidR="00381D2B">
        <w:rPr>
          <w:rFonts w:eastAsia="Calibri"/>
          <w:sz w:val="24"/>
          <w:szCs w:val="24"/>
        </w:rPr>
        <w:t>, в рамках которой планируется:</w:t>
      </w:r>
    </w:p>
    <w:p w:rsidR="00F967EE" w:rsidRPr="00F967EE" w:rsidRDefault="00F967EE" w:rsidP="008333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67EE">
        <w:rPr>
          <w:rFonts w:ascii="Times New Roman" w:hAnsi="Times New Roman"/>
          <w:sz w:val="24"/>
          <w:szCs w:val="24"/>
        </w:rPr>
        <w:t xml:space="preserve">- </w:t>
      </w:r>
      <w:r w:rsidR="008333F5">
        <w:rPr>
          <w:rFonts w:ascii="Times New Roman" w:hAnsi="Times New Roman"/>
          <w:sz w:val="24"/>
          <w:szCs w:val="24"/>
        </w:rPr>
        <w:t>с</w:t>
      </w:r>
      <w:r w:rsidRPr="00F967EE">
        <w:rPr>
          <w:rFonts w:ascii="Times New Roman" w:hAnsi="Times New Roman"/>
          <w:sz w:val="24"/>
          <w:szCs w:val="24"/>
        </w:rPr>
        <w:t>одействие СМСП в доступе к финансовым ресурсам (предоставление субсидий, займов субъектам МСП осуществляющим свою деятельность на территории городского округа Тольятти);</w:t>
      </w:r>
    </w:p>
    <w:p w:rsidR="00F967EE" w:rsidRPr="00F967EE" w:rsidRDefault="00F967EE" w:rsidP="008333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67EE">
        <w:rPr>
          <w:rFonts w:ascii="Times New Roman" w:hAnsi="Times New Roman"/>
          <w:sz w:val="24"/>
          <w:szCs w:val="24"/>
        </w:rPr>
        <w:t xml:space="preserve">- </w:t>
      </w:r>
      <w:r w:rsidR="008333F5">
        <w:rPr>
          <w:rFonts w:ascii="Times New Roman" w:hAnsi="Times New Roman"/>
          <w:sz w:val="24"/>
          <w:szCs w:val="24"/>
        </w:rPr>
        <w:t>р</w:t>
      </w:r>
      <w:r w:rsidRPr="00F967EE">
        <w:rPr>
          <w:rFonts w:ascii="Times New Roman" w:hAnsi="Times New Roman"/>
          <w:sz w:val="24"/>
          <w:szCs w:val="24"/>
        </w:rPr>
        <w:t xml:space="preserve">азвитие инфраструктуры поддержки СМСП (предоставление нежилых помещений </w:t>
      </w:r>
      <w:proofErr w:type="spellStart"/>
      <w:proofErr w:type="gramStart"/>
      <w:r w:rsidRPr="00F967EE">
        <w:rPr>
          <w:rFonts w:ascii="Times New Roman" w:hAnsi="Times New Roman"/>
          <w:sz w:val="24"/>
          <w:szCs w:val="24"/>
        </w:rPr>
        <w:t>бизнес-инкубатора</w:t>
      </w:r>
      <w:proofErr w:type="spellEnd"/>
      <w:proofErr w:type="gramEnd"/>
      <w:r w:rsidRPr="00F967EE">
        <w:rPr>
          <w:rFonts w:ascii="Times New Roman" w:hAnsi="Times New Roman"/>
          <w:sz w:val="24"/>
          <w:szCs w:val="24"/>
        </w:rPr>
        <w:t xml:space="preserve"> Тольятти в аренду субъектам МСП, и организациям, образующим инфраструктуру поддержки субъектов МСП);</w:t>
      </w:r>
    </w:p>
    <w:p w:rsidR="00F967EE" w:rsidRPr="00F967EE" w:rsidRDefault="00F967EE" w:rsidP="008333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67EE">
        <w:rPr>
          <w:rFonts w:ascii="Times New Roman" w:hAnsi="Times New Roman"/>
          <w:sz w:val="24"/>
          <w:szCs w:val="24"/>
        </w:rPr>
        <w:t xml:space="preserve">- </w:t>
      </w:r>
      <w:r w:rsidR="008333F5">
        <w:rPr>
          <w:rFonts w:ascii="Times New Roman" w:hAnsi="Times New Roman"/>
          <w:sz w:val="24"/>
          <w:szCs w:val="24"/>
        </w:rPr>
        <w:t>п</w:t>
      </w:r>
      <w:r w:rsidRPr="00F967EE">
        <w:rPr>
          <w:rFonts w:ascii="Times New Roman" w:hAnsi="Times New Roman"/>
          <w:sz w:val="24"/>
          <w:szCs w:val="24"/>
        </w:rPr>
        <w:t>одготовка, переподготовка, повышение квалификации кадров для СМСП (проведение семинаров, тренингов, курсов по наиболее востребованным темам у СМСП, физических лиц – потенциальных предпринимателей);</w:t>
      </w:r>
    </w:p>
    <w:p w:rsidR="00F967EE" w:rsidRPr="00F967EE" w:rsidRDefault="00F967EE" w:rsidP="008333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67EE">
        <w:rPr>
          <w:rFonts w:ascii="Times New Roman" w:hAnsi="Times New Roman"/>
          <w:sz w:val="24"/>
          <w:szCs w:val="24"/>
        </w:rPr>
        <w:t xml:space="preserve">- </w:t>
      </w:r>
      <w:r w:rsidR="008333F5">
        <w:rPr>
          <w:rFonts w:ascii="Times New Roman" w:hAnsi="Times New Roman"/>
          <w:sz w:val="24"/>
          <w:szCs w:val="24"/>
        </w:rPr>
        <w:t>о</w:t>
      </w:r>
      <w:r w:rsidRPr="00F967EE">
        <w:rPr>
          <w:rFonts w:ascii="Times New Roman" w:hAnsi="Times New Roman"/>
          <w:sz w:val="24"/>
          <w:szCs w:val="24"/>
        </w:rPr>
        <w:t>казание информационной и консультационной поддержки СМСП (проведение регулярных индивидуальных и групповых консультаций для СМСП, физических лиц – потенциальных предпринимателей);</w:t>
      </w:r>
    </w:p>
    <w:p w:rsidR="00F967EE" w:rsidRPr="00F967EE" w:rsidRDefault="00F967EE" w:rsidP="005365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67EE">
        <w:rPr>
          <w:rFonts w:ascii="Times New Roman" w:hAnsi="Times New Roman"/>
          <w:sz w:val="24"/>
          <w:szCs w:val="24"/>
        </w:rPr>
        <w:t xml:space="preserve">- </w:t>
      </w:r>
      <w:r w:rsidR="008333F5">
        <w:rPr>
          <w:rFonts w:ascii="Times New Roman" w:hAnsi="Times New Roman"/>
          <w:sz w:val="24"/>
          <w:szCs w:val="24"/>
        </w:rPr>
        <w:t>с</w:t>
      </w:r>
      <w:r w:rsidRPr="00F967EE">
        <w:rPr>
          <w:rFonts w:ascii="Times New Roman" w:hAnsi="Times New Roman"/>
          <w:sz w:val="24"/>
          <w:szCs w:val="24"/>
        </w:rPr>
        <w:t>одействие развитию СМСП и выявление административных ограничений, возникающих в деятельности субъектов МСП (предоставление муниципального имущества, включенного в перечень муниципального имущества городского округа Тольятти, предназначенного для предоставления во владение и (или) в пользование субъектам МСП и организациям, образующим инфраструктуру поддержки субъектов МСП, проведение оценки регулирующего воздействия проектов муниципальных нормативных правовых актов городского округа Тольятти, затрагивающих вопросы осуществления предпринимательской и инвестиционной деятельности</w:t>
      </w:r>
      <w:proofErr w:type="gramEnd"/>
      <w:r w:rsidRPr="00F967EE">
        <w:rPr>
          <w:rFonts w:ascii="Times New Roman" w:hAnsi="Times New Roman"/>
          <w:sz w:val="24"/>
          <w:szCs w:val="24"/>
        </w:rPr>
        <w:t>, и экспертизы муниципальных нормативных правовых актов городского округа Тольятти, затрагивающих вопросы осуществления предпринимательской и инвестиционной деятельности).</w:t>
      </w:r>
    </w:p>
    <w:p w:rsidR="003D3198" w:rsidRPr="00BC2FA9" w:rsidRDefault="003D3198" w:rsidP="005365B8">
      <w:pPr>
        <w:pStyle w:val="a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 w:rsidRPr="00BC2FA9">
        <w:rPr>
          <w:sz w:val="24"/>
          <w:szCs w:val="24"/>
        </w:rPr>
        <w:t xml:space="preserve">Финансирование мероприятий </w:t>
      </w:r>
      <w:r>
        <w:rPr>
          <w:sz w:val="24"/>
          <w:szCs w:val="24"/>
        </w:rPr>
        <w:t>П</w:t>
      </w:r>
      <w:r w:rsidRPr="00BC2FA9">
        <w:rPr>
          <w:sz w:val="24"/>
          <w:szCs w:val="24"/>
        </w:rPr>
        <w:t xml:space="preserve">рограммы осуществляется в рамках ежегодного приказа Минэкономразвития РФ «Об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 и требования к организациям, образующим инфраструктуру поддержки субъектов малого и среднего предпринимательства». </w:t>
      </w:r>
    </w:p>
    <w:p w:rsidR="003D3198" w:rsidRPr="00BC2FA9" w:rsidRDefault="003D3198" w:rsidP="005365B8">
      <w:pPr>
        <w:pStyle w:val="a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 w:rsidRPr="00BC2FA9">
        <w:rPr>
          <w:sz w:val="24"/>
          <w:szCs w:val="24"/>
        </w:rPr>
        <w:t xml:space="preserve">Администрация городского округа Тольятти ежегодно направляет заявку на участие в министерство экономического развития, инвестиций и торговли Самарской области после объявления соответствующего конкурсного отбора. </w:t>
      </w:r>
    </w:p>
    <w:p w:rsidR="003D3198" w:rsidRPr="00BC2FA9" w:rsidRDefault="003D3198" w:rsidP="003D3198">
      <w:pPr>
        <w:pStyle w:val="af"/>
        <w:autoSpaceDE w:val="0"/>
        <w:autoSpaceDN w:val="0"/>
        <w:adjustRightInd w:val="0"/>
        <w:spacing w:line="276" w:lineRule="auto"/>
        <w:ind w:left="0" w:firstLine="709"/>
        <w:jc w:val="both"/>
        <w:rPr>
          <w:rStyle w:val="a5"/>
          <w:b w:val="0"/>
          <w:sz w:val="24"/>
          <w:szCs w:val="24"/>
        </w:rPr>
      </w:pPr>
      <w:r w:rsidRPr="00BC2FA9">
        <w:rPr>
          <w:sz w:val="24"/>
          <w:szCs w:val="24"/>
        </w:rPr>
        <w:t xml:space="preserve">Общий объем финансирования </w:t>
      </w:r>
      <w:r>
        <w:rPr>
          <w:sz w:val="24"/>
          <w:szCs w:val="24"/>
        </w:rPr>
        <w:t>П</w:t>
      </w:r>
      <w:r w:rsidRPr="00BC2FA9">
        <w:rPr>
          <w:sz w:val="24"/>
          <w:szCs w:val="24"/>
        </w:rPr>
        <w:t>рограммы составит 97 423,5 тыс. руб., в том числе: с 2018 по 2022 годы – по 19 484,7 тыс. руб. ежегодно.</w:t>
      </w:r>
      <w:r w:rsidRPr="00BC2FA9">
        <w:rPr>
          <w:b/>
          <w:sz w:val="24"/>
          <w:szCs w:val="24"/>
        </w:rPr>
        <w:t xml:space="preserve"> </w:t>
      </w:r>
      <w:r w:rsidRPr="00BC2FA9">
        <w:rPr>
          <w:rStyle w:val="a5"/>
          <w:b w:val="0"/>
          <w:sz w:val="24"/>
          <w:szCs w:val="24"/>
        </w:rPr>
        <w:t xml:space="preserve">Источники финансирования - бюджет городского округа Тольятти, в том числе с учетом планируемых к поступлению в </w:t>
      </w:r>
      <w:r w:rsidRPr="00BC2FA9">
        <w:rPr>
          <w:rStyle w:val="a5"/>
          <w:b w:val="0"/>
          <w:sz w:val="24"/>
          <w:szCs w:val="24"/>
        </w:rPr>
        <w:lastRenderedPageBreak/>
        <w:t>соответствии с действующим законодательством в бюджет городского округа Тольятти средств вышестоящих бюджетов.</w:t>
      </w:r>
    </w:p>
    <w:p w:rsidR="003D3198" w:rsidRPr="00BC2FA9" w:rsidRDefault="003D3198" w:rsidP="003D3198">
      <w:pPr>
        <w:pStyle w:val="a8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реализация</w:t>
      </w:r>
      <w:r w:rsidRPr="00BC2FA9">
        <w:rPr>
          <w:rFonts w:ascii="Times New Roman" w:hAnsi="Times New Roman"/>
          <w:color w:val="000000"/>
          <w:sz w:val="24"/>
          <w:szCs w:val="24"/>
        </w:rPr>
        <w:t xml:space="preserve"> мероприятий государственной программы Самарской области «Развитие предпринимательства, торговли и туризма в Самарской области» на 2014 – 2019 годы;</w:t>
      </w:r>
    </w:p>
    <w:p w:rsidR="003D3198" w:rsidRPr="00BC2FA9" w:rsidRDefault="003D3198" w:rsidP="003D3198">
      <w:pPr>
        <w:pStyle w:val="a8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BC2FA9">
        <w:rPr>
          <w:rFonts w:ascii="Times New Roman" w:hAnsi="Times New Roman"/>
          <w:color w:val="000000"/>
          <w:sz w:val="24"/>
          <w:szCs w:val="24"/>
        </w:rPr>
        <w:t>азвити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BC2FA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ТОСЭР</w:t>
      </w:r>
      <w:r w:rsidRPr="00BC2FA9">
        <w:rPr>
          <w:rFonts w:ascii="Times New Roman" w:hAnsi="Times New Roman"/>
          <w:color w:val="000000"/>
          <w:sz w:val="24"/>
          <w:szCs w:val="24"/>
        </w:rPr>
        <w:t xml:space="preserve"> «Тольятти», позволяющей </w:t>
      </w:r>
      <w:r>
        <w:rPr>
          <w:rFonts w:ascii="Times New Roman" w:hAnsi="Times New Roman"/>
          <w:color w:val="000000"/>
          <w:sz w:val="24"/>
          <w:szCs w:val="24"/>
        </w:rPr>
        <w:t xml:space="preserve">открывать новые предприятия, </w:t>
      </w:r>
      <w:r w:rsidRPr="00BC2FA9">
        <w:rPr>
          <w:rFonts w:ascii="Times New Roman" w:hAnsi="Times New Roman"/>
          <w:color w:val="000000"/>
          <w:sz w:val="24"/>
          <w:szCs w:val="24"/>
        </w:rPr>
        <w:t>создавать рабочие места, привлекать инвестиции в городской округ Тольятти;</w:t>
      </w:r>
    </w:p>
    <w:p w:rsidR="003D3198" w:rsidRPr="00BC2FA9" w:rsidRDefault="003D3198" w:rsidP="008C6376">
      <w:pPr>
        <w:pStyle w:val="af1"/>
        <w:numPr>
          <w:ilvl w:val="0"/>
          <w:numId w:val="11"/>
        </w:numPr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ф</w:t>
      </w:r>
      <w:r w:rsidRPr="00BC2FA9">
        <w:rPr>
          <w:color w:val="000000"/>
          <w:sz w:val="24"/>
          <w:szCs w:val="24"/>
          <w:lang w:eastAsia="ru-RU"/>
        </w:rPr>
        <w:t>ункционировани</w:t>
      </w:r>
      <w:r>
        <w:rPr>
          <w:color w:val="000000"/>
          <w:sz w:val="24"/>
          <w:szCs w:val="24"/>
          <w:lang w:eastAsia="ru-RU"/>
        </w:rPr>
        <w:t>е</w:t>
      </w:r>
      <w:r w:rsidRPr="00BC2FA9">
        <w:rPr>
          <w:color w:val="000000"/>
          <w:sz w:val="24"/>
          <w:szCs w:val="24"/>
          <w:lang w:eastAsia="ru-RU"/>
        </w:rPr>
        <w:t xml:space="preserve"> развитой инфраструктуры поддержки малого и среднего предпринимательства, которая представлена такими организациями как: </w:t>
      </w:r>
      <w:proofErr w:type="gramStart"/>
      <w:r w:rsidRPr="00BC2FA9">
        <w:rPr>
          <w:color w:val="000000"/>
          <w:sz w:val="24"/>
          <w:szCs w:val="24"/>
          <w:lang w:eastAsia="ru-RU"/>
        </w:rPr>
        <w:t xml:space="preserve">Муниципальный фонд поддержки и развития субъектов малого и среднего предпринимательства </w:t>
      </w:r>
      <w:proofErr w:type="spellStart"/>
      <w:r w:rsidRPr="00BC2FA9">
        <w:rPr>
          <w:color w:val="000000"/>
          <w:sz w:val="24"/>
          <w:szCs w:val="24"/>
          <w:lang w:eastAsia="ru-RU"/>
        </w:rPr>
        <w:t>микрокредитная</w:t>
      </w:r>
      <w:proofErr w:type="spellEnd"/>
      <w:r w:rsidRPr="00BC2FA9">
        <w:rPr>
          <w:color w:val="000000"/>
          <w:sz w:val="24"/>
          <w:szCs w:val="24"/>
          <w:lang w:eastAsia="ru-RU"/>
        </w:rPr>
        <w:t xml:space="preserve"> компания городского округа Тольятти; Муниципальное автономное учреждение городского округа Тольятти «Агентство экономического развития»</w:t>
      </w:r>
      <w:r>
        <w:rPr>
          <w:color w:val="000000"/>
          <w:sz w:val="24"/>
          <w:szCs w:val="24"/>
          <w:lang w:eastAsia="ru-RU"/>
        </w:rPr>
        <w:t xml:space="preserve"> (Бизнес-инкубатор Тольятти)</w:t>
      </w:r>
      <w:r w:rsidRPr="00BC2FA9">
        <w:rPr>
          <w:color w:val="000000"/>
          <w:sz w:val="24"/>
          <w:szCs w:val="24"/>
          <w:lang w:eastAsia="ru-RU"/>
        </w:rPr>
        <w:t xml:space="preserve">; Филиал Самарский областной Фонд </w:t>
      </w:r>
      <w:proofErr w:type="spellStart"/>
      <w:r w:rsidRPr="00BC2FA9">
        <w:rPr>
          <w:color w:val="000000"/>
          <w:sz w:val="24"/>
          <w:szCs w:val="24"/>
          <w:lang w:eastAsia="ru-RU"/>
        </w:rPr>
        <w:t>микрофинансирования</w:t>
      </w:r>
      <w:proofErr w:type="spellEnd"/>
      <w:r w:rsidRPr="00BC2FA9">
        <w:rPr>
          <w:color w:val="000000"/>
          <w:sz w:val="24"/>
          <w:szCs w:val="24"/>
          <w:lang w:eastAsia="ru-RU"/>
        </w:rPr>
        <w:t xml:space="preserve"> («</w:t>
      </w:r>
      <w:proofErr w:type="spellStart"/>
      <w:r w:rsidRPr="00BC2FA9">
        <w:rPr>
          <w:color w:val="000000"/>
          <w:sz w:val="24"/>
          <w:szCs w:val="24"/>
          <w:lang w:eastAsia="ru-RU"/>
        </w:rPr>
        <w:t>МикроФин</w:t>
      </w:r>
      <w:proofErr w:type="spellEnd"/>
      <w:r w:rsidRPr="00BC2FA9">
        <w:rPr>
          <w:color w:val="000000"/>
          <w:sz w:val="24"/>
          <w:szCs w:val="24"/>
          <w:lang w:eastAsia="ru-RU"/>
        </w:rPr>
        <w:t xml:space="preserve">»); Акционерное общество </w:t>
      </w:r>
      <w:proofErr w:type="spellStart"/>
      <w:r w:rsidRPr="00BC2FA9">
        <w:rPr>
          <w:color w:val="000000"/>
          <w:sz w:val="24"/>
          <w:szCs w:val="24"/>
          <w:lang w:eastAsia="ru-RU"/>
        </w:rPr>
        <w:t>Микрокредитная</w:t>
      </w:r>
      <w:proofErr w:type="spellEnd"/>
      <w:r w:rsidRPr="00BC2FA9">
        <w:rPr>
          <w:color w:val="000000"/>
          <w:sz w:val="24"/>
          <w:szCs w:val="24"/>
          <w:lang w:eastAsia="ru-RU"/>
        </w:rPr>
        <w:t xml:space="preserve"> компания «Гарантийный фонд Самарской области» (АО «ГФСО»); Акционерное общество «Самарская областная лизинговая компания для малого и среднего бизнеса» (АО «СОЛК МСБ»);</w:t>
      </w:r>
      <w:proofErr w:type="gramEnd"/>
      <w:r w:rsidRPr="00BC2FA9">
        <w:rPr>
          <w:color w:val="000000"/>
          <w:sz w:val="24"/>
          <w:szCs w:val="24"/>
          <w:lang w:eastAsia="ru-RU"/>
        </w:rPr>
        <w:t xml:space="preserve">  Общественная приемная института Уполномоченного при Президенте РФ по защите прав предпринимателей в г. Тольятти Самарской области.</w:t>
      </w:r>
    </w:p>
    <w:p w:rsidR="003D3198" w:rsidRPr="00BC2FA9" w:rsidRDefault="003D3198" w:rsidP="003D3198">
      <w:pPr>
        <w:pStyle w:val="af1"/>
        <w:spacing w:line="276" w:lineRule="auto"/>
        <w:rPr>
          <w:bCs/>
          <w:sz w:val="24"/>
          <w:szCs w:val="24"/>
        </w:rPr>
      </w:pPr>
      <w:proofErr w:type="gramStart"/>
      <w:r w:rsidRPr="00BC2FA9">
        <w:rPr>
          <w:sz w:val="24"/>
          <w:szCs w:val="24"/>
        </w:rPr>
        <w:t xml:space="preserve">По предварительным данным, предоставленным Муниципальным фондом  поддержки и развития субъектов малого и среднего предпринимательства </w:t>
      </w:r>
      <w:proofErr w:type="spellStart"/>
      <w:r w:rsidRPr="00BC2FA9">
        <w:rPr>
          <w:sz w:val="24"/>
          <w:szCs w:val="24"/>
        </w:rPr>
        <w:t>микрокредитная</w:t>
      </w:r>
      <w:proofErr w:type="spellEnd"/>
      <w:r w:rsidRPr="00BC2FA9">
        <w:rPr>
          <w:sz w:val="24"/>
          <w:szCs w:val="24"/>
        </w:rPr>
        <w:t xml:space="preserve"> компания городского округа Тольятти, ожидаемые показатели по количеству выданных займов: в 2018 году – 53 займа на сумму 53 000 тыс. рублей, в 2019 году – 69 займов на сумму 69 000 тыс. рублей, в 2020 году – 75 займов на сумму 75 000 тыс. рублей, </w:t>
      </w:r>
      <w:proofErr w:type="gramEnd"/>
    </w:p>
    <w:p w:rsidR="00F74D4F" w:rsidRDefault="00F74D4F" w:rsidP="00A75737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5F" w:rsidRPr="005A052E" w:rsidRDefault="0024525F" w:rsidP="00A75737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52E">
        <w:rPr>
          <w:rFonts w:ascii="Times New Roman" w:hAnsi="Times New Roman" w:cs="Times New Roman"/>
          <w:b/>
          <w:sz w:val="24"/>
          <w:szCs w:val="24"/>
        </w:rPr>
        <w:t>Инвестиции в основной капитал</w:t>
      </w:r>
    </w:p>
    <w:p w:rsidR="00A22C48" w:rsidRPr="00E22255" w:rsidRDefault="00A22C48" w:rsidP="00A75737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61F1E" w:rsidRPr="00C61F1E" w:rsidRDefault="00C61F1E" w:rsidP="005365B8">
      <w:pPr>
        <w:pStyle w:val="af"/>
        <w:widowControl w:val="0"/>
        <w:numPr>
          <w:ilvl w:val="0"/>
          <w:numId w:val="3"/>
        </w:numPr>
        <w:spacing w:line="276" w:lineRule="auto"/>
        <w:ind w:left="0" w:firstLine="708"/>
        <w:jc w:val="both"/>
        <w:rPr>
          <w:color w:val="000000"/>
          <w:sz w:val="24"/>
          <w:szCs w:val="24"/>
        </w:rPr>
      </w:pPr>
      <w:r w:rsidRPr="00C61F1E">
        <w:rPr>
          <w:color w:val="000000"/>
          <w:sz w:val="24"/>
          <w:szCs w:val="24"/>
        </w:rPr>
        <w:t>Прогноз</w:t>
      </w:r>
      <w:r w:rsidR="008C6376">
        <w:rPr>
          <w:color w:val="000000"/>
          <w:sz w:val="24"/>
          <w:szCs w:val="24"/>
        </w:rPr>
        <w:t xml:space="preserve"> инвестиционной деятельности в городе</w:t>
      </w:r>
      <w:r w:rsidRPr="00C61F1E">
        <w:rPr>
          <w:color w:val="000000"/>
          <w:sz w:val="24"/>
          <w:szCs w:val="24"/>
        </w:rPr>
        <w:t xml:space="preserve"> учитывает сохранение действия финансовых и экономических санкций в отношении российской экономики, что по-прежнему будет существенно ограничивать доступ российских компаний к мировому рынку капитала. Вместе с тем, прогнозируется дальнейшее постепенное снижение долгосрочных процентных ставок по банковским кредитам</w:t>
      </w:r>
      <w:r w:rsidR="008C6376">
        <w:rPr>
          <w:color w:val="000000"/>
          <w:sz w:val="24"/>
          <w:szCs w:val="24"/>
        </w:rPr>
        <w:t>, а также восстановление роста экономики города</w:t>
      </w:r>
      <w:r w:rsidRPr="00C61F1E">
        <w:rPr>
          <w:color w:val="000000"/>
          <w:sz w:val="24"/>
          <w:szCs w:val="24"/>
        </w:rPr>
        <w:t>.</w:t>
      </w:r>
      <w:r w:rsidRPr="00F3598D">
        <w:rPr>
          <w:spacing w:val="-2"/>
        </w:rPr>
        <w:t xml:space="preserve"> </w:t>
      </w:r>
    </w:p>
    <w:p w:rsidR="005A052E" w:rsidRPr="00074C58" w:rsidRDefault="00FA28F6" w:rsidP="005365B8">
      <w:pPr>
        <w:pStyle w:val="af"/>
        <w:widowControl w:val="0"/>
        <w:numPr>
          <w:ilvl w:val="0"/>
          <w:numId w:val="3"/>
        </w:numPr>
        <w:spacing w:line="276" w:lineRule="auto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</w:t>
      </w:r>
      <w:r w:rsidR="00C61F1E">
        <w:rPr>
          <w:color w:val="000000"/>
          <w:sz w:val="24"/>
          <w:szCs w:val="24"/>
        </w:rPr>
        <w:t xml:space="preserve"> прогноза инвестиций в основной капитал </w:t>
      </w:r>
      <w:r>
        <w:rPr>
          <w:color w:val="000000"/>
          <w:sz w:val="24"/>
          <w:szCs w:val="24"/>
        </w:rPr>
        <w:t>произведен на основании</w:t>
      </w:r>
      <w:r w:rsidR="005A052E" w:rsidRPr="00074C5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планов по реализации инвестиционных проектов ведущих предприятий города, а также проектов, финансируемых за счёт бюджетных средств</w:t>
      </w:r>
      <w:r w:rsidR="005A052E" w:rsidRPr="00074C58">
        <w:rPr>
          <w:color w:val="000000"/>
          <w:sz w:val="24"/>
          <w:szCs w:val="24"/>
        </w:rPr>
        <w:t>.</w:t>
      </w:r>
    </w:p>
    <w:p w:rsidR="005A052E" w:rsidRPr="0090577B" w:rsidRDefault="005A052E" w:rsidP="005365B8">
      <w:pPr>
        <w:pStyle w:val="af1"/>
        <w:tabs>
          <w:tab w:val="num" w:pos="0"/>
        </w:tabs>
        <w:spacing w:line="276" w:lineRule="auto"/>
        <w:ind w:firstLine="692"/>
        <w:rPr>
          <w:color w:val="000000"/>
          <w:sz w:val="24"/>
          <w:szCs w:val="24"/>
          <w:lang w:eastAsia="ru-RU"/>
        </w:rPr>
      </w:pPr>
      <w:r w:rsidRPr="0090577B">
        <w:rPr>
          <w:color w:val="000000"/>
          <w:sz w:val="24"/>
          <w:szCs w:val="24"/>
          <w:lang w:eastAsia="ru-RU"/>
        </w:rPr>
        <w:t xml:space="preserve">Согласно Программе развития </w:t>
      </w:r>
      <w:r>
        <w:rPr>
          <w:color w:val="000000"/>
          <w:sz w:val="24"/>
          <w:szCs w:val="24"/>
          <w:lang w:eastAsia="ru-RU"/>
        </w:rPr>
        <w:t>П</w:t>
      </w:r>
      <w:r w:rsidRPr="0090577B">
        <w:rPr>
          <w:color w:val="000000"/>
          <w:sz w:val="24"/>
          <w:szCs w:val="24"/>
          <w:lang w:eastAsia="ru-RU"/>
        </w:rPr>
        <w:t xml:space="preserve">АО «АВТОВАЗ» </w:t>
      </w:r>
      <w:r>
        <w:rPr>
          <w:color w:val="000000"/>
          <w:sz w:val="24"/>
          <w:szCs w:val="24"/>
          <w:lang w:eastAsia="ru-RU"/>
        </w:rPr>
        <w:t xml:space="preserve">в прогнозном периоде предприятие </w:t>
      </w:r>
      <w:r w:rsidRPr="0090577B">
        <w:rPr>
          <w:color w:val="000000"/>
          <w:sz w:val="24"/>
          <w:szCs w:val="24"/>
          <w:lang w:eastAsia="ru-RU"/>
        </w:rPr>
        <w:t>продолжит разработку, модернизацию и постановку на производство новых а</w:t>
      </w:r>
      <w:r>
        <w:rPr>
          <w:color w:val="000000"/>
          <w:sz w:val="24"/>
          <w:szCs w:val="24"/>
          <w:lang w:eastAsia="ru-RU"/>
        </w:rPr>
        <w:t xml:space="preserve">втомобилей и силовых агрегатов, в том числе: </w:t>
      </w:r>
      <w:r w:rsidRPr="0090577B">
        <w:rPr>
          <w:color w:val="000000"/>
          <w:sz w:val="24"/>
          <w:szCs w:val="24"/>
          <w:lang w:eastAsia="ru-RU"/>
        </w:rPr>
        <w:t>производство новых автомобилей на платформе В</w:t>
      </w:r>
      <w:proofErr w:type="gramStart"/>
      <w:r w:rsidRPr="0090577B">
        <w:rPr>
          <w:color w:val="000000"/>
          <w:sz w:val="24"/>
          <w:szCs w:val="24"/>
          <w:lang w:eastAsia="ru-RU"/>
        </w:rPr>
        <w:t>0</w:t>
      </w:r>
      <w:proofErr w:type="gramEnd"/>
      <w:r w:rsidRPr="0090577B">
        <w:rPr>
          <w:color w:val="000000"/>
          <w:sz w:val="24"/>
          <w:szCs w:val="24"/>
          <w:lang w:eastAsia="ru-RU"/>
        </w:rPr>
        <w:t xml:space="preserve"> (общий объем инвестиций по проекту – </w:t>
      </w:r>
      <w:r>
        <w:rPr>
          <w:color w:val="000000"/>
          <w:sz w:val="24"/>
          <w:szCs w:val="24"/>
          <w:lang w:eastAsia="ru-RU"/>
        </w:rPr>
        <w:t xml:space="preserve">более </w:t>
      </w:r>
      <w:r w:rsidRPr="0090577B">
        <w:rPr>
          <w:color w:val="000000"/>
          <w:sz w:val="24"/>
          <w:szCs w:val="24"/>
          <w:lang w:eastAsia="ru-RU"/>
        </w:rPr>
        <w:t xml:space="preserve">20 млрд. руб.), на платформе В/С (общий объем инвестиций по проекту – </w:t>
      </w:r>
      <w:r>
        <w:rPr>
          <w:color w:val="000000"/>
          <w:sz w:val="24"/>
          <w:szCs w:val="24"/>
          <w:lang w:eastAsia="ru-RU"/>
        </w:rPr>
        <w:t>более 30</w:t>
      </w:r>
      <w:r w:rsidRPr="0090577B">
        <w:rPr>
          <w:color w:val="000000"/>
          <w:sz w:val="24"/>
          <w:szCs w:val="24"/>
          <w:lang w:eastAsia="ru-RU"/>
        </w:rPr>
        <w:t xml:space="preserve"> млрд. руб.), выпуск автомобилей LADA GRANTA и LADA KALINA  (общий объем инвестиций по проекту – </w:t>
      </w:r>
      <w:r>
        <w:rPr>
          <w:color w:val="000000"/>
          <w:sz w:val="24"/>
          <w:szCs w:val="24"/>
          <w:lang w:eastAsia="ru-RU"/>
        </w:rPr>
        <w:t xml:space="preserve">более </w:t>
      </w:r>
      <w:r w:rsidRPr="0090577B">
        <w:rPr>
          <w:color w:val="000000"/>
          <w:sz w:val="24"/>
          <w:szCs w:val="24"/>
          <w:lang w:eastAsia="ru-RU"/>
        </w:rPr>
        <w:t xml:space="preserve">10 млрд. руб.); выпуск автомобилей LADA XRAY (общий объем инвестиций по проекту – </w:t>
      </w:r>
      <w:r>
        <w:rPr>
          <w:color w:val="000000"/>
          <w:sz w:val="24"/>
          <w:szCs w:val="24"/>
          <w:lang w:eastAsia="ru-RU"/>
        </w:rPr>
        <w:t>порядка 15</w:t>
      </w:r>
      <w:r w:rsidRPr="0090577B">
        <w:rPr>
          <w:color w:val="000000"/>
          <w:sz w:val="24"/>
          <w:szCs w:val="24"/>
          <w:lang w:eastAsia="ru-RU"/>
        </w:rPr>
        <w:t xml:space="preserve"> млрд. руб.).</w:t>
      </w:r>
    </w:p>
    <w:p w:rsidR="005A052E" w:rsidRDefault="005A052E" w:rsidP="005365B8">
      <w:pPr>
        <w:pStyle w:val="af1"/>
        <w:tabs>
          <w:tab w:val="num" w:pos="0"/>
        </w:tabs>
        <w:spacing w:line="276" w:lineRule="auto"/>
        <w:ind w:firstLine="692"/>
        <w:rPr>
          <w:color w:val="000000"/>
          <w:sz w:val="24"/>
          <w:szCs w:val="24"/>
          <w:lang w:eastAsia="ru-RU"/>
        </w:rPr>
      </w:pPr>
      <w:r w:rsidRPr="0090577B">
        <w:rPr>
          <w:color w:val="000000"/>
          <w:sz w:val="24"/>
          <w:szCs w:val="24"/>
          <w:lang w:eastAsia="ru-RU"/>
        </w:rPr>
        <w:t xml:space="preserve">Продолжится реализация проектов по разработке новой модели </w:t>
      </w:r>
      <w:proofErr w:type="spellStart"/>
      <w:r w:rsidRPr="0090577B">
        <w:rPr>
          <w:color w:val="000000"/>
          <w:sz w:val="24"/>
          <w:szCs w:val="24"/>
          <w:lang w:eastAsia="ru-RU"/>
        </w:rPr>
        <w:t>Lada</w:t>
      </w:r>
      <w:proofErr w:type="spellEnd"/>
      <w:r w:rsidRPr="0090577B">
        <w:rPr>
          <w:color w:val="000000"/>
          <w:sz w:val="24"/>
          <w:szCs w:val="24"/>
          <w:lang w:eastAsia="ru-RU"/>
        </w:rPr>
        <w:t xml:space="preserve"> 4x4 </w:t>
      </w:r>
      <w:proofErr w:type="spellStart"/>
      <w:r w:rsidRPr="0090577B">
        <w:rPr>
          <w:color w:val="000000"/>
          <w:sz w:val="24"/>
          <w:szCs w:val="24"/>
          <w:lang w:eastAsia="ru-RU"/>
        </w:rPr>
        <w:t>NG</w:t>
      </w:r>
      <w:proofErr w:type="spellEnd"/>
      <w:r w:rsidRPr="0090577B">
        <w:rPr>
          <w:color w:val="000000"/>
          <w:sz w:val="24"/>
          <w:szCs w:val="24"/>
          <w:lang w:eastAsia="ru-RU"/>
        </w:rPr>
        <w:t xml:space="preserve"> (</w:t>
      </w:r>
      <w:proofErr w:type="spellStart"/>
      <w:r w:rsidRPr="0090577B">
        <w:rPr>
          <w:color w:val="000000"/>
          <w:sz w:val="24"/>
          <w:szCs w:val="24"/>
          <w:lang w:eastAsia="ru-RU"/>
        </w:rPr>
        <w:t>New</w:t>
      </w:r>
      <w:proofErr w:type="spellEnd"/>
      <w:r w:rsidRPr="0090577B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0577B">
        <w:rPr>
          <w:color w:val="000000"/>
          <w:sz w:val="24"/>
          <w:szCs w:val="24"/>
          <w:lang w:eastAsia="ru-RU"/>
        </w:rPr>
        <w:t>Generation</w:t>
      </w:r>
      <w:proofErr w:type="spellEnd"/>
      <w:r w:rsidRPr="0090577B">
        <w:rPr>
          <w:color w:val="000000"/>
          <w:sz w:val="24"/>
          <w:szCs w:val="24"/>
          <w:lang w:eastAsia="ru-RU"/>
        </w:rPr>
        <w:t xml:space="preserve">) (общий объем инвестиций по проекту – </w:t>
      </w:r>
      <w:r>
        <w:rPr>
          <w:color w:val="000000"/>
          <w:sz w:val="24"/>
          <w:szCs w:val="24"/>
          <w:lang w:eastAsia="ru-RU"/>
        </w:rPr>
        <w:t>более 20 млрд. руб.),</w:t>
      </w:r>
      <w:r w:rsidRPr="0090577B">
        <w:rPr>
          <w:color w:val="000000"/>
          <w:sz w:val="24"/>
          <w:szCs w:val="24"/>
          <w:lang w:eastAsia="ru-RU"/>
        </w:rPr>
        <w:t xml:space="preserve"> по локализации </w:t>
      </w:r>
      <w:r w:rsidRPr="0090577B">
        <w:rPr>
          <w:color w:val="000000"/>
          <w:sz w:val="24"/>
          <w:szCs w:val="24"/>
          <w:lang w:eastAsia="ru-RU"/>
        </w:rPr>
        <w:lastRenderedPageBreak/>
        <w:t>двигателей Н</w:t>
      </w:r>
      <w:proofErr w:type="gramStart"/>
      <w:r w:rsidRPr="0090577B">
        <w:rPr>
          <w:color w:val="000000"/>
          <w:sz w:val="24"/>
          <w:szCs w:val="24"/>
          <w:lang w:eastAsia="ru-RU"/>
        </w:rPr>
        <w:t>4</w:t>
      </w:r>
      <w:proofErr w:type="gramEnd"/>
      <w:r w:rsidRPr="0090577B">
        <w:rPr>
          <w:color w:val="000000"/>
          <w:sz w:val="24"/>
          <w:szCs w:val="24"/>
          <w:lang w:eastAsia="ru-RU"/>
        </w:rPr>
        <w:t xml:space="preserve"> (общий объем инвестиций по проекту – </w:t>
      </w:r>
      <w:r>
        <w:rPr>
          <w:color w:val="000000"/>
          <w:sz w:val="24"/>
          <w:szCs w:val="24"/>
          <w:lang w:eastAsia="ru-RU"/>
        </w:rPr>
        <w:t xml:space="preserve">более </w:t>
      </w:r>
      <w:r w:rsidRPr="0090577B">
        <w:rPr>
          <w:color w:val="000000"/>
          <w:sz w:val="24"/>
          <w:szCs w:val="24"/>
          <w:lang w:eastAsia="ru-RU"/>
        </w:rPr>
        <w:t>10</w:t>
      </w:r>
      <w:r>
        <w:rPr>
          <w:color w:val="000000"/>
          <w:sz w:val="24"/>
          <w:szCs w:val="24"/>
          <w:lang w:eastAsia="ru-RU"/>
        </w:rPr>
        <w:t xml:space="preserve"> млрд. руб.) и другие проекты.</w:t>
      </w:r>
    </w:p>
    <w:p w:rsidR="005A052E" w:rsidRDefault="005A052E" w:rsidP="005365B8">
      <w:pPr>
        <w:pStyle w:val="af1"/>
        <w:tabs>
          <w:tab w:val="num" w:pos="0"/>
        </w:tabs>
        <w:spacing w:line="276" w:lineRule="auto"/>
        <w:ind w:firstLine="692"/>
        <w:rPr>
          <w:color w:val="000000"/>
          <w:sz w:val="24"/>
          <w:szCs w:val="24"/>
          <w:lang w:eastAsia="ru-RU"/>
        </w:rPr>
      </w:pPr>
      <w:r w:rsidRPr="0090577B">
        <w:rPr>
          <w:color w:val="000000"/>
          <w:sz w:val="24"/>
          <w:szCs w:val="24"/>
          <w:lang w:eastAsia="ru-RU"/>
        </w:rPr>
        <w:t>В прогнозном периоде ЗАО «</w:t>
      </w:r>
      <w:proofErr w:type="spellStart"/>
      <w:r w:rsidRPr="0090577B">
        <w:rPr>
          <w:color w:val="000000"/>
          <w:sz w:val="24"/>
          <w:szCs w:val="24"/>
          <w:lang w:eastAsia="ru-RU"/>
        </w:rPr>
        <w:t>Джи-Эм</w:t>
      </w:r>
      <w:proofErr w:type="spellEnd"/>
      <w:r w:rsidRPr="0090577B">
        <w:rPr>
          <w:color w:val="000000"/>
          <w:sz w:val="24"/>
          <w:szCs w:val="24"/>
          <w:lang w:eastAsia="ru-RU"/>
        </w:rPr>
        <w:t xml:space="preserve"> АВТОВАЗ» продолжит разработку и производство обновленной версии </w:t>
      </w:r>
      <w:proofErr w:type="spellStart"/>
      <w:r w:rsidRPr="0090577B">
        <w:rPr>
          <w:color w:val="000000"/>
          <w:sz w:val="24"/>
          <w:szCs w:val="24"/>
          <w:lang w:eastAsia="ru-RU"/>
        </w:rPr>
        <w:t>Шевроле</w:t>
      </w:r>
      <w:proofErr w:type="spellEnd"/>
      <w:r w:rsidRPr="0090577B">
        <w:rPr>
          <w:color w:val="000000"/>
          <w:sz w:val="24"/>
          <w:szCs w:val="24"/>
          <w:lang w:eastAsia="ru-RU"/>
        </w:rPr>
        <w:t xml:space="preserve"> НИВА, модернизацию производственных мощностей, с общим объемом инвестиций в основной капитал по проекту </w:t>
      </w:r>
      <w:r>
        <w:rPr>
          <w:color w:val="000000"/>
          <w:sz w:val="24"/>
          <w:szCs w:val="24"/>
          <w:lang w:eastAsia="ru-RU"/>
        </w:rPr>
        <w:t>порядка 20</w:t>
      </w:r>
      <w:r w:rsidRPr="0090577B">
        <w:rPr>
          <w:color w:val="000000"/>
          <w:sz w:val="24"/>
          <w:szCs w:val="24"/>
          <w:lang w:eastAsia="ru-RU"/>
        </w:rPr>
        <w:t xml:space="preserve"> млрд. руб. </w:t>
      </w:r>
    </w:p>
    <w:p w:rsidR="005A052E" w:rsidRDefault="005A052E" w:rsidP="005365B8">
      <w:pPr>
        <w:pStyle w:val="af1"/>
        <w:tabs>
          <w:tab w:val="num" w:pos="0"/>
        </w:tabs>
        <w:spacing w:line="276" w:lineRule="auto"/>
        <w:ind w:firstLine="692"/>
        <w:rPr>
          <w:color w:val="000000"/>
          <w:sz w:val="24"/>
          <w:szCs w:val="24"/>
          <w:lang w:eastAsia="ru-RU"/>
        </w:rPr>
      </w:pPr>
      <w:r w:rsidRPr="0090577B">
        <w:rPr>
          <w:color w:val="000000"/>
          <w:sz w:val="24"/>
          <w:szCs w:val="24"/>
          <w:lang w:eastAsia="ru-RU"/>
        </w:rPr>
        <w:t xml:space="preserve">В химической отрасли планируется реализация инвестиционных проектов по реконструкции действующего производственного оборудования и строительство новых производств. </w:t>
      </w:r>
    </w:p>
    <w:p w:rsidR="005A052E" w:rsidRPr="00696F98" w:rsidRDefault="00696F98" w:rsidP="005365B8">
      <w:pPr>
        <w:pStyle w:val="af1"/>
        <w:tabs>
          <w:tab w:val="num" w:pos="0"/>
        </w:tabs>
        <w:spacing w:line="276" w:lineRule="auto"/>
        <w:ind w:firstLine="692"/>
        <w:rPr>
          <w:color w:val="000000"/>
          <w:sz w:val="24"/>
          <w:szCs w:val="24"/>
          <w:lang w:eastAsia="ru-RU"/>
        </w:rPr>
      </w:pPr>
      <w:proofErr w:type="spellStart"/>
      <w:r w:rsidRPr="00696F98">
        <w:rPr>
          <w:color w:val="000000"/>
          <w:sz w:val="24"/>
          <w:szCs w:val="24"/>
          <w:lang w:eastAsia="ru-RU"/>
        </w:rPr>
        <w:t>ПАО</w:t>
      </w:r>
      <w:proofErr w:type="spellEnd"/>
      <w:r w:rsidRPr="00696F98">
        <w:rPr>
          <w:color w:val="000000"/>
          <w:sz w:val="24"/>
          <w:szCs w:val="24"/>
          <w:lang w:eastAsia="ru-RU"/>
        </w:rPr>
        <w:t xml:space="preserve"> «</w:t>
      </w:r>
      <w:proofErr w:type="spellStart"/>
      <w:r w:rsidRPr="00696F98">
        <w:rPr>
          <w:color w:val="000000"/>
          <w:sz w:val="24"/>
          <w:szCs w:val="24"/>
          <w:lang w:eastAsia="ru-RU"/>
        </w:rPr>
        <w:t>КуйбышевАзот</w:t>
      </w:r>
      <w:proofErr w:type="spellEnd"/>
      <w:r w:rsidRPr="00696F98">
        <w:rPr>
          <w:color w:val="000000"/>
          <w:sz w:val="24"/>
          <w:szCs w:val="24"/>
          <w:lang w:eastAsia="ru-RU"/>
        </w:rPr>
        <w:t xml:space="preserve">» в 2018 году планирует ввести в эксплуатацию установку гранулированного </w:t>
      </w:r>
      <w:proofErr w:type="spellStart"/>
      <w:r w:rsidRPr="00696F98">
        <w:rPr>
          <w:color w:val="000000"/>
          <w:sz w:val="24"/>
          <w:szCs w:val="24"/>
          <w:lang w:eastAsia="ru-RU"/>
        </w:rPr>
        <w:t>сульфатанитрата</w:t>
      </w:r>
      <w:proofErr w:type="spellEnd"/>
      <w:r w:rsidRPr="00696F98">
        <w:rPr>
          <w:color w:val="000000"/>
          <w:sz w:val="24"/>
          <w:szCs w:val="24"/>
          <w:lang w:eastAsia="ru-RU"/>
        </w:rPr>
        <w:t xml:space="preserve"> аммония мощностью 385 тыс. тонн в год, а также приступить к реализации крупного проекта – строительству нового </w:t>
      </w:r>
      <w:proofErr w:type="spellStart"/>
      <w:r w:rsidRPr="00696F98">
        <w:rPr>
          <w:color w:val="000000"/>
          <w:sz w:val="24"/>
          <w:szCs w:val="24"/>
          <w:lang w:eastAsia="ru-RU"/>
        </w:rPr>
        <w:t>энергоэффективного</w:t>
      </w:r>
      <w:proofErr w:type="spellEnd"/>
      <w:r w:rsidRPr="00696F98">
        <w:rPr>
          <w:color w:val="000000"/>
          <w:sz w:val="24"/>
          <w:szCs w:val="24"/>
          <w:lang w:eastAsia="ru-RU"/>
        </w:rPr>
        <w:t xml:space="preserve"> агрегата карбамида мощностью 547,5 тыс. тонн в год с вводом в 2021 году (</w:t>
      </w:r>
      <w:r w:rsidR="005A052E" w:rsidRPr="00696F98">
        <w:rPr>
          <w:color w:val="000000"/>
          <w:sz w:val="24"/>
          <w:szCs w:val="24"/>
          <w:lang w:eastAsia="ru-RU"/>
        </w:rPr>
        <w:t>общ</w:t>
      </w:r>
      <w:r w:rsidRPr="00696F98">
        <w:rPr>
          <w:color w:val="000000"/>
          <w:sz w:val="24"/>
          <w:szCs w:val="24"/>
          <w:lang w:eastAsia="ru-RU"/>
        </w:rPr>
        <w:t>ая</w:t>
      </w:r>
      <w:r w:rsidR="005A052E" w:rsidRPr="00696F98">
        <w:rPr>
          <w:color w:val="000000"/>
          <w:sz w:val="24"/>
          <w:szCs w:val="24"/>
          <w:lang w:eastAsia="ru-RU"/>
        </w:rPr>
        <w:t xml:space="preserve"> сумм</w:t>
      </w:r>
      <w:r w:rsidRPr="00696F98">
        <w:rPr>
          <w:color w:val="000000"/>
          <w:sz w:val="24"/>
          <w:szCs w:val="24"/>
          <w:lang w:eastAsia="ru-RU"/>
        </w:rPr>
        <w:t>а</w:t>
      </w:r>
      <w:r w:rsidR="005A052E" w:rsidRPr="00696F98">
        <w:rPr>
          <w:color w:val="000000"/>
          <w:sz w:val="24"/>
          <w:szCs w:val="24"/>
          <w:lang w:eastAsia="ru-RU"/>
        </w:rPr>
        <w:t xml:space="preserve"> инвестиций за весь период реализации </w:t>
      </w:r>
      <w:proofErr w:type="spellStart"/>
      <w:r w:rsidRPr="00696F98">
        <w:rPr>
          <w:color w:val="000000"/>
          <w:sz w:val="24"/>
          <w:szCs w:val="24"/>
          <w:lang w:eastAsia="ru-RU"/>
        </w:rPr>
        <w:t>инвест</w:t>
      </w:r>
      <w:r w:rsidR="005A052E" w:rsidRPr="00696F98">
        <w:rPr>
          <w:color w:val="000000"/>
          <w:sz w:val="24"/>
          <w:szCs w:val="24"/>
          <w:lang w:eastAsia="ru-RU"/>
        </w:rPr>
        <w:t>проектов</w:t>
      </w:r>
      <w:proofErr w:type="spellEnd"/>
      <w:r w:rsidR="005A052E" w:rsidRPr="00696F98">
        <w:rPr>
          <w:color w:val="000000"/>
          <w:sz w:val="24"/>
          <w:szCs w:val="24"/>
          <w:lang w:eastAsia="ru-RU"/>
        </w:rPr>
        <w:t xml:space="preserve"> порядка 20 млрд</w:t>
      </w:r>
      <w:proofErr w:type="gramStart"/>
      <w:r w:rsidR="005A052E" w:rsidRPr="00696F98">
        <w:rPr>
          <w:color w:val="000000"/>
          <w:sz w:val="24"/>
          <w:szCs w:val="24"/>
          <w:lang w:eastAsia="ru-RU"/>
        </w:rPr>
        <w:t>.р</w:t>
      </w:r>
      <w:proofErr w:type="gramEnd"/>
      <w:r w:rsidR="005A052E" w:rsidRPr="00696F98">
        <w:rPr>
          <w:color w:val="000000"/>
          <w:sz w:val="24"/>
          <w:szCs w:val="24"/>
          <w:lang w:eastAsia="ru-RU"/>
        </w:rPr>
        <w:t>уб.</w:t>
      </w:r>
      <w:r w:rsidRPr="00696F98">
        <w:rPr>
          <w:color w:val="000000"/>
          <w:sz w:val="24"/>
          <w:szCs w:val="24"/>
          <w:lang w:eastAsia="ru-RU"/>
        </w:rPr>
        <w:t>).</w:t>
      </w:r>
    </w:p>
    <w:p w:rsidR="005A052E" w:rsidRPr="0090577B" w:rsidRDefault="005A052E" w:rsidP="005365B8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spellStart"/>
      <w:r w:rsidRPr="00696F98">
        <w:rPr>
          <w:rFonts w:ascii="Times New Roman" w:hAnsi="Times New Roman"/>
          <w:color w:val="000000"/>
          <w:sz w:val="24"/>
          <w:szCs w:val="24"/>
        </w:rPr>
        <w:t>ПАО</w:t>
      </w:r>
      <w:proofErr w:type="spellEnd"/>
      <w:r w:rsidRPr="00696F98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Pr="00696F98">
        <w:rPr>
          <w:rFonts w:ascii="Times New Roman" w:hAnsi="Times New Roman"/>
          <w:color w:val="000000"/>
          <w:sz w:val="24"/>
          <w:szCs w:val="24"/>
        </w:rPr>
        <w:t>Тольяттиазот</w:t>
      </w:r>
      <w:proofErr w:type="spellEnd"/>
      <w:r w:rsidRPr="00696F98">
        <w:rPr>
          <w:rFonts w:ascii="Times New Roman" w:hAnsi="Times New Roman"/>
          <w:color w:val="000000"/>
          <w:sz w:val="24"/>
          <w:szCs w:val="24"/>
        </w:rPr>
        <w:t>» продолжит</w:t>
      </w:r>
      <w:r>
        <w:rPr>
          <w:rFonts w:ascii="Times New Roman" w:hAnsi="Times New Roman"/>
          <w:sz w:val="24"/>
          <w:szCs w:val="24"/>
        </w:rPr>
        <w:t xml:space="preserve"> реализацию масштабного проекта по строительству агрегата карбамида, основной объем капиталовложений в данный проект запланирован на 2018 год за счёт собственных сре</w:t>
      </w:r>
      <w:proofErr w:type="gramStart"/>
      <w:r>
        <w:rPr>
          <w:rFonts w:ascii="Times New Roman" w:hAnsi="Times New Roman"/>
          <w:sz w:val="24"/>
          <w:szCs w:val="24"/>
        </w:rPr>
        <w:t>дств</w:t>
      </w:r>
      <w:r w:rsidR="00333C33">
        <w:rPr>
          <w:rFonts w:ascii="Times New Roman" w:hAnsi="Times New Roman"/>
          <w:sz w:val="24"/>
          <w:szCs w:val="24"/>
        </w:rPr>
        <w:t xml:space="preserve"> пр</w:t>
      </w:r>
      <w:proofErr w:type="gramEnd"/>
      <w:r w:rsidR="00333C33">
        <w:rPr>
          <w:rFonts w:ascii="Times New Roman" w:hAnsi="Times New Roman"/>
          <w:sz w:val="24"/>
          <w:szCs w:val="24"/>
        </w:rPr>
        <w:t>едприятия</w:t>
      </w:r>
      <w:r>
        <w:rPr>
          <w:rFonts w:ascii="Times New Roman" w:hAnsi="Times New Roman"/>
          <w:sz w:val="24"/>
          <w:szCs w:val="24"/>
        </w:rPr>
        <w:t>.</w:t>
      </w:r>
    </w:p>
    <w:p w:rsidR="005A052E" w:rsidRPr="0090577B" w:rsidRDefault="005A052E" w:rsidP="005365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207">
        <w:rPr>
          <w:rFonts w:ascii="Times New Roman" w:hAnsi="Times New Roman"/>
          <w:sz w:val="24"/>
          <w:szCs w:val="24"/>
        </w:rPr>
        <w:t>Продолжится реализации мероприятий КИП, в том числе крупных инвестиционных проектов, такие как Технопа</w:t>
      </w:r>
      <w:proofErr w:type="gramStart"/>
      <w:r w:rsidRPr="00851207">
        <w:rPr>
          <w:rFonts w:ascii="Times New Roman" w:hAnsi="Times New Roman"/>
          <w:sz w:val="24"/>
          <w:szCs w:val="24"/>
        </w:rPr>
        <w:t>рк в сф</w:t>
      </w:r>
      <w:proofErr w:type="gramEnd"/>
      <w:r w:rsidRPr="00851207">
        <w:rPr>
          <w:rFonts w:ascii="Times New Roman" w:hAnsi="Times New Roman"/>
          <w:sz w:val="24"/>
          <w:szCs w:val="24"/>
        </w:rPr>
        <w:t>ере высоких технологий «Жигулевская долина» (проект «Жигулевская долина-2»), Индус</w:t>
      </w:r>
      <w:r w:rsidR="008C6376">
        <w:rPr>
          <w:rFonts w:ascii="Times New Roman" w:hAnsi="Times New Roman"/>
          <w:sz w:val="24"/>
          <w:szCs w:val="24"/>
        </w:rPr>
        <w:t>триальный парк «</w:t>
      </w:r>
      <w:proofErr w:type="spellStart"/>
      <w:r w:rsidR="008C6376">
        <w:rPr>
          <w:rFonts w:ascii="Times New Roman" w:hAnsi="Times New Roman"/>
          <w:sz w:val="24"/>
          <w:szCs w:val="24"/>
        </w:rPr>
        <w:t>Тольяттисинтез</w:t>
      </w:r>
      <w:proofErr w:type="spellEnd"/>
      <w:r w:rsidR="008C6376">
        <w:rPr>
          <w:rFonts w:ascii="Times New Roman" w:hAnsi="Times New Roman"/>
          <w:sz w:val="24"/>
          <w:szCs w:val="24"/>
        </w:rPr>
        <w:t xml:space="preserve">», индустриальный парк </w:t>
      </w:r>
      <w:r w:rsidR="008C6376" w:rsidRPr="00B05919">
        <w:rPr>
          <w:rFonts w:ascii="Times New Roman" w:hAnsi="Times New Roman"/>
          <w:sz w:val="24"/>
          <w:szCs w:val="24"/>
        </w:rPr>
        <w:t>«</w:t>
      </w:r>
      <w:proofErr w:type="spellStart"/>
      <w:r w:rsidR="008C6376" w:rsidRPr="00B05919">
        <w:rPr>
          <w:rFonts w:ascii="Times New Roman" w:hAnsi="Times New Roman"/>
          <w:sz w:val="24"/>
          <w:szCs w:val="24"/>
        </w:rPr>
        <w:t>ВЦМ</w:t>
      </w:r>
      <w:proofErr w:type="spellEnd"/>
      <w:r w:rsidR="008C6376" w:rsidRPr="00B05919">
        <w:rPr>
          <w:rFonts w:ascii="Times New Roman" w:hAnsi="Times New Roman"/>
          <w:sz w:val="24"/>
          <w:szCs w:val="24"/>
        </w:rPr>
        <w:t>»</w:t>
      </w:r>
      <w:r w:rsidRPr="00B05919">
        <w:rPr>
          <w:rFonts w:ascii="Times New Roman" w:hAnsi="Times New Roman"/>
          <w:sz w:val="24"/>
          <w:szCs w:val="24"/>
        </w:rPr>
        <w:t>.</w:t>
      </w:r>
      <w:r w:rsidRPr="0090577B">
        <w:rPr>
          <w:rFonts w:ascii="Times New Roman" w:hAnsi="Times New Roman"/>
          <w:sz w:val="24"/>
          <w:szCs w:val="24"/>
        </w:rPr>
        <w:t xml:space="preserve"> </w:t>
      </w:r>
    </w:p>
    <w:p w:rsidR="00837244" w:rsidRDefault="005A052E" w:rsidP="005365B8">
      <w:pPr>
        <w:spacing w:after="0"/>
        <w:ind w:firstLine="709"/>
        <w:jc w:val="both"/>
        <w:rPr>
          <w:spacing w:val="-2"/>
        </w:rPr>
      </w:pPr>
      <w:r w:rsidRPr="000D4A65">
        <w:rPr>
          <w:rFonts w:ascii="Times New Roman" w:hAnsi="Times New Roman"/>
          <w:sz w:val="24"/>
          <w:szCs w:val="24"/>
        </w:rPr>
        <w:t>Продолжится реализация проекта Особой экономической зоны промышленно-производственного типа «Тольятти»</w:t>
      </w:r>
      <w:r w:rsidR="008C6376">
        <w:rPr>
          <w:rFonts w:ascii="Times New Roman" w:hAnsi="Times New Roman"/>
          <w:sz w:val="24"/>
          <w:szCs w:val="24"/>
        </w:rPr>
        <w:t xml:space="preserve"> (ОЭЗ «Тольятти»)</w:t>
      </w:r>
      <w:r w:rsidRPr="000D4A65">
        <w:rPr>
          <w:rFonts w:ascii="Times New Roman" w:hAnsi="Times New Roman"/>
          <w:sz w:val="24"/>
          <w:szCs w:val="24"/>
        </w:rPr>
        <w:t xml:space="preserve">. </w:t>
      </w:r>
      <w:r w:rsidR="00837244" w:rsidRPr="00837244">
        <w:rPr>
          <w:rFonts w:ascii="Times New Roman" w:hAnsi="Times New Roman"/>
          <w:sz w:val="24"/>
          <w:szCs w:val="24"/>
        </w:rPr>
        <w:t>На территории ОЭЗ «Тольятти» будут открыты заводы по производству шарниров равных углов скоростей для автомобилей</w:t>
      </w:r>
      <w:r w:rsidR="00837244">
        <w:rPr>
          <w:rFonts w:ascii="Times New Roman" w:hAnsi="Times New Roman"/>
          <w:sz w:val="24"/>
          <w:szCs w:val="24"/>
        </w:rPr>
        <w:t>,</w:t>
      </w:r>
      <w:r w:rsidR="00837244" w:rsidRPr="00837244">
        <w:rPr>
          <w:rFonts w:ascii="Times New Roman" w:hAnsi="Times New Roman"/>
          <w:sz w:val="24"/>
          <w:szCs w:val="24"/>
        </w:rPr>
        <w:t xml:space="preserve"> по производству полиэтиленовой пленки и </w:t>
      </w:r>
      <w:proofErr w:type="spellStart"/>
      <w:r w:rsidR="00837244" w:rsidRPr="00837244">
        <w:rPr>
          <w:rFonts w:ascii="Times New Roman" w:hAnsi="Times New Roman"/>
          <w:sz w:val="24"/>
          <w:szCs w:val="24"/>
        </w:rPr>
        <w:t>нитриловых</w:t>
      </w:r>
      <w:proofErr w:type="spellEnd"/>
      <w:r w:rsidR="00837244" w:rsidRPr="00837244">
        <w:rPr>
          <w:rFonts w:ascii="Times New Roman" w:hAnsi="Times New Roman"/>
          <w:sz w:val="24"/>
          <w:szCs w:val="24"/>
        </w:rPr>
        <w:t xml:space="preserve"> перчаток. </w:t>
      </w:r>
      <w:r w:rsidR="00837244">
        <w:rPr>
          <w:rFonts w:ascii="Times New Roman" w:hAnsi="Times New Roman"/>
          <w:sz w:val="24"/>
          <w:szCs w:val="24"/>
        </w:rPr>
        <w:t>При этом</w:t>
      </w:r>
      <w:proofErr w:type="gramStart"/>
      <w:r w:rsidR="00837244">
        <w:rPr>
          <w:rFonts w:ascii="Times New Roman" w:hAnsi="Times New Roman"/>
          <w:sz w:val="24"/>
          <w:szCs w:val="24"/>
        </w:rPr>
        <w:t>,</w:t>
      </w:r>
      <w:proofErr w:type="gramEnd"/>
      <w:r w:rsidR="00837244">
        <w:rPr>
          <w:rFonts w:ascii="Times New Roman" w:hAnsi="Times New Roman"/>
          <w:sz w:val="24"/>
          <w:szCs w:val="24"/>
        </w:rPr>
        <w:t xml:space="preserve"> о</w:t>
      </w:r>
      <w:r w:rsidRPr="000D4A65">
        <w:rPr>
          <w:rFonts w:ascii="Times New Roman" w:hAnsi="Times New Roman"/>
          <w:sz w:val="24"/>
          <w:szCs w:val="24"/>
        </w:rPr>
        <w:t>бъемы инвестиций ОЭЗ</w:t>
      </w:r>
      <w:r w:rsidR="00837244">
        <w:rPr>
          <w:rFonts w:ascii="Times New Roman" w:hAnsi="Times New Roman"/>
          <w:sz w:val="24"/>
          <w:szCs w:val="24"/>
        </w:rPr>
        <w:t xml:space="preserve"> «Тольятти»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D4A65">
        <w:rPr>
          <w:rFonts w:ascii="Times New Roman" w:hAnsi="Times New Roman"/>
          <w:sz w:val="24"/>
          <w:szCs w:val="24"/>
        </w:rPr>
        <w:t xml:space="preserve"> в настоящее время не учитываются при подсчете фактического объема инвестиций городского округа Тольятти, но имеют важное значение для экономики и населения городского округа Тольятти.</w:t>
      </w:r>
      <w:r w:rsidR="00837244" w:rsidRPr="00837244">
        <w:rPr>
          <w:spacing w:val="-2"/>
        </w:rPr>
        <w:t xml:space="preserve"> </w:t>
      </w:r>
    </w:p>
    <w:p w:rsidR="005A052E" w:rsidRPr="000D4A65" w:rsidRDefault="00837244" w:rsidP="005365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7244">
        <w:rPr>
          <w:rFonts w:ascii="Times New Roman" w:hAnsi="Times New Roman"/>
          <w:sz w:val="24"/>
          <w:szCs w:val="24"/>
        </w:rPr>
        <w:t>До конца 2019 года планируется запустить третью, последнюю очередь инфраструктуры ОЭЗ «Тольятти» площадью 233 га. К концу прогнозного периода количество резидентов особой экономической зоны должно достигнуть 24, объем вложенных ими инвестиций составить более 18 млрд. рублей</w:t>
      </w:r>
    </w:p>
    <w:p w:rsidR="005A052E" w:rsidRPr="000D4A65" w:rsidRDefault="005A052E" w:rsidP="005365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4A65">
        <w:rPr>
          <w:rFonts w:ascii="Times New Roman" w:hAnsi="Times New Roman"/>
          <w:sz w:val="24"/>
          <w:szCs w:val="24"/>
        </w:rPr>
        <w:t>Планируется создание «АвтоВАЗ-Технопарк» на базе Волжского машиностроительного завода (ВМЗ) и Опытно-промышленного производства (ООП) ПАО «АВТОВАЗ».</w:t>
      </w:r>
    </w:p>
    <w:p w:rsidR="00470F7E" w:rsidRDefault="005A052E" w:rsidP="005365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4A65">
        <w:rPr>
          <w:rFonts w:ascii="Times New Roman" w:hAnsi="Times New Roman"/>
          <w:sz w:val="24"/>
          <w:szCs w:val="24"/>
        </w:rPr>
        <w:t xml:space="preserve">Учитывая негативную ситуацию, связанную с ликвидацией </w:t>
      </w:r>
      <w:proofErr w:type="spellStart"/>
      <w:r w:rsidRPr="000D4A65">
        <w:rPr>
          <w:rFonts w:ascii="Times New Roman" w:hAnsi="Times New Roman"/>
          <w:sz w:val="24"/>
          <w:szCs w:val="24"/>
        </w:rPr>
        <w:t>ВМЗ</w:t>
      </w:r>
      <w:proofErr w:type="spellEnd"/>
      <w:r w:rsidRPr="000D4A65">
        <w:rPr>
          <w:rFonts w:ascii="Times New Roman" w:hAnsi="Times New Roman"/>
          <w:sz w:val="24"/>
          <w:szCs w:val="24"/>
        </w:rPr>
        <w:t xml:space="preserve">, высвобождением работников </w:t>
      </w:r>
      <w:proofErr w:type="spellStart"/>
      <w:r w:rsidRPr="000D4A65">
        <w:rPr>
          <w:rFonts w:ascii="Times New Roman" w:hAnsi="Times New Roman"/>
          <w:sz w:val="24"/>
          <w:szCs w:val="24"/>
        </w:rPr>
        <w:t>ПАО</w:t>
      </w:r>
      <w:proofErr w:type="spellEnd"/>
      <w:r w:rsidRPr="000D4A6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D4A65">
        <w:rPr>
          <w:rFonts w:ascii="Times New Roman" w:hAnsi="Times New Roman"/>
          <w:sz w:val="24"/>
          <w:szCs w:val="24"/>
        </w:rPr>
        <w:t>АВТОВАЗа</w:t>
      </w:r>
      <w:proofErr w:type="spellEnd"/>
      <w:r w:rsidRPr="000D4A65">
        <w:rPr>
          <w:rFonts w:ascii="Times New Roman" w:hAnsi="Times New Roman"/>
          <w:sz w:val="24"/>
          <w:szCs w:val="24"/>
        </w:rPr>
        <w:t xml:space="preserve">», создание технопарка будет являться вкладом в сохранение рабочих мест. Данная площадка уже вызвала живой интерес у инвесторов, одним из предприятий, готовых </w:t>
      </w:r>
      <w:proofErr w:type="gramStart"/>
      <w:r w:rsidRPr="000D4A65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0D4A65">
        <w:rPr>
          <w:rFonts w:ascii="Times New Roman" w:hAnsi="Times New Roman"/>
          <w:sz w:val="24"/>
          <w:szCs w:val="24"/>
        </w:rPr>
        <w:t xml:space="preserve"> свое производство в технопарке, является ОАО «Металлист-Самара».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A052E" w:rsidRPr="000D4A65" w:rsidRDefault="005A052E" w:rsidP="005365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4A65">
        <w:rPr>
          <w:rFonts w:ascii="Times New Roman" w:hAnsi="Times New Roman"/>
          <w:sz w:val="24"/>
          <w:szCs w:val="24"/>
        </w:rPr>
        <w:t xml:space="preserve">На площадях имеются высокотехнологичное оборудование, высококвалифицированные специалисты, что позволит реализовать уникальные проекты. Рассматриваются </w:t>
      </w:r>
      <w:r w:rsidRPr="00293F42">
        <w:rPr>
          <w:rFonts w:ascii="Times New Roman" w:hAnsi="Times New Roman"/>
          <w:sz w:val="24"/>
          <w:szCs w:val="24"/>
        </w:rPr>
        <w:t>вопросы</w:t>
      </w:r>
      <w:r w:rsidRPr="000D4A65">
        <w:rPr>
          <w:rFonts w:ascii="Times New Roman" w:hAnsi="Times New Roman"/>
          <w:sz w:val="24"/>
          <w:szCs w:val="24"/>
        </w:rPr>
        <w:t xml:space="preserve"> использования площадей и оборудования в целях изготовления технологической оснастки для аэрокосмической отрасли, выполнении заказов ПАО «АВТОВАЗ» по производству </w:t>
      </w:r>
      <w:proofErr w:type="spellStart"/>
      <w:r w:rsidRPr="000D4A65">
        <w:rPr>
          <w:rFonts w:ascii="Times New Roman" w:hAnsi="Times New Roman"/>
          <w:sz w:val="24"/>
          <w:szCs w:val="24"/>
        </w:rPr>
        <w:t>автокомпонентов</w:t>
      </w:r>
      <w:proofErr w:type="spellEnd"/>
      <w:r w:rsidRPr="000D4A65">
        <w:rPr>
          <w:rFonts w:ascii="Times New Roman" w:hAnsi="Times New Roman"/>
          <w:sz w:val="24"/>
          <w:szCs w:val="24"/>
        </w:rPr>
        <w:t>.</w:t>
      </w:r>
    </w:p>
    <w:p w:rsidR="00BC559F" w:rsidRDefault="00BC559F" w:rsidP="005365B8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052E" w:rsidRDefault="00B3084C" w:rsidP="005365B8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A052E" w:rsidRPr="000D4A65">
        <w:rPr>
          <w:rFonts w:ascii="Times New Roman" w:hAnsi="Times New Roman"/>
          <w:sz w:val="24"/>
          <w:szCs w:val="24"/>
        </w:rPr>
        <w:t xml:space="preserve">бъем инвестиций резидентов </w:t>
      </w:r>
      <w:proofErr w:type="spellStart"/>
      <w:r w:rsidR="005A052E" w:rsidRPr="000D4A65">
        <w:rPr>
          <w:rFonts w:ascii="Times New Roman" w:hAnsi="Times New Roman"/>
          <w:sz w:val="24"/>
          <w:szCs w:val="24"/>
        </w:rPr>
        <w:t>ТОСЭР</w:t>
      </w:r>
      <w:proofErr w:type="spellEnd"/>
      <w:r w:rsidR="005A052E" w:rsidRPr="000D4A65">
        <w:rPr>
          <w:rFonts w:ascii="Times New Roman" w:hAnsi="Times New Roman"/>
          <w:sz w:val="24"/>
          <w:szCs w:val="24"/>
        </w:rPr>
        <w:t xml:space="preserve"> (1</w:t>
      </w:r>
      <w:r w:rsidR="00627312">
        <w:rPr>
          <w:rFonts w:ascii="Times New Roman" w:hAnsi="Times New Roman"/>
          <w:sz w:val="24"/>
          <w:szCs w:val="24"/>
        </w:rPr>
        <w:t>4</w:t>
      </w:r>
      <w:r w:rsidR="00B05919">
        <w:rPr>
          <w:rFonts w:ascii="Times New Roman" w:hAnsi="Times New Roman"/>
          <w:sz w:val="24"/>
          <w:szCs w:val="24"/>
        </w:rPr>
        <w:t>-ти</w:t>
      </w:r>
      <w:r w:rsidR="005A052E" w:rsidRPr="000D4A65">
        <w:rPr>
          <w:rFonts w:ascii="Times New Roman" w:hAnsi="Times New Roman"/>
          <w:sz w:val="24"/>
          <w:szCs w:val="24"/>
        </w:rPr>
        <w:t xml:space="preserve"> организаций)</w:t>
      </w:r>
      <w:r w:rsidR="00333C33">
        <w:rPr>
          <w:rFonts w:ascii="Times New Roman" w:hAnsi="Times New Roman"/>
          <w:sz w:val="24"/>
          <w:szCs w:val="24"/>
        </w:rPr>
        <w:t xml:space="preserve"> запланирован в объеме 3,</w:t>
      </w:r>
      <w:r w:rsidR="00627312">
        <w:rPr>
          <w:rFonts w:ascii="Times New Roman" w:hAnsi="Times New Roman"/>
          <w:sz w:val="24"/>
          <w:szCs w:val="24"/>
        </w:rPr>
        <w:t>5</w:t>
      </w:r>
      <w:r w:rsidR="00333C33">
        <w:rPr>
          <w:rFonts w:ascii="Times New Roman" w:hAnsi="Times New Roman"/>
          <w:sz w:val="24"/>
          <w:szCs w:val="24"/>
        </w:rPr>
        <w:t xml:space="preserve"> млрд. руб. </w:t>
      </w:r>
      <w:r w:rsidR="005A052E" w:rsidRPr="000D4A65">
        <w:rPr>
          <w:rFonts w:ascii="Times New Roman" w:hAnsi="Times New Roman"/>
          <w:sz w:val="24"/>
          <w:szCs w:val="24"/>
        </w:rPr>
        <w:t xml:space="preserve"> и потенциальных </w:t>
      </w:r>
      <w:r w:rsidR="005A052E" w:rsidRPr="00191521">
        <w:rPr>
          <w:rFonts w:ascii="Times New Roman" w:hAnsi="Times New Roman"/>
          <w:sz w:val="24"/>
          <w:szCs w:val="24"/>
        </w:rPr>
        <w:t>резидентов (</w:t>
      </w:r>
      <w:r w:rsidR="00627312">
        <w:rPr>
          <w:rFonts w:ascii="Times New Roman" w:hAnsi="Times New Roman"/>
          <w:sz w:val="24"/>
          <w:szCs w:val="24"/>
        </w:rPr>
        <w:t>4</w:t>
      </w:r>
      <w:r w:rsidR="00B05919" w:rsidRPr="00191521">
        <w:rPr>
          <w:rFonts w:ascii="Times New Roman" w:hAnsi="Times New Roman"/>
          <w:sz w:val="24"/>
          <w:szCs w:val="24"/>
        </w:rPr>
        <w:t>-х</w:t>
      </w:r>
      <w:r w:rsidR="005A052E" w:rsidRPr="00191521">
        <w:rPr>
          <w:rFonts w:ascii="Times New Roman" w:hAnsi="Times New Roman"/>
          <w:sz w:val="24"/>
          <w:szCs w:val="24"/>
        </w:rPr>
        <w:t xml:space="preserve"> организаций</w:t>
      </w:r>
      <w:r w:rsidR="005A052E" w:rsidRPr="00082357">
        <w:rPr>
          <w:rFonts w:ascii="Times New Roman" w:hAnsi="Times New Roman"/>
          <w:sz w:val="24"/>
          <w:szCs w:val="24"/>
        </w:rPr>
        <w:t xml:space="preserve">) </w:t>
      </w:r>
      <w:r w:rsidR="00333C33">
        <w:rPr>
          <w:rFonts w:ascii="Times New Roman" w:hAnsi="Times New Roman"/>
          <w:sz w:val="24"/>
          <w:szCs w:val="24"/>
        </w:rPr>
        <w:t>–</w:t>
      </w:r>
      <w:r w:rsidR="005A052E" w:rsidRPr="000D4A65">
        <w:rPr>
          <w:rFonts w:ascii="Times New Roman" w:hAnsi="Times New Roman"/>
          <w:sz w:val="24"/>
          <w:szCs w:val="24"/>
        </w:rPr>
        <w:t xml:space="preserve"> </w:t>
      </w:r>
      <w:r w:rsidR="00627312">
        <w:rPr>
          <w:rFonts w:ascii="Times New Roman" w:hAnsi="Times New Roman"/>
          <w:sz w:val="24"/>
          <w:szCs w:val="24"/>
        </w:rPr>
        <w:t>0,2</w:t>
      </w:r>
      <w:r w:rsidR="005A052E" w:rsidRPr="00333C33">
        <w:rPr>
          <w:rFonts w:ascii="Times New Roman" w:hAnsi="Times New Roman"/>
          <w:sz w:val="24"/>
          <w:szCs w:val="24"/>
        </w:rPr>
        <w:t xml:space="preserve"> мл</w:t>
      </w:r>
      <w:r w:rsidR="00333C33">
        <w:rPr>
          <w:rFonts w:ascii="Times New Roman" w:hAnsi="Times New Roman"/>
          <w:sz w:val="24"/>
          <w:szCs w:val="24"/>
        </w:rPr>
        <w:t>рд</w:t>
      </w:r>
      <w:r w:rsidR="005A052E" w:rsidRPr="000D4A65">
        <w:rPr>
          <w:rFonts w:ascii="Times New Roman" w:hAnsi="Times New Roman"/>
          <w:sz w:val="24"/>
          <w:szCs w:val="24"/>
        </w:rPr>
        <w:t>. руб.</w:t>
      </w:r>
    </w:p>
    <w:p w:rsidR="001A71CC" w:rsidRPr="00837244" w:rsidRDefault="001A71CC" w:rsidP="005365B8">
      <w:pPr>
        <w:pStyle w:val="af"/>
        <w:numPr>
          <w:ilvl w:val="0"/>
          <w:numId w:val="3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837244">
        <w:rPr>
          <w:sz w:val="24"/>
          <w:szCs w:val="24"/>
        </w:rPr>
        <w:t xml:space="preserve">В целях создания максимально привлекательных условий для инвесторов продолжится совершенствование региональной нормативно-правовой базы по обеспечению функционирования ТОСЭР «Тольятти» и предоставлению налоговых льгот резидентам. Это должно послужить катализатором прихода в моногорода новых инвесторов, в том числе и зарубежных. </w:t>
      </w:r>
    </w:p>
    <w:p w:rsidR="00470F7E" w:rsidRPr="00C61F1E" w:rsidRDefault="005A052E" w:rsidP="005365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1F1E">
        <w:rPr>
          <w:rFonts w:ascii="Times New Roman" w:hAnsi="Times New Roman"/>
          <w:sz w:val="24"/>
          <w:szCs w:val="24"/>
        </w:rPr>
        <w:t xml:space="preserve">В прогнозном </w:t>
      </w:r>
      <w:proofErr w:type="gramStart"/>
      <w:r w:rsidRPr="00C61F1E">
        <w:rPr>
          <w:rFonts w:ascii="Times New Roman" w:hAnsi="Times New Roman"/>
          <w:sz w:val="24"/>
          <w:szCs w:val="24"/>
        </w:rPr>
        <w:t>периоде</w:t>
      </w:r>
      <w:proofErr w:type="gramEnd"/>
      <w:r w:rsidRPr="00C61F1E">
        <w:rPr>
          <w:rFonts w:ascii="Times New Roman" w:hAnsi="Times New Roman"/>
          <w:sz w:val="24"/>
          <w:szCs w:val="24"/>
        </w:rPr>
        <w:t xml:space="preserve"> продолжится рост бюджетных инвестиций</w:t>
      </w:r>
      <w:r w:rsidR="00BC559F">
        <w:rPr>
          <w:rFonts w:ascii="Times New Roman" w:hAnsi="Times New Roman"/>
          <w:sz w:val="24"/>
          <w:szCs w:val="24"/>
        </w:rPr>
        <w:t>.</w:t>
      </w:r>
      <w:r w:rsidRPr="00C61F1E">
        <w:rPr>
          <w:rFonts w:ascii="Times New Roman" w:hAnsi="Times New Roman"/>
          <w:sz w:val="24"/>
          <w:szCs w:val="24"/>
        </w:rPr>
        <w:t xml:space="preserve"> </w:t>
      </w:r>
      <w:r w:rsidR="00BC559F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BC559F">
        <w:rPr>
          <w:rFonts w:ascii="Times New Roman" w:hAnsi="Times New Roman"/>
          <w:sz w:val="24"/>
          <w:szCs w:val="24"/>
        </w:rPr>
        <w:t>рамках</w:t>
      </w:r>
      <w:proofErr w:type="gramEnd"/>
      <w:r w:rsidRPr="00C61F1E">
        <w:rPr>
          <w:rFonts w:ascii="Times New Roman" w:hAnsi="Times New Roman"/>
          <w:sz w:val="24"/>
          <w:szCs w:val="24"/>
        </w:rPr>
        <w:t xml:space="preserve"> реализации Плана основных мероприятий по подготовке и проведению празднования 50-летия выпуска первого легкового автомобиля ВАЗ в городском округе Тольятти. Запланировано строительство спортивных учреждений, поликлиник, а также двух общеобразовательных школ - в 18-м жилом квартале и в 20-м квартале.  В Автозаводском районе рядом с парком Победы появится выставочный зал и сквер с игровыми площадками и фонтаном. Будет проведена реконструкция автозаводской набережной. Продолжится строительство </w:t>
      </w:r>
      <w:r w:rsidR="00627312">
        <w:rPr>
          <w:rFonts w:ascii="Times New Roman" w:hAnsi="Times New Roman"/>
          <w:sz w:val="24"/>
          <w:szCs w:val="24"/>
        </w:rPr>
        <w:t xml:space="preserve">и реконструкция </w:t>
      </w:r>
      <w:r w:rsidRPr="00C61F1E">
        <w:rPr>
          <w:rFonts w:ascii="Times New Roman" w:hAnsi="Times New Roman"/>
          <w:sz w:val="24"/>
          <w:szCs w:val="24"/>
        </w:rPr>
        <w:t>дорог и дорожных объектов.</w:t>
      </w:r>
      <w:r w:rsidR="00470F7E" w:rsidRPr="00C61F1E">
        <w:rPr>
          <w:rFonts w:ascii="Times New Roman" w:hAnsi="Times New Roman"/>
          <w:sz w:val="24"/>
          <w:szCs w:val="24"/>
        </w:rPr>
        <w:t xml:space="preserve"> </w:t>
      </w:r>
    </w:p>
    <w:p w:rsidR="005A052E" w:rsidRPr="000D4A65" w:rsidRDefault="00907815" w:rsidP="005365B8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результате, в</w:t>
      </w:r>
      <w:r w:rsidR="005A052E" w:rsidRPr="000D4A65">
        <w:rPr>
          <w:rFonts w:ascii="Times New Roman" w:hAnsi="Times New Roman"/>
          <w:sz w:val="24"/>
          <w:szCs w:val="24"/>
        </w:rPr>
        <w:t xml:space="preserve"> прогнозном периоде в городском округе Тольятти  ожидается следующая динамика инвестиций в основной капитал по </w:t>
      </w:r>
      <w:r w:rsidR="005A052E">
        <w:rPr>
          <w:rFonts w:ascii="Times New Roman" w:hAnsi="Times New Roman"/>
          <w:sz w:val="24"/>
          <w:szCs w:val="24"/>
        </w:rPr>
        <w:t>первому (базовому)</w:t>
      </w:r>
      <w:r w:rsidR="005A052E" w:rsidRPr="000D4A65">
        <w:rPr>
          <w:rFonts w:ascii="Times New Roman" w:hAnsi="Times New Roman"/>
          <w:sz w:val="24"/>
          <w:szCs w:val="24"/>
        </w:rPr>
        <w:t xml:space="preserve"> варианту прогноза: в 2018 году общий объем инвестиций </w:t>
      </w:r>
      <w:r w:rsidR="005A052E">
        <w:rPr>
          <w:rFonts w:ascii="Times New Roman" w:hAnsi="Times New Roman"/>
          <w:sz w:val="24"/>
          <w:szCs w:val="24"/>
        </w:rPr>
        <w:t>составит</w:t>
      </w:r>
      <w:r w:rsidR="005A052E" w:rsidRPr="000D4A65">
        <w:rPr>
          <w:rFonts w:ascii="Times New Roman" w:hAnsi="Times New Roman"/>
          <w:sz w:val="24"/>
          <w:szCs w:val="24"/>
        </w:rPr>
        <w:t xml:space="preserve"> </w:t>
      </w:r>
      <w:r w:rsidR="005A052E">
        <w:rPr>
          <w:rFonts w:ascii="Times New Roman" w:hAnsi="Times New Roman"/>
          <w:sz w:val="24"/>
          <w:szCs w:val="24"/>
        </w:rPr>
        <w:t>35,4</w:t>
      </w:r>
      <w:r w:rsidR="005A052E" w:rsidRPr="000D4A65">
        <w:rPr>
          <w:rFonts w:ascii="Times New Roman" w:hAnsi="Times New Roman"/>
          <w:sz w:val="24"/>
          <w:szCs w:val="24"/>
        </w:rPr>
        <w:t xml:space="preserve"> млрд. руб., что на </w:t>
      </w:r>
      <w:r w:rsidR="005A052E">
        <w:rPr>
          <w:rFonts w:ascii="Times New Roman" w:hAnsi="Times New Roman"/>
          <w:sz w:val="24"/>
          <w:szCs w:val="24"/>
        </w:rPr>
        <w:t xml:space="preserve">4,8 </w:t>
      </w:r>
      <w:r w:rsidR="005A052E" w:rsidRPr="000D4A65">
        <w:rPr>
          <w:rFonts w:ascii="Times New Roman" w:hAnsi="Times New Roman"/>
          <w:sz w:val="24"/>
          <w:szCs w:val="24"/>
        </w:rPr>
        <w:t xml:space="preserve">% выше уровня предыдущего года, в 2019 году – </w:t>
      </w:r>
      <w:r w:rsidR="005A052E">
        <w:rPr>
          <w:rFonts w:ascii="Times New Roman" w:hAnsi="Times New Roman"/>
          <w:sz w:val="24"/>
          <w:szCs w:val="24"/>
        </w:rPr>
        <w:t>37,4</w:t>
      </w:r>
      <w:r w:rsidR="005A052E" w:rsidRPr="000D4A65">
        <w:rPr>
          <w:rFonts w:ascii="Times New Roman" w:hAnsi="Times New Roman"/>
          <w:sz w:val="24"/>
          <w:szCs w:val="24"/>
        </w:rPr>
        <w:t xml:space="preserve"> млрд. руб., что на </w:t>
      </w:r>
      <w:r w:rsidR="005A052E">
        <w:rPr>
          <w:rFonts w:ascii="Times New Roman" w:hAnsi="Times New Roman"/>
          <w:sz w:val="24"/>
          <w:szCs w:val="24"/>
        </w:rPr>
        <w:t xml:space="preserve">5,9 </w:t>
      </w:r>
      <w:r w:rsidR="005A052E" w:rsidRPr="000D4A65">
        <w:rPr>
          <w:rFonts w:ascii="Times New Roman" w:hAnsi="Times New Roman"/>
          <w:sz w:val="24"/>
          <w:szCs w:val="24"/>
        </w:rPr>
        <w:t xml:space="preserve">% к уровню </w:t>
      </w:r>
      <w:r w:rsidR="005A052E">
        <w:rPr>
          <w:rFonts w:ascii="Times New Roman" w:hAnsi="Times New Roman"/>
          <w:sz w:val="24"/>
          <w:szCs w:val="24"/>
        </w:rPr>
        <w:t xml:space="preserve">больше </w:t>
      </w:r>
      <w:r w:rsidR="005A052E" w:rsidRPr="000D4A65">
        <w:rPr>
          <w:rFonts w:ascii="Times New Roman" w:hAnsi="Times New Roman"/>
          <w:sz w:val="24"/>
          <w:szCs w:val="24"/>
        </w:rPr>
        <w:t xml:space="preserve">предыдущего года, в 2020 году – </w:t>
      </w:r>
      <w:r w:rsidR="005A052E">
        <w:rPr>
          <w:rFonts w:ascii="Times New Roman" w:hAnsi="Times New Roman"/>
          <w:sz w:val="24"/>
          <w:szCs w:val="24"/>
        </w:rPr>
        <w:t>39,9</w:t>
      </w:r>
      <w:r w:rsidR="005A052E" w:rsidRPr="000D4A65">
        <w:rPr>
          <w:rFonts w:ascii="Times New Roman" w:hAnsi="Times New Roman"/>
          <w:sz w:val="24"/>
          <w:szCs w:val="24"/>
        </w:rPr>
        <w:t xml:space="preserve"> млрд. руб., что на</w:t>
      </w:r>
      <w:proofErr w:type="gramEnd"/>
      <w:r w:rsidR="005A052E" w:rsidRPr="000D4A65">
        <w:rPr>
          <w:rFonts w:ascii="Times New Roman" w:hAnsi="Times New Roman"/>
          <w:sz w:val="24"/>
          <w:szCs w:val="24"/>
        </w:rPr>
        <w:t xml:space="preserve"> </w:t>
      </w:r>
      <w:r w:rsidR="005A052E">
        <w:rPr>
          <w:rFonts w:ascii="Times New Roman" w:hAnsi="Times New Roman"/>
          <w:sz w:val="24"/>
          <w:szCs w:val="24"/>
        </w:rPr>
        <w:t xml:space="preserve">6,5 </w:t>
      </w:r>
      <w:r w:rsidR="005A052E" w:rsidRPr="000D4A65">
        <w:rPr>
          <w:rFonts w:ascii="Times New Roman" w:hAnsi="Times New Roman"/>
          <w:sz w:val="24"/>
          <w:szCs w:val="24"/>
        </w:rPr>
        <w:t>% выше  уровня предыдущего года.</w:t>
      </w:r>
      <w:r w:rsidR="005A052E">
        <w:rPr>
          <w:rFonts w:ascii="Times New Roman" w:hAnsi="Times New Roman"/>
          <w:sz w:val="24"/>
          <w:szCs w:val="24"/>
        </w:rPr>
        <w:t xml:space="preserve"> Всего за прогнозн</w:t>
      </w:r>
      <w:r>
        <w:rPr>
          <w:rFonts w:ascii="Times New Roman" w:hAnsi="Times New Roman"/>
          <w:sz w:val="24"/>
          <w:szCs w:val="24"/>
        </w:rPr>
        <w:t>ом</w:t>
      </w:r>
      <w:r w:rsidR="005A05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A052E">
        <w:rPr>
          <w:rFonts w:ascii="Times New Roman" w:hAnsi="Times New Roman"/>
          <w:sz w:val="24"/>
          <w:szCs w:val="24"/>
        </w:rPr>
        <w:t>период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="005A052E">
        <w:rPr>
          <w:rFonts w:ascii="Times New Roman" w:hAnsi="Times New Roman"/>
          <w:sz w:val="24"/>
          <w:szCs w:val="24"/>
        </w:rPr>
        <w:t>, прирост инвестиций в основной капитал по городу составит 4 % в сопоставимых ценах (с учетом инфляции).</w:t>
      </w:r>
    </w:p>
    <w:p w:rsidR="005A052E" w:rsidRPr="000D4A65" w:rsidRDefault="005A052E" w:rsidP="005365B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0D4A65">
        <w:rPr>
          <w:rFonts w:ascii="Times New Roman" w:hAnsi="Times New Roman"/>
          <w:sz w:val="24"/>
          <w:szCs w:val="24"/>
          <w:lang w:eastAsia="zh-CN"/>
        </w:rPr>
        <w:t xml:space="preserve">Второй вариант предполагает более высокую инвестиционную активность,  восстановление возможностей кредитного финансирования, а также расширение бюджетного финансирования инвестиций. </w:t>
      </w:r>
    </w:p>
    <w:p w:rsidR="005A052E" w:rsidRPr="004A0870" w:rsidRDefault="005A052E" w:rsidP="005365B8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4A0870">
        <w:rPr>
          <w:rFonts w:ascii="Times New Roman" w:hAnsi="Times New Roman"/>
          <w:sz w:val="24"/>
          <w:szCs w:val="24"/>
          <w:lang w:eastAsia="zh-CN"/>
        </w:rPr>
        <w:t xml:space="preserve">Вследствие этого, по второму варианту прогноза к 2020  году, прирост инвестиций в сопоставимых ценах к уровню 2017 года составит  29,3 % до 50,1 млрд. руб.  </w:t>
      </w:r>
      <w:r>
        <w:rPr>
          <w:rFonts w:ascii="Times New Roman" w:hAnsi="Times New Roman"/>
          <w:sz w:val="24"/>
          <w:szCs w:val="24"/>
          <w:lang w:eastAsia="zh-CN"/>
        </w:rPr>
        <w:t>(в 2018 году – 39,1 млрд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>уб., в 2019 году – 47,8 млрд.руб.).</w:t>
      </w:r>
    </w:p>
    <w:p w:rsidR="005A052E" w:rsidRPr="004A0870" w:rsidRDefault="005A052E" w:rsidP="005365B8">
      <w:pPr>
        <w:widowControl w:val="0"/>
        <w:spacing w:after="0"/>
        <w:ind w:firstLine="686"/>
        <w:jc w:val="both"/>
        <w:rPr>
          <w:rFonts w:ascii="Times New Roman" w:hAnsi="Times New Roman"/>
          <w:sz w:val="24"/>
          <w:szCs w:val="24"/>
        </w:rPr>
      </w:pPr>
      <w:r w:rsidRPr="004A0870">
        <w:rPr>
          <w:rFonts w:ascii="Times New Roman" w:hAnsi="Times New Roman"/>
          <w:sz w:val="24"/>
          <w:szCs w:val="24"/>
        </w:rPr>
        <w:t>Основная часть инвестиций в городском округе Тольятти</w:t>
      </w:r>
      <w:r w:rsidR="00014071">
        <w:rPr>
          <w:rFonts w:ascii="Times New Roman" w:hAnsi="Times New Roman"/>
          <w:sz w:val="24"/>
          <w:szCs w:val="24"/>
        </w:rPr>
        <w:t>,</w:t>
      </w:r>
      <w:r w:rsidRPr="004A0870">
        <w:rPr>
          <w:rFonts w:ascii="Times New Roman" w:hAnsi="Times New Roman"/>
          <w:sz w:val="24"/>
          <w:szCs w:val="24"/>
        </w:rPr>
        <w:t xml:space="preserve"> по-прежнему</w:t>
      </w:r>
      <w:r w:rsidR="00014071">
        <w:rPr>
          <w:rFonts w:ascii="Times New Roman" w:hAnsi="Times New Roman"/>
          <w:sz w:val="24"/>
          <w:szCs w:val="24"/>
        </w:rPr>
        <w:t>,</w:t>
      </w:r>
      <w:r w:rsidRPr="004A0870">
        <w:rPr>
          <w:rFonts w:ascii="Times New Roman" w:hAnsi="Times New Roman"/>
          <w:sz w:val="24"/>
          <w:szCs w:val="24"/>
        </w:rPr>
        <w:t xml:space="preserve"> будет осуществляться ведущими предприятиями автомобильной и химической промышленности. Тем не менее, доля </w:t>
      </w:r>
      <w:r w:rsidR="004802DC">
        <w:rPr>
          <w:rFonts w:ascii="Times New Roman" w:hAnsi="Times New Roman"/>
          <w:sz w:val="24"/>
          <w:szCs w:val="24"/>
        </w:rPr>
        <w:t>инвестиций в</w:t>
      </w:r>
      <w:r w:rsidRPr="004A0870">
        <w:rPr>
          <w:rFonts w:ascii="Times New Roman" w:hAnsi="Times New Roman"/>
          <w:sz w:val="24"/>
          <w:szCs w:val="24"/>
        </w:rPr>
        <w:t xml:space="preserve"> других секторах экономики</w:t>
      </w:r>
      <w:r w:rsidR="004802DC">
        <w:rPr>
          <w:rFonts w:ascii="Times New Roman" w:hAnsi="Times New Roman"/>
          <w:sz w:val="24"/>
          <w:szCs w:val="24"/>
        </w:rPr>
        <w:t xml:space="preserve"> будет постепенно увеличиваться</w:t>
      </w:r>
      <w:r w:rsidRPr="004A0870">
        <w:rPr>
          <w:rFonts w:ascii="Times New Roman" w:hAnsi="Times New Roman"/>
          <w:sz w:val="24"/>
          <w:szCs w:val="24"/>
        </w:rPr>
        <w:t>.</w:t>
      </w:r>
    </w:p>
    <w:p w:rsidR="005A052E" w:rsidRPr="004A0870" w:rsidRDefault="005A052E" w:rsidP="005365B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4A0870">
        <w:rPr>
          <w:rFonts w:ascii="Times New Roman" w:hAnsi="Times New Roman"/>
          <w:sz w:val="24"/>
          <w:szCs w:val="24"/>
          <w:lang w:eastAsia="zh-CN"/>
        </w:rPr>
        <w:t xml:space="preserve">Кроме того, росту инвестиций в экономику городского округа в 2018 – 2020 годы будет способствовать реализация мер, направленных на упрощение административных процедур на всех стадиях строительства, создание объектов инвестиционной и инновационной инфраструктуры, использование механизмов государственно-частного партнерства для реализации социально-значимых проектов. </w:t>
      </w:r>
    </w:p>
    <w:p w:rsidR="005A052E" w:rsidRPr="004A0870" w:rsidRDefault="005A052E" w:rsidP="005365B8">
      <w:pPr>
        <w:pStyle w:val="af1"/>
        <w:tabs>
          <w:tab w:val="num" w:pos="0"/>
        </w:tabs>
        <w:spacing w:line="276" w:lineRule="auto"/>
        <w:ind w:firstLine="692"/>
        <w:rPr>
          <w:sz w:val="24"/>
          <w:szCs w:val="24"/>
          <w:lang w:eastAsia="zh-CN"/>
        </w:rPr>
      </w:pPr>
      <w:r w:rsidRPr="004A0870">
        <w:rPr>
          <w:sz w:val="24"/>
          <w:szCs w:val="24"/>
          <w:lang w:eastAsia="zh-CN"/>
        </w:rPr>
        <w:t xml:space="preserve">При этом, учтены и </w:t>
      </w:r>
      <w:r w:rsidR="00014071">
        <w:rPr>
          <w:sz w:val="24"/>
          <w:szCs w:val="24"/>
          <w:lang w:eastAsia="zh-CN"/>
        </w:rPr>
        <w:t xml:space="preserve">возможные </w:t>
      </w:r>
      <w:r w:rsidRPr="004A0870">
        <w:rPr>
          <w:sz w:val="24"/>
          <w:szCs w:val="24"/>
          <w:lang w:eastAsia="zh-CN"/>
        </w:rPr>
        <w:t xml:space="preserve">негативные факторы такие, как </w:t>
      </w:r>
      <w:r w:rsidR="00B1386F" w:rsidRPr="00B1386F">
        <w:rPr>
          <w:sz w:val="24"/>
          <w:szCs w:val="24"/>
          <w:lang w:eastAsia="zh-CN"/>
        </w:rPr>
        <w:t xml:space="preserve">нехватка финансовых ресурсов, </w:t>
      </w:r>
      <w:r w:rsidR="00B1386F">
        <w:rPr>
          <w:sz w:val="24"/>
          <w:szCs w:val="24"/>
          <w:lang w:eastAsia="zh-CN"/>
        </w:rPr>
        <w:t xml:space="preserve">в том числе бюджетных, </w:t>
      </w:r>
      <w:r w:rsidR="00B1386F" w:rsidRPr="00B1386F">
        <w:rPr>
          <w:sz w:val="24"/>
          <w:szCs w:val="24"/>
          <w:lang w:eastAsia="zh-CN"/>
        </w:rPr>
        <w:t>направляемых на инвестирование, кредитные риски (высокие процентные ставки и низкая доступность кре</w:t>
      </w:r>
      <w:r w:rsidR="00B1386F">
        <w:rPr>
          <w:sz w:val="24"/>
          <w:szCs w:val="24"/>
          <w:lang w:eastAsia="zh-CN"/>
        </w:rPr>
        <w:t>дитов), у</w:t>
      </w:r>
      <w:r w:rsidRPr="004A0870">
        <w:rPr>
          <w:sz w:val="24"/>
          <w:szCs w:val="24"/>
          <w:lang w:eastAsia="zh-CN"/>
        </w:rPr>
        <w:t>дорожание импортируемых инвестиционных товаров</w:t>
      </w:r>
      <w:r w:rsidR="00B1386F">
        <w:rPr>
          <w:sz w:val="24"/>
          <w:szCs w:val="24"/>
          <w:lang w:eastAsia="zh-CN"/>
        </w:rPr>
        <w:t>.</w:t>
      </w:r>
      <w:r w:rsidRPr="004A0870">
        <w:rPr>
          <w:sz w:val="24"/>
          <w:szCs w:val="24"/>
          <w:lang w:eastAsia="zh-CN"/>
        </w:rPr>
        <w:t xml:space="preserve"> </w:t>
      </w:r>
    </w:p>
    <w:p w:rsidR="00731516" w:rsidRDefault="00731516" w:rsidP="005365B8">
      <w:pPr>
        <w:pStyle w:val="aa"/>
        <w:widowControl w:val="0"/>
        <w:spacing w:before="0" w:after="0" w:line="276" w:lineRule="auto"/>
        <w:ind w:firstLine="720"/>
        <w:jc w:val="both"/>
      </w:pPr>
      <w:r w:rsidRPr="00C6225A">
        <w:t xml:space="preserve">В сфере </w:t>
      </w:r>
      <w:r w:rsidRPr="00C6225A">
        <w:rPr>
          <w:b/>
        </w:rPr>
        <w:t>жилищной политики</w:t>
      </w:r>
      <w:r w:rsidRPr="00C6225A">
        <w:t xml:space="preserve"> на территории городского округа Тольятти по первому варианту прогноза ожидается замедление темпов вводимого в эксплуатацию жилья.</w:t>
      </w:r>
      <w:r w:rsidRPr="00C6225A">
        <w:rPr>
          <w:lang w:eastAsia="ru-RU"/>
        </w:rPr>
        <w:t xml:space="preserve"> </w:t>
      </w:r>
      <w:r w:rsidRPr="00C6225A">
        <w:t xml:space="preserve">Причинами этого являются: нестабильная экономическая ситуация, падение спроса </w:t>
      </w:r>
      <w:r w:rsidRPr="00C6225A">
        <w:lastRenderedPageBreak/>
        <w:t xml:space="preserve">на приобретение жилья, повышение тарифов на </w:t>
      </w:r>
      <w:proofErr w:type="spellStart"/>
      <w:r w:rsidRPr="00C6225A">
        <w:t>техприсоединение</w:t>
      </w:r>
      <w:proofErr w:type="spellEnd"/>
      <w:r w:rsidRPr="00C6225A">
        <w:t xml:space="preserve"> объектов к системам коммунальной инфраструктуры. </w:t>
      </w:r>
    </w:p>
    <w:p w:rsidR="00731516" w:rsidRPr="00C6225A" w:rsidRDefault="00731516" w:rsidP="005365B8">
      <w:pPr>
        <w:pStyle w:val="aa"/>
        <w:widowControl w:val="0"/>
        <w:spacing w:before="0" w:after="0" w:line="276" w:lineRule="auto"/>
        <w:ind w:firstLine="720"/>
        <w:jc w:val="both"/>
      </w:pPr>
      <w:r w:rsidRPr="00C6225A">
        <w:t>В результате, до 2020 года объем ввода в эксплуатацию общей площади жилых домов (квартир) (с учетом индивидуальных построек) снизится к уровню 2017 года на 25,9 % и составит 100,0 тыс. кв. м.</w:t>
      </w:r>
    </w:p>
    <w:p w:rsidR="00731516" w:rsidRDefault="00731516" w:rsidP="005365B8">
      <w:pPr>
        <w:pStyle w:val="aa"/>
        <w:widowControl w:val="0"/>
        <w:spacing w:before="0" w:after="0" w:line="276" w:lineRule="auto"/>
        <w:ind w:firstLine="720"/>
        <w:jc w:val="both"/>
      </w:pPr>
      <w:r w:rsidRPr="004C2EF8">
        <w:t xml:space="preserve">По второму варианту прогнозируется увеличение объема ввода в эксплуатацию общей площади жилых домов (квартир) (с учетом индивидуальных построек): в 2018 году значение показателя ввода жилья составит 170,0 тыс. кв. м </w:t>
      </w:r>
      <w:r w:rsidRPr="00266EBF">
        <w:t xml:space="preserve">и останется на данном уровне до 2020 года. </w:t>
      </w:r>
    </w:p>
    <w:p w:rsidR="00731516" w:rsidRPr="004C2EF8" w:rsidRDefault="00731516" w:rsidP="005365B8">
      <w:pPr>
        <w:pStyle w:val="aa"/>
        <w:widowControl w:val="0"/>
        <w:spacing w:before="0" w:after="0" w:line="276" w:lineRule="auto"/>
        <w:ind w:firstLine="720"/>
        <w:jc w:val="both"/>
      </w:pPr>
      <w:r w:rsidRPr="004C2EF8">
        <w:t>К концу 2020 года по второму варианту прогноза прирост вводимого объема жилья составит 25,9 % к 2017 году.</w:t>
      </w:r>
    </w:p>
    <w:p w:rsidR="00731516" w:rsidRPr="00266EBF" w:rsidRDefault="004802DC" w:rsidP="005365B8">
      <w:pPr>
        <w:pStyle w:val="aa"/>
        <w:widowControl w:val="0"/>
        <w:spacing w:before="0" w:after="0" w:line="276" w:lineRule="auto"/>
        <w:ind w:firstLine="720"/>
        <w:jc w:val="both"/>
      </w:pPr>
      <w:r>
        <w:t>В</w:t>
      </w:r>
      <w:r w:rsidR="00731516" w:rsidRPr="00266EBF">
        <w:t>ыполнение текущих обязательств государства по обеспечению жи</w:t>
      </w:r>
      <w:r>
        <w:t>льем льготных категорий граждан и</w:t>
      </w:r>
      <w:r w:rsidR="00731516" w:rsidRPr="00266EBF">
        <w:t xml:space="preserve"> совершенствование нормативной и правовой базы реализации жилищной политики</w:t>
      </w:r>
      <w:r>
        <w:t xml:space="preserve"> - приоритетные </w:t>
      </w:r>
      <w:r w:rsidRPr="00266EBF">
        <w:t>направления в жилищной политике в прогнозном периоде</w:t>
      </w:r>
      <w:r w:rsidR="00731516" w:rsidRPr="00266EBF">
        <w:t>.</w:t>
      </w:r>
    </w:p>
    <w:p w:rsidR="00731516" w:rsidRPr="00266EBF" w:rsidRDefault="00E600BE" w:rsidP="005365B8">
      <w:pPr>
        <w:pStyle w:val="aa"/>
        <w:widowControl w:val="0"/>
        <w:spacing w:before="0" w:after="0" w:line="276" w:lineRule="auto"/>
        <w:ind w:firstLine="720"/>
        <w:jc w:val="both"/>
      </w:pPr>
      <w:r>
        <w:t>П</w:t>
      </w:r>
      <w:r w:rsidR="00731516" w:rsidRPr="00266EBF">
        <w:t>родолжится реализация жилищной политики в области обеспечения прав на улучшение жилищных условий льготных категорий граждан в рамках федеральной целевой программы «Жилище» на 2015-2020 годы</w:t>
      </w:r>
      <w:r w:rsidR="00014071">
        <w:t>.</w:t>
      </w:r>
      <w:r w:rsidR="00731516" w:rsidRPr="00266EBF">
        <w:t xml:space="preserve"> </w:t>
      </w:r>
    </w:p>
    <w:p w:rsidR="00731516" w:rsidRPr="004C2EF8" w:rsidRDefault="00731516" w:rsidP="005365B8">
      <w:pPr>
        <w:pStyle w:val="aa"/>
        <w:widowControl w:val="0"/>
        <w:spacing w:before="0" w:after="0" w:line="276" w:lineRule="auto"/>
        <w:ind w:firstLine="720"/>
        <w:jc w:val="both"/>
      </w:pPr>
      <w:proofErr w:type="gramStart"/>
      <w:r w:rsidRPr="004C2EF8">
        <w:t>В целях реализации жилищной политики в направлении обеспечения прав граждан на приобретение жилья экономического класса, строящегося или построенного на территории Самарской области, утверждено Постановление Правительства Самарской области от 10.07.2014 №386 «Об обеспечении реализации на территории Самарской области программы «Жилье для российской семьи» в рамках государственной программы РФ «Обеспечение доступным и комфортным жильем и коммунальными услугами граждан Российской Федерации», утвержденной постановлением</w:t>
      </w:r>
      <w:proofErr w:type="gramEnd"/>
      <w:r w:rsidRPr="004C2EF8">
        <w:t xml:space="preserve"> Правительства РФ от 15.04.2014 №323».</w:t>
      </w:r>
    </w:p>
    <w:p w:rsidR="00731516" w:rsidRPr="004C2EF8" w:rsidRDefault="00731516" w:rsidP="005365B8">
      <w:pPr>
        <w:pStyle w:val="aa"/>
        <w:widowControl w:val="0"/>
        <w:spacing w:before="0" w:after="0" w:line="276" w:lineRule="auto"/>
        <w:ind w:firstLine="720"/>
        <w:jc w:val="both"/>
      </w:pPr>
      <w:r w:rsidRPr="004C2EF8">
        <w:t xml:space="preserve">Планируется продолжить мероприятия по завершению строительства и вводу в эксплуатацию проблемных объектов жилищного строительства. </w:t>
      </w:r>
    </w:p>
    <w:p w:rsidR="00381D2B" w:rsidRDefault="00381D2B" w:rsidP="00381D2B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4525F" w:rsidRPr="00C8576C" w:rsidRDefault="0024525F" w:rsidP="003F5855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8576C">
        <w:rPr>
          <w:rFonts w:ascii="Times New Roman" w:hAnsi="Times New Roman"/>
          <w:b/>
          <w:sz w:val="24"/>
          <w:szCs w:val="24"/>
          <w:lang w:eastAsia="ar-SA"/>
        </w:rPr>
        <w:t>Финансы (сводный финансовый баланс)</w:t>
      </w:r>
    </w:p>
    <w:p w:rsidR="00DA49F2" w:rsidRPr="00F0587E" w:rsidRDefault="00DA49F2" w:rsidP="005365B8">
      <w:pPr>
        <w:pStyle w:val="aa"/>
        <w:widowControl w:val="0"/>
        <w:numPr>
          <w:ilvl w:val="0"/>
          <w:numId w:val="2"/>
        </w:numPr>
        <w:tabs>
          <w:tab w:val="clear" w:pos="0"/>
          <w:tab w:val="num" w:pos="720"/>
        </w:tabs>
        <w:spacing w:before="0" w:after="0" w:line="276" w:lineRule="auto"/>
        <w:ind w:left="0" w:firstLine="720"/>
        <w:jc w:val="both"/>
      </w:pPr>
      <w:r w:rsidRPr="003F5855">
        <w:t>Прогноз финансов</w:t>
      </w:r>
      <w:r>
        <w:t xml:space="preserve"> </w:t>
      </w:r>
      <w:r w:rsidRPr="003F5855">
        <w:t>(сводного финансового баланса) городского</w:t>
      </w:r>
      <w:r w:rsidRPr="00F0587E">
        <w:t xml:space="preserve"> округа Тольятти включает в себя:</w:t>
      </w:r>
    </w:p>
    <w:p w:rsidR="00DA49F2" w:rsidRPr="00F0587E" w:rsidRDefault="00DA49F2" w:rsidP="005365B8">
      <w:pPr>
        <w:pStyle w:val="aa"/>
        <w:widowControl w:val="0"/>
        <w:numPr>
          <w:ilvl w:val="0"/>
          <w:numId w:val="2"/>
        </w:numPr>
        <w:tabs>
          <w:tab w:val="clear" w:pos="0"/>
          <w:tab w:val="num" w:pos="720"/>
        </w:tabs>
        <w:spacing w:before="0" w:after="0" w:line="276" w:lineRule="auto"/>
        <w:ind w:left="0" w:firstLine="720"/>
        <w:jc w:val="both"/>
      </w:pPr>
      <w:proofErr w:type="gramStart"/>
      <w:r w:rsidRPr="00F0587E">
        <w:t>- прогноз доходов сводного финансового баланса (далее – СФ</w:t>
      </w:r>
      <w:r>
        <w:t>Б</w:t>
      </w:r>
      <w:r w:rsidRPr="00F0587E">
        <w:t xml:space="preserve">) - финансовых ресурсов, формируемых на территории городского округа Тольятти и включающих в себя: средства организаций, не относящихся к субъектам малого предпринимательства (прибыль и амортизационные отчисления), </w:t>
      </w:r>
      <w:r>
        <w:t>поступлений в бюджеты всех уровней (</w:t>
      </w:r>
      <w:r w:rsidRPr="00F0587E">
        <w:t xml:space="preserve">налоговые и неналоговые доходы, прочие поступления в федеральный, </w:t>
      </w:r>
      <w:r>
        <w:t xml:space="preserve">областной бюджеты и бюджет городского округа), </w:t>
      </w:r>
      <w:r w:rsidRPr="00F0587E">
        <w:t xml:space="preserve">а также </w:t>
      </w:r>
      <w:r>
        <w:t>страховых взносов в</w:t>
      </w:r>
      <w:r w:rsidRPr="00F0587E">
        <w:t xml:space="preserve"> государственны</w:t>
      </w:r>
      <w:r>
        <w:t>е</w:t>
      </w:r>
      <w:r w:rsidRPr="00F0587E">
        <w:t xml:space="preserve"> внебюджетны</w:t>
      </w:r>
      <w:r>
        <w:t>е</w:t>
      </w:r>
      <w:r w:rsidRPr="00F0587E">
        <w:t xml:space="preserve"> фонд</w:t>
      </w:r>
      <w:r>
        <w:t>ы;</w:t>
      </w:r>
      <w:r w:rsidRPr="00F0587E">
        <w:t xml:space="preserve"> </w:t>
      </w:r>
      <w:proofErr w:type="gramEnd"/>
    </w:p>
    <w:p w:rsidR="00DA49F2" w:rsidRDefault="00DA49F2" w:rsidP="005365B8">
      <w:pPr>
        <w:pStyle w:val="aa"/>
        <w:widowControl w:val="0"/>
        <w:numPr>
          <w:ilvl w:val="0"/>
          <w:numId w:val="2"/>
        </w:numPr>
        <w:tabs>
          <w:tab w:val="clear" w:pos="0"/>
          <w:tab w:val="num" w:pos="720"/>
        </w:tabs>
        <w:spacing w:before="0" w:after="0" w:line="276" w:lineRule="auto"/>
        <w:ind w:left="0" w:firstLine="720"/>
        <w:jc w:val="both"/>
      </w:pPr>
      <w:proofErr w:type="gramStart"/>
      <w:r w:rsidRPr="00F0587E">
        <w:t>- прогноз расходов СФ</w:t>
      </w:r>
      <w:r>
        <w:t>Б</w:t>
      </w:r>
      <w:r w:rsidRPr="00F0587E">
        <w:t xml:space="preserve"> – расходов, осуществляемы</w:t>
      </w:r>
      <w:r>
        <w:t>х</w:t>
      </w:r>
      <w:r w:rsidRPr="00F0587E">
        <w:t xml:space="preserve"> на территории городского округа Тольятти за счет средств, отражаемых в доходной части баланса финансовых ресурсов</w:t>
      </w:r>
      <w:r>
        <w:t xml:space="preserve">, за исключением расходов федерального и областного бюджетов на обеспечение деятельности государственных </w:t>
      </w:r>
      <w:r w:rsidRPr="000F750F">
        <w:t>учреждений и территориальных подразделений органов федеральной власти, расположенных на территории городского округа</w:t>
      </w:r>
      <w:r>
        <w:t xml:space="preserve">, в связи с отсутствием за ряд лет документов, подтверждающих данные расходы и необходимостью </w:t>
      </w:r>
      <w:r>
        <w:lastRenderedPageBreak/>
        <w:t>размещения прогноза в ГАС</w:t>
      </w:r>
      <w:proofErr w:type="gramEnd"/>
      <w:r>
        <w:t xml:space="preserve"> «Управление» (ранее в целях составления СФБ расходы рассчитывались методом индексации); </w:t>
      </w:r>
    </w:p>
    <w:p w:rsidR="00DA49F2" w:rsidRDefault="00DA49F2" w:rsidP="005365B8">
      <w:pPr>
        <w:pStyle w:val="aa"/>
        <w:widowControl w:val="0"/>
        <w:numPr>
          <w:ilvl w:val="0"/>
          <w:numId w:val="2"/>
        </w:numPr>
        <w:tabs>
          <w:tab w:val="clear" w:pos="0"/>
          <w:tab w:val="num" w:pos="720"/>
        </w:tabs>
        <w:spacing w:before="0" w:after="0" w:line="276" w:lineRule="auto"/>
        <w:ind w:left="0" w:firstLine="720"/>
        <w:jc w:val="both"/>
      </w:pPr>
      <w:proofErr w:type="gramStart"/>
      <w:r>
        <w:t>- прогноз сальдо взаиморасчетов между уровнями бюджета – разницу, между средствами, направленными на федеральный и областной уровни бюджета и средствами, полученными с федерального и областного уровней бюджета, включающую доходы, не распределенные на расходы (увеличивают сальдо в положительную сторону);</w:t>
      </w:r>
      <w:proofErr w:type="gramEnd"/>
    </w:p>
    <w:p w:rsidR="00DA49F2" w:rsidRPr="00F0587E" w:rsidRDefault="00DA49F2" w:rsidP="005365B8">
      <w:pPr>
        <w:pStyle w:val="aa"/>
        <w:widowControl w:val="0"/>
        <w:numPr>
          <w:ilvl w:val="0"/>
          <w:numId w:val="2"/>
        </w:numPr>
        <w:tabs>
          <w:tab w:val="clear" w:pos="0"/>
          <w:tab w:val="num" w:pos="720"/>
        </w:tabs>
        <w:spacing w:before="0" w:after="0" w:line="276" w:lineRule="auto"/>
        <w:ind w:left="0" w:firstLine="720"/>
        <w:jc w:val="both"/>
      </w:pPr>
      <w:r w:rsidRPr="00F0587E">
        <w:t>- прогноз</w:t>
      </w:r>
      <w:r>
        <w:t xml:space="preserve"> превышения доходов над расходами (</w:t>
      </w:r>
      <w:proofErr w:type="spellStart"/>
      <w:r w:rsidRPr="00F0587E">
        <w:t>профицита</w:t>
      </w:r>
      <w:proofErr w:type="spellEnd"/>
      <w:r>
        <w:t>) или расходов над доходами</w:t>
      </w:r>
      <w:r w:rsidRPr="00F0587E">
        <w:t xml:space="preserve"> (дефицита) СФ</w:t>
      </w:r>
      <w:r>
        <w:t>Б</w:t>
      </w:r>
      <w:r w:rsidRPr="00F0587E">
        <w:t>.</w:t>
      </w:r>
    </w:p>
    <w:p w:rsidR="00DA49F2" w:rsidRDefault="00DA49F2" w:rsidP="005365B8">
      <w:pPr>
        <w:pStyle w:val="aa"/>
        <w:widowControl w:val="0"/>
        <w:numPr>
          <w:ilvl w:val="0"/>
          <w:numId w:val="2"/>
        </w:numPr>
        <w:tabs>
          <w:tab w:val="clear" w:pos="0"/>
          <w:tab w:val="num" w:pos="720"/>
        </w:tabs>
        <w:spacing w:before="0" w:after="0" w:line="276" w:lineRule="auto"/>
        <w:ind w:left="0" w:firstLine="720"/>
        <w:jc w:val="both"/>
      </w:pPr>
      <w:r>
        <w:t xml:space="preserve">В прогнозном периоде (по 1 варианту прогноза) финансовая сфера городского округа Тольятти будет испытывать ограничения в бюджетной сфере, обусловленные медленным ростом доходов в местный бюджет, основным наполнением которого является налог на доходы физических лиц (НДФЛ), </w:t>
      </w:r>
      <w:proofErr w:type="gramStart"/>
      <w:r>
        <w:t>динамика</w:t>
      </w:r>
      <w:proofErr w:type="gramEnd"/>
      <w:r>
        <w:t xml:space="preserve"> которого не будет расти интенсивно без </w:t>
      </w:r>
      <w:r w:rsidR="0075606D">
        <w:t>соответствующего</w:t>
      </w:r>
      <w:r>
        <w:t xml:space="preserve"> роста численности официально трудоустроенных работников и размеров заработной платы.</w:t>
      </w:r>
    </w:p>
    <w:p w:rsidR="00DA49F2" w:rsidRDefault="00DA49F2" w:rsidP="005365B8">
      <w:pPr>
        <w:pStyle w:val="aa"/>
        <w:widowControl w:val="0"/>
        <w:numPr>
          <w:ilvl w:val="0"/>
          <w:numId w:val="2"/>
        </w:numPr>
        <w:tabs>
          <w:tab w:val="clear" w:pos="0"/>
          <w:tab w:val="num" w:pos="720"/>
        </w:tabs>
        <w:spacing w:before="0" w:after="0" w:line="276" w:lineRule="auto"/>
        <w:ind w:left="0" w:firstLine="720"/>
        <w:jc w:val="both"/>
      </w:pPr>
      <w:r>
        <w:t xml:space="preserve">Сальдированный финансовый результат деятельности организаций городского округа в прогнозном периоде будет </w:t>
      </w:r>
      <w:proofErr w:type="gramStart"/>
      <w:r>
        <w:t>находится</w:t>
      </w:r>
      <w:proofErr w:type="gramEnd"/>
      <w:r>
        <w:t xml:space="preserve"> в положительной зоне. Однако</w:t>
      </w:r>
      <w:proofErr w:type="gramStart"/>
      <w:r>
        <w:t>,</w:t>
      </w:r>
      <w:proofErr w:type="gramEnd"/>
      <w:r>
        <w:t xml:space="preserve"> динамика прибыли будет сдерживаться незначительным ростом прибыли экспортно-ориентированных химических производств под влиянием неблагоприятных внешнеэкономических факторов (ростом конкуренции в странах-импортерах, затянувшимся снижением цен на удобрения на мировом рынке) и отсутствием резкого роста курса инвалюты. Размер убытка организаций городского округа будет зависеть от </w:t>
      </w:r>
      <w:r w:rsidR="00C12EC7">
        <w:t>результатов</w:t>
      </w:r>
      <w:r>
        <w:t xml:space="preserve"> выполн</w:t>
      </w:r>
      <w:r w:rsidR="00C12EC7">
        <w:t>ения</w:t>
      </w:r>
      <w:r>
        <w:t xml:space="preserve"> </w:t>
      </w:r>
      <w:r w:rsidR="00C12EC7">
        <w:t xml:space="preserve">градообразующим предприятием </w:t>
      </w:r>
      <w:r>
        <w:t>программ</w:t>
      </w:r>
      <w:r w:rsidR="00C12EC7">
        <w:t>ы</w:t>
      </w:r>
      <w:r>
        <w:t xml:space="preserve"> по снижению затрат, повышению производительности труда, локализации производства. </w:t>
      </w:r>
    </w:p>
    <w:p w:rsidR="00DA49F2" w:rsidRPr="00DD44A8" w:rsidRDefault="00DA49F2" w:rsidP="005365B8">
      <w:pPr>
        <w:pStyle w:val="aa"/>
        <w:widowControl w:val="0"/>
        <w:numPr>
          <w:ilvl w:val="0"/>
          <w:numId w:val="2"/>
        </w:numPr>
        <w:tabs>
          <w:tab w:val="clear" w:pos="0"/>
          <w:tab w:val="num" w:pos="720"/>
        </w:tabs>
        <w:spacing w:before="0" w:after="0" w:line="276" w:lineRule="auto"/>
        <w:ind w:left="0" w:firstLine="720"/>
        <w:jc w:val="both"/>
      </w:pPr>
      <w:proofErr w:type="gramStart"/>
      <w:r>
        <w:t xml:space="preserve">При расчете второго, целевого варианта прогноза СФБ, предусмотрен более высокий положительный налоговый эффект от создания в Тольятти </w:t>
      </w:r>
      <w:r w:rsidR="00C12EC7">
        <w:t>«</w:t>
      </w:r>
      <w:r>
        <w:t>ТОСЭР</w:t>
      </w:r>
      <w:r w:rsidR="00C12EC7">
        <w:t>»</w:t>
      </w:r>
      <w:r>
        <w:t>, в частности при прогнозе поступлений налога на доходы физических лиц (НДФЛ), а также учтены расходы федерального и областного бюджета, предусмотренные Планом основных мероприятий по подготовке и проведению празднования 50-летия выпуска первого легкового автомобиля ВАЗ в г.о. Тольятти, не вошедшие в муниципальные</w:t>
      </w:r>
      <w:proofErr w:type="gramEnd"/>
      <w:r>
        <w:t xml:space="preserve"> программы городского округа.</w:t>
      </w:r>
    </w:p>
    <w:p w:rsidR="00DA49F2" w:rsidRDefault="00DA49F2" w:rsidP="005365B8">
      <w:pPr>
        <w:pStyle w:val="aa"/>
        <w:widowControl w:val="0"/>
        <w:numPr>
          <w:ilvl w:val="0"/>
          <w:numId w:val="2"/>
        </w:numPr>
        <w:tabs>
          <w:tab w:val="clear" w:pos="0"/>
          <w:tab w:val="num" w:pos="720"/>
        </w:tabs>
        <w:spacing w:before="0" w:after="0" w:line="276" w:lineRule="auto"/>
        <w:ind w:left="0" w:firstLine="720"/>
        <w:jc w:val="both"/>
      </w:pPr>
      <w:r w:rsidRPr="00F0587E">
        <w:t xml:space="preserve">Общий </w:t>
      </w:r>
      <w:r>
        <w:t>объем</w:t>
      </w:r>
      <w:r w:rsidRPr="00F0587E">
        <w:t xml:space="preserve"> доходов СФ</w:t>
      </w:r>
      <w:r>
        <w:t xml:space="preserve">Б </w:t>
      </w:r>
      <w:r w:rsidRPr="00F0587E">
        <w:t>городского округа Тольятти</w:t>
      </w:r>
      <w:r>
        <w:t xml:space="preserve"> (с учетом сальдо финансовых взаимоотношений с вышестоящими уровнями власти)</w:t>
      </w:r>
      <w:r w:rsidRPr="00F0587E">
        <w:t xml:space="preserve"> к концу прогноз</w:t>
      </w:r>
      <w:r>
        <w:t>ного</w:t>
      </w:r>
      <w:r w:rsidRPr="00F0587E">
        <w:t xml:space="preserve"> периода по первому варианту прогноза составит </w:t>
      </w:r>
      <w:r>
        <w:t>133 274</w:t>
      </w:r>
      <w:r w:rsidRPr="00F0587E">
        <w:t xml:space="preserve"> млн. руб. (+</w:t>
      </w:r>
      <w:r>
        <w:t> 19,6 </w:t>
      </w:r>
      <w:r w:rsidRPr="00F0587E">
        <w:t>% к уровню 201</w:t>
      </w:r>
      <w:r>
        <w:t>7</w:t>
      </w:r>
      <w:r w:rsidRPr="00F0587E">
        <w:t xml:space="preserve"> года), по второму варианту прогноза –</w:t>
      </w:r>
      <w:r>
        <w:t xml:space="preserve"> 144 934 </w:t>
      </w:r>
      <w:r w:rsidRPr="00F0587E">
        <w:t>млн. руб. (+ </w:t>
      </w:r>
      <w:r>
        <w:t>30,1</w:t>
      </w:r>
      <w:r w:rsidRPr="00F0587E">
        <w:t xml:space="preserve"> % к уровню 201</w:t>
      </w:r>
      <w:r>
        <w:t>7</w:t>
      </w:r>
      <w:r w:rsidRPr="00F0587E">
        <w:t xml:space="preserve"> года). </w:t>
      </w:r>
    </w:p>
    <w:p w:rsidR="00DA49F2" w:rsidRDefault="00DA49F2" w:rsidP="005365B8">
      <w:pPr>
        <w:pStyle w:val="aa"/>
        <w:widowControl w:val="0"/>
        <w:numPr>
          <w:ilvl w:val="0"/>
          <w:numId w:val="2"/>
        </w:numPr>
        <w:tabs>
          <w:tab w:val="clear" w:pos="0"/>
          <w:tab w:val="num" w:pos="720"/>
        </w:tabs>
        <w:spacing w:before="0" w:after="0" w:line="276" w:lineRule="auto"/>
        <w:ind w:left="0" w:firstLine="720"/>
        <w:jc w:val="both"/>
      </w:pPr>
      <w:r w:rsidRPr="003B2D82">
        <w:t>Прибыль</w:t>
      </w:r>
      <w:r>
        <w:t xml:space="preserve"> прибыльных организаций</w:t>
      </w:r>
      <w:r w:rsidRPr="003B2D82">
        <w:t xml:space="preserve"> до налогообложения (по РСБУ) (далее </w:t>
      </w:r>
      <w:r w:rsidR="00056511">
        <w:t xml:space="preserve">по разделу </w:t>
      </w:r>
      <w:r w:rsidRPr="003B2D82">
        <w:t>– прибыль) организаций</w:t>
      </w:r>
      <w:r>
        <w:t>, не относящихся к субъектам малого предпринимательства,</w:t>
      </w:r>
      <w:r w:rsidRPr="003B2D82">
        <w:t xml:space="preserve"> </w:t>
      </w:r>
      <w:r>
        <w:t>будет расти умеренными темпами, как предусмотрено сценарными условиями социально-экономического развития Самарской области на 2018 год и плановый период 2019-2020 годов. Её прирост за прогнозный период 2018-2020 годов составит 22,3 % по первому варианту прогноза и 28,1 % по второму варианту прогноза с учетом прибыльного результата деятельности ПАО «АВТОВАЗ» в 2020 году.</w:t>
      </w:r>
    </w:p>
    <w:p w:rsidR="00DA49F2" w:rsidRPr="00BE6BAD" w:rsidRDefault="00DA49F2" w:rsidP="005365B8">
      <w:pPr>
        <w:pStyle w:val="aa"/>
        <w:widowControl w:val="0"/>
        <w:numPr>
          <w:ilvl w:val="0"/>
          <w:numId w:val="2"/>
        </w:numPr>
        <w:tabs>
          <w:tab w:val="clear" w:pos="0"/>
          <w:tab w:val="num" w:pos="720"/>
        </w:tabs>
        <w:spacing w:before="0" w:after="0" w:line="276" w:lineRule="auto"/>
        <w:ind w:left="0" w:firstLine="720"/>
        <w:jc w:val="both"/>
      </w:pPr>
      <w:r>
        <w:t>Амортизационные отчисления на полное восстановление основных сре</w:t>
      </w:r>
      <w:proofErr w:type="gramStart"/>
      <w:r>
        <w:t>дств кр</w:t>
      </w:r>
      <w:proofErr w:type="gramEnd"/>
      <w:r>
        <w:t xml:space="preserve">упных и средних </w:t>
      </w:r>
      <w:r w:rsidRPr="00F0587E">
        <w:t xml:space="preserve">организаций городского округа </w:t>
      </w:r>
      <w:r>
        <w:t xml:space="preserve">в 2020 году составят 25 421 млн. руб. по первому варианту прогноза и 26 627 млн. руб. по второму варианту прогноза. Их рост </w:t>
      </w:r>
      <w:r w:rsidRPr="00F0587E">
        <w:lastRenderedPageBreak/>
        <w:t>будет обеспеч</w:t>
      </w:r>
      <w:r>
        <w:t>ен как инвестициями</w:t>
      </w:r>
      <w:r w:rsidRPr="00F0587E">
        <w:t xml:space="preserve"> </w:t>
      </w:r>
      <w:r>
        <w:t>в основные средства действующих организаций, так и вновь вводимыми основными средствами резидентов ТОСЭР</w:t>
      </w:r>
      <w:r w:rsidR="00056511">
        <w:t xml:space="preserve"> «Тольятти»</w:t>
      </w:r>
      <w:r>
        <w:t xml:space="preserve">. </w:t>
      </w:r>
      <w:r w:rsidRPr="00BE6BAD">
        <w:t xml:space="preserve"> </w:t>
      </w:r>
    </w:p>
    <w:p w:rsidR="00DA49F2" w:rsidRDefault="00DA49F2" w:rsidP="005365B8">
      <w:pPr>
        <w:pStyle w:val="aa"/>
        <w:widowControl w:val="0"/>
        <w:numPr>
          <w:ilvl w:val="0"/>
          <w:numId w:val="2"/>
        </w:numPr>
        <w:tabs>
          <w:tab w:val="clear" w:pos="0"/>
          <w:tab w:val="num" w:pos="720"/>
        </w:tabs>
        <w:spacing w:before="0" w:after="0" w:line="276" w:lineRule="auto"/>
        <w:ind w:left="0" w:firstLine="720"/>
        <w:jc w:val="both"/>
      </w:pPr>
      <w:r>
        <w:t>Налоговые доходы СФБ (без учёта налога на прибыль) к концу 2020 года по сравнению с 2017 годом увеличатся на 15,6 % по первому варианту прогноза, на 24,3 % - по второму варианту прогноза, в том числе:</w:t>
      </w:r>
    </w:p>
    <w:p w:rsidR="00DA49F2" w:rsidRPr="00F0587E" w:rsidRDefault="00DA49F2" w:rsidP="005365B8">
      <w:pPr>
        <w:pStyle w:val="aa"/>
        <w:widowControl w:val="0"/>
        <w:numPr>
          <w:ilvl w:val="0"/>
          <w:numId w:val="2"/>
        </w:numPr>
        <w:tabs>
          <w:tab w:val="clear" w:pos="0"/>
          <w:tab w:val="num" w:pos="720"/>
        </w:tabs>
        <w:spacing w:before="0" w:after="0" w:line="276" w:lineRule="auto"/>
        <w:ind w:left="0" w:firstLine="720"/>
        <w:jc w:val="both"/>
      </w:pPr>
      <w:r w:rsidRPr="00F0587E">
        <w:t>- налог на добавленную стоимость</w:t>
      </w:r>
      <w:r>
        <w:t xml:space="preserve"> (НДС)</w:t>
      </w:r>
      <w:r w:rsidRPr="00F0587E">
        <w:t xml:space="preserve">: </w:t>
      </w:r>
      <w:r>
        <w:t>+ 4,9 </w:t>
      </w:r>
      <w:r w:rsidRPr="00F0587E">
        <w:t xml:space="preserve">% и </w:t>
      </w:r>
      <w:r>
        <w:t>+10,1</w:t>
      </w:r>
      <w:r w:rsidRPr="00F0587E">
        <w:t> %</w:t>
      </w:r>
      <w:r>
        <w:t xml:space="preserve"> по вариантам прогноза соответственно, с учетом предполагаемых объемов возмещения НДС из бюджета по экспортным операциям</w:t>
      </w:r>
      <w:r w:rsidRPr="00F0587E">
        <w:t>;</w:t>
      </w:r>
    </w:p>
    <w:p w:rsidR="00DA49F2" w:rsidRPr="004600AB" w:rsidRDefault="00DA49F2" w:rsidP="005365B8">
      <w:pPr>
        <w:pStyle w:val="aa"/>
        <w:widowControl w:val="0"/>
        <w:numPr>
          <w:ilvl w:val="0"/>
          <w:numId w:val="2"/>
        </w:numPr>
        <w:tabs>
          <w:tab w:val="clear" w:pos="0"/>
          <w:tab w:val="num" w:pos="720"/>
        </w:tabs>
        <w:spacing w:before="0" w:after="0" w:line="276" w:lineRule="auto"/>
        <w:ind w:left="0" w:firstLine="720"/>
        <w:jc w:val="both"/>
        <w:rPr>
          <w:highlight w:val="yellow"/>
        </w:rPr>
      </w:pPr>
      <w:proofErr w:type="gramStart"/>
      <w:r w:rsidRPr="00F0587E">
        <w:t>-</w:t>
      </w:r>
      <w:r>
        <w:t xml:space="preserve"> НДФЛ:</w:t>
      </w:r>
      <w:r w:rsidRPr="00F0587E">
        <w:t xml:space="preserve"> + </w:t>
      </w:r>
      <w:r>
        <w:t>15,1</w:t>
      </w:r>
      <w:r w:rsidRPr="00F0587E">
        <w:t xml:space="preserve"> % и + </w:t>
      </w:r>
      <w:r>
        <w:t>24,3</w:t>
      </w:r>
      <w:r w:rsidRPr="00F0587E">
        <w:t xml:space="preserve"> % </w:t>
      </w:r>
      <w:r>
        <w:t xml:space="preserve">в соответствии </w:t>
      </w:r>
      <w:r w:rsidRPr="00F0587E">
        <w:t>с темп</w:t>
      </w:r>
      <w:r>
        <w:t>ами</w:t>
      </w:r>
      <w:r w:rsidRPr="00F0587E">
        <w:t xml:space="preserve"> роста </w:t>
      </w:r>
      <w:r>
        <w:t>фонда оплаты труда, рассчитанного по прогнозным данным о численности занятых в экономике и с</w:t>
      </w:r>
      <w:r w:rsidRPr="002B49F8">
        <w:t>реднемесячн</w:t>
      </w:r>
      <w:r>
        <w:t>ой</w:t>
      </w:r>
      <w:r w:rsidRPr="002B49F8">
        <w:t xml:space="preserve"> начисленн</w:t>
      </w:r>
      <w:r>
        <w:t>ой</w:t>
      </w:r>
      <w:r w:rsidRPr="002B49F8">
        <w:t xml:space="preserve"> заработн</w:t>
      </w:r>
      <w:r>
        <w:t>ой</w:t>
      </w:r>
      <w:r w:rsidRPr="002B49F8">
        <w:t xml:space="preserve"> плат</w:t>
      </w:r>
      <w:r>
        <w:t>е</w:t>
      </w:r>
      <w:r w:rsidRPr="002B49F8">
        <w:t xml:space="preserve"> работников организаций, не относящихся к субъектам малого предпринимательства</w:t>
      </w:r>
      <w:r>
        <w:t>, в том числе: по первому варианту прогноза ожидается рост поступлений НДФЛ на 4,2 %  в 2018 году, на 5,0 % в 2019 году, на 5,2 % в 2020 году</w:t>
      </w:r>
      <w:proofErr w:type="gramEnd"/>
      <w:r w:rsidRPr="00192D8E">
        <w:t>;</w:t>
      </w:r>
      <w:r>
        <w:t xml:space="preserve"> </w:t>
      </w:r>
      <w:proofErr w:type="gramStart"/>
      <w:r>
        <w:t>по второму варианту прогноза - на 7,1 %  в 2018 году, на 7,5 % в 2019 году, на 8,0 % в 2020 году</w:t>
      </w:r>
      <w:r w:rsidRPr="00192D8E">
        <w:t>;</w:t>
      </w:r>
      <w:r>
        <w:t xml:space="preserve"> </w:t>
      </w:r>
      <w:proofErr w:type="gramEnd"/>
    </w:p>
    <w:p w:rsidR="00DA49F2" w:rsidRDefault="00DA49F2" w:rsidP="005365B8">
      <w:pPr>
        <w:pStyle w:val="aa"/>
        <w:widowControl w:val="0"/>
        <w:numPr>
          <w:ilvl w:val="0"/>
          <w:numId w:val="2"/>
        </w:numPr>
        <w:tabs>
          <w:tab w:val="clear" w:pos="0"/>
          <w:tab w:val="num" w:pos="720"/>
        </w:tabs>
        <w:spacing w:before="0" w:after="0" w:line="276" w:lineRule="auto"/>
        <w:ind w:left="0" w:firstLine="720"/>
        <w:jc w:val="both"/>
      </w:pPr>
      <w:r>
        <w:t>- акцизы: + 19,5 % и +49,5 %; с учетом роста производства и реализации легковых автомобилей; предполагаемого роста поступлений акцизов от ООО «</w:t>
      </w:r>
      <w:proofErr w:type="spellStart"/>
      <w:r>
        <w:t>Винзавод</w:t>
      </w:r>
      <w:proofErr w:type="spellEnd"/>
      <w:r>
        <w:t xml:space="preserve"> «Тольяттинский», который в июле 2017 года получил 4 лицензии на производство алкогольной продукции; запланированной на 2020 год индексации ставок акцизов; </w:t>
      </w:r>
    </w:p>
    <w:p w:rsidR="00DA49F2" w:rsidRPr="00F0587E" w:rsidRDefault="00DA49F2" w:rsidP="005365B8">
      <w:pPr>
        <w:pStyle w:val="aa"/>
        <w:widowControl w:val="0"/>
        <w:numPr>
          <w:ilvl w:val="0"/>
          <w:numId w:val="2"/>
        </w:numPr>
        <w:tabs>
          <w:tab w:val="clear" w:pos="0"/>
          <w:tab w:val="num" w:pos="720"/>
        </w:tabs>
        <w:spacing w:before="0" w:after="0" w:line="276" w:lineRule="auto"/>
        <w:ind w:left="0" w:firstLine="720"/>
        <w:jc w:val="both"/>
      </w:pPr>
      <w:r w:rsidRPr="00F0587E">
        <w:t>- налоги на совокупный доход: + </w:t>
      </w:r>
      <w:r>
        <w:t>27,2</w:t>
      </w:r>
      <w:r w:rsidRPr="00F0587E">
        <w:t xml:space="preserve"> % и + </w:t>
      </w:r>
      <w:r>
        <w:t>39,5</w:t>
      </w:r>
      <w:r w:rsidRPr="00F0587E">
        <w:t xml:space="preserve"> % с уч</w:t>
      </w:r>
      <w:r>
        <w:t>е</w:t>
      </w:r>
      <w:r w:rsidRPr="00F0587E">
        <w:t xml:space="preserve">том </w:t>
      </w:r>
      <w:r>
        <w:t xml:space="preserve">умеренного роста поступлений единого налога на вмененный доход; более интенсивного (с ежегодным приростом не менее 10%) налога по упрощенной системе налогообложения и развития </w:t>
      </w:r>
      <w:r w:rsidRPr="00F0587E">
        <w:t>патентн</w:t>
      </w:r>
      <w:r>
        <w:t>ой</w:t>
      </w:r>
      <w:r w:rsidRPr="00F0587E">
        <w:t xml:space="preserve"> систем</w:t>
      </w:r>
      <w:r>
        <w:t>ы</w:t>
      </w:r>
      <w:r w:rsidRPr="00F0587E">
        <w:t xml:space="preserve"> налогообложения</w:t>
      </w:r>
      <w:r>
        <w:t xml:space="preserve"> малого предпринимательства</w:t>
      </w:r>
      <w:r w:rsidRPr="00F0587E">
        <w:t>;</w:t>
      </w:r>
    </w:p>
    <w:p w:rsidR="00DA49F2" w:rsidRPr="00F0587E" w:rsidRDefault="00DA49F2" w:rsidP="005365B8">
      <w:pPr>
        <w:pStyle w:val="aa"/>
        <w:widowControl w:val="0"/>
        <w:numPr>
          <w:ilvl w:val="0"/>
          <w:numId w:val="2"/>
        </w:numPr>
        <w:tabs>
          <w:tab w:val="clear" w:pos="0"/>
          <w:tab w:val="num" w:pos="720"/>
        </w:tabs>
        <w:spacing w:before="0" w:after="0" w:line="276" w:lineRule="auto"/>
        <w:ind w:left="0" w:firstLine="720"/>
        <w:jc w:val="both"/>
      </w:pPr>
      <w:r w:rsidRPr="00DA01EB">
        <w:t xml:space="preserve">- налоги на имущество: + </w:t>
      </w:r>
      <w:r>
        <w:t>19,8</w:t>
      </w:r>
      <w:r w:rsidRPr="00DA01EB">
        <w:t xml:space="preserve"> % и + </w:t>
      </w:r>
      <w:r>
        <w:t>26,1</w:t>
      </w:r>
      <w:r w:rsidRPr="00DA01EB">
        <w:t xml:space="preserve"> % с </w:t>
      </w:r>
      <w:r>
        <w:t>учет</w:t>
      </w:r>
      <w:r w:rsidRPr="00DA01EB">
        <w:t>ом планируемого роста налога на имущество физических лиц</w:t>
      </w:r>
      <w:r>
        <w:t xml:space="preserve"> не менее 20 % в год за счет ежегодного снижения понижающего коэффициента; роста налога на имущества юридических лиц в размере индекса-дефлятора инвестиций; умеренного (в диапазоне 7,5 % - 10,5 %) роста поступлений транспортного налога и</w:t>
      </w:r>
      <w:r w:rsidRPr="00DA01EB">
        <w:t xml:space="preserve"> </w:t>
      </w:r>
      <w:r w:rsidR="00A81B2A">
        <w:t>поступления</w:t>
      </w:r>
      <w:r>
        <w:t xml:space="preserve"> земельного налога </w:t>
      </w:r>
      <w:r w:rsidR="00A81B2A">
        <w:t xml:space="preserve">на уровне 2017 года </w:t>
      </w:r>
      <w:r>
        <w:t>в связи с образованием у ряда налогоплательщиков переплаты налога за счет оспаривания кадастровой стоимости земельных участков;</w:t>
      </w:r>
    </w:p>
    <w:p w:rsidR="00DA49F2" w:rsidRDefault="00DA49F2" w:rsidP="005365B8">
      <w:pPr>
        <w:pStyle w:val="aa"/>
        <w:widowControl w:val="0"/>
        <w:numPr>
          <w:ilvl w:val="0"/>
          <w:numId w:val="2"/>
        </w:numPr>
        <w:tabs>
          <w:tab w:val="clear" w:pos="0"/>
          <w:tab w:val="num" w:pos="720"/>
        </w:tabs>
        <w:spacing w:before="0" w:after="0" w:line="276" w:lineRule="auto"/>
        <w:ind w:left="0" w:firstLine="720"/>
        <w:jc w:val="both"/>
      </w:pPr>
      <w:r w:rsidRPr="00F0587E">
        <w:t xml:space="preserve">- налоги и сборы за пользование природных ресурсов: + </w:t>
      </w:r>
      <w:r>
        <w:t>46,7</w:t>
      </w:r>
      <w:r w:rsidRPr="00F0587E">
        <w:t xml:space="preserve"> % </w:t>
      </w:r>
      <w:r>
        <w:t>по обоим вариантам прогноза с учетом ежегодного роста поступлений водного налога не менее 15 % за счет применения установленных поправочных коэффициентов, используемых при расчете;</w:t>
      </w:r>
    </w:p>
    <w:p w:rsidR="00DA49F2" w:rsidRPr="00F0587E" w:rsidRDefault="00DA49F2" w:rsidP="005365B8">
      <w:pPr>
        <w:pStyle w:val="aa"/>
        <w:widowControl w:val="0"/>
        <w:numPr>
          <w:ilvl w:val="0"/>
          <w:numId w:val="2"/>
        </w:numPr>
        <w:tabs>
          <w:tab w:val="clear" w:pos="0"/>
          <w:tab w:val="num" w:pos="720"/>
        </w:tabs>
        <w:spacing w:before="0" w:after="0" w:line="276" w:lineRule="auto"/>
        <w:ind w:left="0" w:firstLine="720"/>
        <w:jc w:val="both"/>
      </w:pPr>
      <w:r>
        <w:t>- прочие налоговые доходы: + 7,0 % и 10,0% по вариантам прогноза соответственно.</w:t>
      </w:r>
    </w:p>
    <w:p w:rsidR="00DA49F2" w:rsidRPr="00F0587E" w:rsidRDefault="00DA49F2" w:rsidP="005365B8">
      <w:pPr>
        <w:pStyle w:val="aa"/>
        <w:widowControl w:val="0"/>
        <w:numPr>
          <w:ilvl w:val="0"/>
          <w:numId w:val="2"/>
        </w:numPr>
        <w:tabs>
          <w:tab w:val="clear" w:pos="0"/>
          <w:tab w:val="num" w:pos="720"/>
        </w:tabs>
        <w:spacing w:before="0" w:after="0" w:line="276" w:lineRule="auto"/>
        <w:ind w:left="0" w:firstLine="720"/>
        <w:jc w:val="both"/>
      </w:pPr>
      <w:r>
        <w:t xml:space="preserve">Неналоговые доходы СФБ к концу прогнозного периода вырастут по первому варианту прогноза на 7,3 %, по второму варианту прогноза на 14,5 %, в основном, за счет роста доходов от аренды имущества, находящегося в муниципальной собственности, в том числе, индексации ставок аренды. </w:t>
      </w:r>
    </w:p>
    <w:p w:rsidR="00DA49F2" w:rsidRPr="008D22E5" w:rsidRDefault="00DA49F2" w:rsidP="005365B8">
      <w:pPr>
        <w:pStyle w:val="aa"/>
        <w:widowControl w:val="0"/>
        <w:numPr>
          <w:ilvl w:val="0"/>
          <w:numId w:val="2"/>
        </w:numPr>
        <w:tabs>
          <w:tab w:val="clear" w:pos="0"/>
          <w:tab w:val="num" w:pos="720"/>
        </w:tabs>
        <w:spacing w:before="0" w:after="0" w:line="276" w:lineRule="auto"/>
        <w:ind w:left="0" w:firstLine="720"/>
        <w:jc w:val="both"/>
      </w:pPr>
      <w:proofErr w:type="gramStart"/>
      <w:r w:rsidRPr="00727D92">
        <w:t>Прочие доходы,</w:t>
      </w:r>
      <w:r>
        <w:t xml:space="preserve"> включая утилизационный сбор с производителей колесных транспортных средств</w:t>
      </w:r>
      <w:r w:rsidRPr="008D22E5">
        <w:t xml:space="preserve">: + </w:t>
      </w:r>
      <w:r>
        <w:t xml:space="preserve">43,8 </w:t>
      </w:r>
      <w:r w:rsidRPr="008D22E5">
        <w:t xml:space="preserve">% и + </w:t>
      </w:r>
      <w:r>
        <w:t>56,4</w:t>
      </w:r>
      <w:r w:rsidRPr="008D22E5">
        <w:t xml:space="preserve"> %</w:t>
      </w:r>
      <w:r>
        <w:t xml:space="preserve"> с учетом авансированного повышения с 2018 года ставок сбора на 15 % и предполагаемого роста в последующие годы прогнозного периода (с 2016 года ставки сбора индексированы на 65 %, включая сбор на импортируемые автомобили, в целях повышения объемов финансирования программ </w:t>
      </w:r>
      <w:r>
        <w:lastRenderedPageBreak/>
        <w:t xml:space="preserve">поддержки отечественного </w:t>
      </w:r>
      <w:proofErr w:type="spellStart"/>
      <w:r>
        <w:t>автопрома</w:t>
      </w:r>
      <w:proofErr w:type="spellEnd"/>
      <w:r>
        <w:t>)</w:t>
      </w:r>
      <w:r w:rsidRPr="008D22E5">
        <w:t>.</w:t>
      </w:r>
      <w:proofErr w:type="gramEnd"/>
    </w:p>
    <w:p w:rsidR="00DA49F2" w:rsidRPr="00F0587E" w:rsidRDefault="00DA49F2" w:rsidP="005365B8">
      <w:pPr>
        <w:pStyle w:val="aa"/>
        <w:widowControl w:val="0"/>
        <w:numPr>
          <w:ilvl w:val="0"/>
          <w:numId w:val="2"/>
        </w:numPr>
        <w:tabs>
          <w:tab w:val="clear" w:pos="0"/>
          <w:tab w:val="num" w:pos="720"/>
        </w:tabs>
        <w:spacing w:before="0" w:after="0" w:line="276" w:lineRule="auto"/>
        <w:ind w:left="0" w:firstLine="720"/>
        <w:jc w:val="both"/>
      </w:pPr>
      <w:r>
        <w:t>Ро</w:t>
      </w:r>
      <w:proofErr w:type="gramStart"/>
      <w:r>
        <w:t>ст с</w:t>
      </w:r>
      <w:r w:rsidRPr="00F0587E">
        <w:t>тр</w:t>
      </w:r>
      <w:proofErr w:type="gramEnd"/>
      <w:r w:rsidRPr="00F0587E">
        <w:t>аховы</w:t>
      </w:r>
      <w:r>
        <w:t>х</w:t>
      </w:r>
      <w:r w:rsidRPr="00F0587E">
        <w:t xml:space="preserve"> взнос</w:t>
      </w:r>
      <w:r>
        <w:t>ов</w:t>
      </w:r>
      <w:r w:rsidRPr="00F0587E">
        <w:t xml:space="preserve"> на социальные нужды в государственные внебюджетные фонды</w:t>
      </w:r>
      <w:r>
        <w:t xml:space="preserve"> предусмотрен на уровне роста НДФЛ и составит 115,1</w:t>
      </w:r>
      <w:r w:rsidRPr="00F0587E">
        <w:t xml:space="preserve"> % и </w:t>
      </w:r>
      <w:r>
        <w:t>124,3</w:t>
      </w:r>
      <w:r w:rsidRPr="00F0587E">
        <w:t> %</w:t>
      </w:r>
      <w:r>
        <w:t xml:space="preserve"> (2020 / 2017) по вариантам прогноза соответственно в соответствии с прогнозируемыми темпами роста НДФЛ.</w:t>
      </w:r>
    </w:p>
    <w:p w:rsidR="00DA49F2" w:rsidRPr="00F0587E" w:rsidRDefault="00DA49F2" w:rsidP="005365B8">
      <w:pPr>
        <w:pStyle w:val="aa"/>
        <w:widowControl w:val="0"/>
        <w:numPr>
          <w:ilvl w:val="0"/>
          <w:numId w:val="2"/>
        </w:numPr>
        <w:tabs>
          <w:tab w:val="clear" w:pos="0"/>
          <w:tab w:val="num" w:pos="720"/>
        </w:tabs>
        <w:spacing w:before="0" w:after="0" w:line="276" w:lineRule="auto"/>
        <w:ind w:left="0" w:firstLine="720"/>
        <w:jc w:val="both"/>
      </w:pPr>
      <w:r w:rsidRPr="00F0587E">
        <w:t xml:space="preserve">Расходы </w:t>
      </w:r>
      <w:r>
        <w:t>СФБ</w:t>
      </w:r>
      <w:r w:rsidRPr="00F0587E">
        <w:t xml:space="preserve"> по первому варианту прогноза составят </w:t>
      </w:r>
      <w:r>
        <w:t>134 067</w:t>
      </w:r>
      <w:r w:rsidRPr="00F0587E">
        <w:t xml:space="preserve"> млн. руб., по втором</w:t>
      </w:r>
      <w:r>
        <w:t xml:space="preserve">у варианту прогноза </w:t>
      </w:r>
      <w:r w:rsidRPr="00F0587E">
        <w:t xml:space="preserve">– </w:t>
      </w:r>
      <w:r>
        <w:t>145 775</w:t>
      </w:r>
      <w:r w:rsidRPr="00F0587E">
        <w:t xml:space="preserve"> млн. руб. с ростом </w:t>
      </w:r>
      <w:r>
        <w:t>на 19,5 </w:t>
      </w:r>
      <w:r w:rsidRPr="00F0587E">
        <w:t xml:space="preserve">% </w:t>
      </w:r>
      <w:r>
        <w:t xml:space="preserve">по первому варианту прогноза </w:t>
      </w:r>
      <w:r w:rsidRPr="00F0587E">
        <w:t xml:space="preserve">и </w:t>
      </w:r>
      <w:r>
        <w:t>на 30,0</w:t>
      </w:r>
      <w:r w:rsidRPr="00F0587E">
        <w:t xml:space="preserve"> % по </w:t>
      </w:r>
      <w:r>
        <w:t xml:space="preserve">второму варианту прогноза </w:t>
      </w:r>
      <w:r w:rsidRPr="00F0587E">
        <w:t>соответствующим вариантам прогноза (</w:t>
      </w:r>
      <w:r>
        <w:t>2020 / 2017</w:t>
      </w:r>
      <w:r w:rsidRPr="00F0587E">
        <w:t>).</w:t>
      </w:r>
    </w:p>
    <w:p w:rsidR="00DA49F2" w:rsidRDefault="00DA49F2" w:rsidP="005365B8">
      <w:pPr>
        <w:pStyle w:val="aa"/>
        <w:widowControl w:val="0"/>
        <w:numPr>
          <w:ilvl w:val="0"/>
          <w:numId w:val="2"/>
        </w:numPr>
        <w:tabs>
          <w:tab w:val="clear" w:pos="0"/>
          <w:tab w:val="num" w:pos="720"/>
        </w:tabs>
        <w:spacing w:before="0" w:after="0" w:line="276" w:lineRule="auto"/>
        <w:ind w:left="0" w:firstLine="720"/>
        <w:jc w:val="both"/>
      </w:pPr>
      <w:r w:rsidRPr="00BB316A">
        <w:t>Расходы за счет средств, остающихся в распоряжении организаций, формируются из прибыли (за вычетом налога на прибыл</w:t>
      </w:r>
      <w:r>
        <w:t>ь) и амортизационных отчислений.</w:t>
      </w:r>
      <w:r w:rsidRPr="00BB316A">
        <w:t xml:space="preserve"> В 20</w:t>
      </w:r>
      <w:r>
        <w:t>20</w:t>
      </w:r>
      <w:r w:rsidRPr="00BB316A">
        <w:t xml:space="preserve"> году по </w:t>
      </w:r>
      <w:r>
        <w:t xml:space="preserve">данные расходы </w:t>
      </w:r>
      <w:r w:rsidRPr="00BB316A">
        <w:t>относительно 201</w:t>
      </w:r>
      <w:r>
        <w:t>7</w:t>
      </w:r>
      <w:r w:rsidRPr="00BB316A">
        <w:t xml:space="preserve"> года </w:t>
      </w:r>
      <w:r>
        <w:t>вырастут на 22,3 % и 28,1 % по соответствующим вариантам прогноза.</w:t>
      </w:r>
    </w:p>
    <w:p w:rsidR="00DA49F2" w:rsidRDefault="00DA49F2" w:rsidP="005365B8">
      <w:pPr>
        <w:pStyle w:val="aa"/>
        <w:widowControl w:val="0"/>
        <w:numPr>
          <w:ilvl w:val="0"/>
          <w:numId w:val="2"/>
        </w:numPr>
        <w:tabs>
          <w:tab w:val="clear" w:pos="0"/>
          <w:tab w:val="num" w:pos="720"/>
        </w:tabs>
        <w:spacing w:before="0" w:after="0" w:line="276" w:lineRule="auto"/>
        <w:ind w:left="0" w:firstLine="720"/>
        <w:jc w:val="both"/>
      </w:pPr>
      <w:r w:rsidRPr="00F0587E">
        <w:t xml:space="preserve">Бюджетная политика в прогнозном периоде будет направлена на </w:t>
      </w:r>
      <w:r>
        <w:t xml:space="preserve">исполнение принятых социальных </w:t>
      </w:r>
      <w:r w:rsidRPr="00FA3A56">
        <w:t>обязательств и дальнейшее усиление экономности и эффективности</w:t>
      </w:r>
      <w:r>
        <w:t xml:space="preserve"> расходования бюджетных средств, снижение общегосударственных расходов. </w:t>
      </w:r>
      <w:proofErr w:type="gramStart"/>
      <w:r>
        <w:t xml:space="preserve">Предполагается рост расходов из всех уровней бюджета на национальную экономику за счет реализации Плана основных мероприятий по подготовке и проведению празднования 50-летия выпуска первого легкового автомобиля ВАЗ в г.о. Тольятти. </w:t>
      </w:r>
      <w:proofErr w:type="gramEnd"/>
    </w:p>
    <w:p w:rsidR="00DA49F2" w:rsidRDefault="00DA49F2" w:rsidP="005365B8">
      <w:pPr>
        <w:pStyle w:val="aa"/>
        <w:widowControl w:val="0"/>
        <w:numPr>
          <w:ilvl w:val="0"/>
          <w:numId w:val="2"/>
        </w:numPr>
        <w:tabs>
          <w:tab w:val="clear" w:pos="0"/>
          <w:tab w:val="num" w:pos="720"/>
        </w:tabs>
        <w:spacing w:before="0" w:after="0" w:line="276" w:lineRule="auto"/>
        <w:ind w:left="0" w:firstLine="720"/>
        <w:jc w:val="both"/>
      </w:pPr>
      <w:proofErr w:type="gramStart"/>
      <w:r>
        <w:t>Сокращение на 1,7 % по первому варианту прогноза (2020 / 2017) расходов на социально-культурные мероприятия, финансируемые за счет средств всех уровней бюджетной системы РФ, обусловлено планируемым окончанием в 2018-2019 гг. строительства на территории городского округа ряда крупных социальных объектов сферы образования, здравоохранения, физической культуры и спорта.</w:t>
      </w:r>
      <w:proofErr w:type="gramEnd"/>
      <w:r>
        <w:t xml:space="preserve"> </w:t>
      </w:r>
      <w:proofErr w:type="gramStart"/>
      <w:r>
        <w:t>По второму варианту социальные расходы вырастут на 9,2 % с учетом финансирования из вышестоящих бюджетов финансирования мероприятий, не включенных в муниципальные программы на 2020 год).</w:t>
      </w:r>
      <w:proofErr w:type="gramEnd"/>
    </w:p>
    <w:p w:rsidR="00DA49F2" w:rsidRDefault="00DA49F2" w:rsidP="005365B8">
      <w:pPr>
        <w:pStyle w:val="aa"/>
        <w:widowControl w:val="0"/>
        <w:numPr>
          <w:ilvl w:val="0"/>
          <w:numId w:val="2"/>
        </w:numPr>
        <w:tabs>
          <w:tab w:val="clear" w:pos="0"/>
          <w:tab w:val="num" w:pos="720"/>
        </w:tabs>
        <w:spacing w:before="0" w:after="0" w:line="276" w:lineRule="auto"/>
        <w:ind w:left="0" w:firstLine="720"/>
        <w:jc w:val="both"/>
      </w:pPr>
      <w:r>
        <w:t>Расходы на обслуживание муниципального долга за прогнозный период могут вырасти на 30,8 % к уровню 2017 года.</w:t>
      </w:r>
    </w:p>
    <w:p w:rsidR="00DA49F2" w:rsidRPr="00FA3A56" w:rsidRDefault="00DA49F2" w:rsidP="005365B8">
      <w:pPr>
        <w:pStyle w:val="aa"/>
        <w:widowControl w:val="0"/>
        <w:numPr>
          <w:ilvl w:val="0"/>
          <w:numId w:val="2"/>
        </w:numPr>
        <w:tabs>
          <w:tab w:val="clear" w:pos="0"/>
          <w:tab w:val="num" w:pos="720"/>
        </w:tabs>
        <w:spacing w:before="0" w:after="0" w:line="276" w:lineRule="auto"/>
        <w:ind w:left="0" w:firstLine="720"/>
        <w:jc w:val="both"/>
      </w:pPr>
      <w:r w:rsidRPr="00FA3A56">
        <w:t>Расходы государственных внебюджетных фондов за период 201</w:t>
      </w:r>
      <w:r>
        <w:t>8</w:t>
      </w:r>
      <w:r w:rsidRPr="00FA3A56">
        <w:t>-20</w:t>
      </w:r>
      <w:r>
        <w:t>20</w:t>
      </w:r>
      <w:r w:rsidRPr="00FA3A56">
        <w:t xml:space="preserve"> годов вырастут на </w:t>
      </w:r>
      <w:r>
        <w:t>15,1</w:t>
      </w:r>
      <w:r w:rsidRPr="00FA3A56">
        <w:t xml:space="preserve"> % по первому варианту прогноза и на </w:t>
      </w:r>
      <w:r>
        <w:t>26,1</w:t>
      </w:r>
      <w:r w:rsidRPr="00FA3A56">
        <w:t xml:space="preserve"> % по второму варианту прогноза.</w:t>
      </w:r>
    </w:p>
    <w:p w:rsidR="00DA49F2" w:rsidRDefault="00DA49F2" w:rsidP="005365B8">
      <w:pPr>
        <w:pStyle w:val="aa"/>
        <w:widowControl w:val="0"/>
        <w:numPr>
          <w:ilvl w:val="0"/>
          <w:numId w:val="2"/>
        </w:numPr>
        <w:tabs>
          <w:tab w:val="clear" w:pos="0"/>
          <w:tab w:val="num" w:pos="720"/>
        </w:tabs>
        <w:spacing w:before="0" w:after="0" w:line="276" w:lineRule="auto"/>
        <w:ind w:left="0" w:firstLine="720"/>
        <w:jc w:val="both"/>
      </w:pPr>
      <w:r w:rsidRPr="00F0587E">
        <w:t>Расходы бюджетов всех уровней на территории городского округа в прогноз</w:t>
      </w:r>
      <w:r>
        <w:t>ном</w:t>
      </w:r>
      <w:r w:rsidRPr="00F0587E">
        <w:t xml:space="preserve"> периоде останутся социально-направленными. Доля расходов на социально-культурные мероприятия в общем объёме бюджетных расходов в </w:t>
      </w:r>
      <w:r>
        <w:t xml:space="preserve">прогнозном периоде будет варьироваться по годам прогнозного периода и вариантам прогноза от 63,5 % до 71,5 % от общего объема бюджетных расходов. </w:t>
      </w:r>
    </w:p>
    <w:p w:rsidR="00DA49F2" w:rsidRDefault="00DA49F2" w:rsidP="005365B8">
      <w:pPr>
        <w:pStyle w:val="aa"/>
        <w:widowControl w:val="0"/>
        <w:numPr>
          <w:ilvl w:val="0"/>
          <w:numId w:val="2"/>
        </w:numPr>
        <w:tabs>
          <w:tab w:val="clear" w:pos="0"/>
          <w:tab w:val="num" w:pos="720"/>
        </w:tabs>
        <w:spacing w:before="0" w:after="0" w:line="276" w:lineRule="auto"/>
        <w:ind w:left="0" w:firstLine="720"/>
        <w:jc w:val="both"/>
      </w:pPr>
      <w:r>
        <w:t xml:space="preserve">Превышение расходов над доходами (дефицит) СФБ к концу прогнозного периода составит 739 млн. руб. по первому варианту и 738 млн. руб. по второму варианту прогноза (или 0,6 </w:t>
      </w:r>
      <w:r w:rsidRPr="00F0587E">
        <w:t>%</w:t>
      </w:r>
      <w:r>
        <w:t xml:space="preserve"> и 0,5 % соответственно от доходной части СФБ).</w:t>
      </w:r>
    </w:p>
    <w:p w:rsidR="00B3084C" w:rsidRDefault="00B3084C" w:rsidP="00D3468D">
      <w:pPr>
        <w:pStyle w:val="aa"/>
        <w:widowControl w:val="0"/>
        <w:numPr>
          <w:ilvl w:val="0"/>
          <w:numId w:val="2"/>
        </w:numPr>
        <w:tabs>
          <w:tab w:val="clear" w:pos="0"/>
          <w:tab w:val="num" w:pos="709"/>
        </w:tabs>
        <w:spacing w:before="0" w:after="0" w:line="276" w:lineRule="auto"/>
        <w:ind w:left="0" w:firstLine="0"/>
        <w:jc w:val="center"/>
        <w:rPr>
          <w:b/>
        </w:rPr>
      </w:pPr>
    </w:p>
    <w:p w:rsidR="0024525F" w:rsidRPr="00DD189C" w:rsidRDefault="0024525F" w:rsidP="00D3468D">
      <w:pPr>
        <w:pStyle w:val="aa"/>
        <w:widowControl w:val="0"/>
        <w:numPr>
          <w:ilvl w:val="0"/>
          <w:numId w:val="2"/>
        </w:numPr>
        <w:tabs>
          <w:tab w:val="clear" w:pos="0"/>
          <w:tab w:val="num" w:pos="709"/>
        </w:tabs>
        <w:spacing w:before="0" w:after="0" w:line="276" w:lineRule="auto"/>
        <w:ind w:left="0" w:firstLine="0"/>
        <w:jc w:val="center"/>
        <w:rPr>
          <w:b/>
        </w:rPr>
      </w:pPr>
      <w:r w:rsidRPr="00DD189C">
        <w:rPr>
          <w:b/>
        </w:rPr>
        <w:t>Демография и занятость населения</w:t>
      </w:r>
    </w:p>
    <w:p w:rsidR="0024525F" w:rsidRPr="00E22255" w:rsidRDefault="0024525F" w:rsidP="00DC55C7">
      <w:pPr>
        <w:pStyle w:val="af"/>
        <w:rPr>
          <w:b/>
          <w:highlight w:val="yellow"/>
        </w:rPr>
      </w:pPr>
    </w:p>
    <w:p w:rsidR="00DD189C" w:rsidRPr="00DD189C" w:rsidRDefault="00DD189C" w:rsidP="005365B8">
      <w:pPr>
        <w:pStyle w:val="af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DD189C">
        <w:rPr>
          <w:sz w:val="24"/>
          <w:szCs w:val="24"/>
        </w:rPr>
        <w:t xml:space="preserve">Прогноз демографических показателей на  2018 – 2020  годы учитывает реализацию мер социально-демографической политики, в том числе  выполнение Указов </w:t>
      </w:r>
      <w:r w:rsidRPr="00DD189C">
        <w:rPr>
          <w:sz w:val="24"/>
          <w:szCs w:val="24"/>
        </w:rPr>
        <w:lastRenderedPageBreak/>
        <w:t>Президента Российской Федерации, направленных на реализацию демографической политики Российской Федерации и совершенствование политики в сфере здравоохранения, а также Плана мероприятий Самарской области на 2016 – 2020 годы по реализации Концепции демографической политики Российской Федерации на период до 2025 года.</w:t>
      </w:r>
      <w:proofErr w:type="gramEnd"/>
    </w:p>
    <w:p w:rsidR="00DD189C" w:rsidRPr="00DD189C" w:rsidRDefault="00907815" w:rsidP="005365B8">
      <w:pPr>
        <w:pStyle w:val="af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DD189C" w:rsidRPr="00DD189C">
        <w:rPr>
          <w:sz w:val="24"/>
          <w:szCs w:val="24"/>
        </w:rPr>
        <w:t xml:space="preserve">а развитие ситуации в сфере </w:t>
      </w:r>
      <w:r w:rsidR="00461D48">
        <w:rPr>
          <w:sz w:val="24"/>
          <w:szCs w:val="24"/>
        </w:rPr>
        <w:t>демографии</w:t>
      </w:r>
      <w:r w:rsidR="00DD189C" w:rsidRPr="00DD189C">
        <w:rPr>
          <w:sz w:val="24"/>
          <w:szCs w:val="24"/>
        </w:rPr>
        <w:t xml:space="preserve"> окажут влияние следующие основные факторы:</w:t>
      </w:r>
    </w:p>
    <w:p w:rsidR="00DD189C" w:rsidRPr="00DD189C" w:rsidRDefault="00DD189C" w:rsidP="005365B8">
      <w:pPr>
        <w:pStyle w:val="af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DD189C">
        <w:rPr>
          <w:sz w:val="24"/>
          <w:szCs w:val="24"/>
        </w:rPr>
        <w:t xml:space="preserve">- изменение возрастной структуры женщин: продолжится ежегодное снижение численности женщин в наиболее активных репродуктивных возрастах 20-29 лет, что будет сдерживать рост рождаемости. Также учитывается тенденция откладывания рождения первых детей </w:t>
      </w:r>
      <w:proofErr w:type="gramStart"/>
      <w:r w:rsidRPr="00DD189C">
        <w:rPr>
          <w:sz w:val="24"/>
          <w:szCs w:val="24"/>
        </w:rPr>
        <w:t>на</w:t>
      </w:r>
      <w:proofErr w:type="gramEnd"/>
      <w:r w:rsidRPr="00DD189C">
        <w:rPr>
          <w:sz w:val="24"/>
          <w:szCs w:val="24"/>
        </w:rPr>
        <w:t xml:space="preserve"> более поздние возраста. При этом численность женщин средних возрастов 30-39 лет будет немного увеличиваться (на 1,6</w:t>
      </w:r>
      <w:r w:rsidR="00461D48">
        <w:rPr>
          <w:sz w:val="24"/>
          <w:szCs w:val="24"/>
        </w:rPr>
        <w:t xml:space="preserve"> </w:t>
      </w:r>
      <w:r w:rsidRPr="00DD189C">
        <w:rPr>
          <w:sz w:val="24"/>
          <w:szCs w:val="24"/>
        </w:rPr>
        <w:t>% в 2020 году по сравнению с 2016 годом);</w:t>
      </w:r>
    </w:p>
    <w:p w:rsidR="00DD189C" w:rsidRPr="00DD189C" w:rsidRDefault="00DD189C" w:rsidP="005365B8">
      <w:pPr>
        <w:pStyle w:val="af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DD189C">
        <w:rPr>
          <w:sz w:val="24"/>
          <w:szCs w:val="24"/>
        </w:rPr>
        <w:t>-  рост доли вторых и более рождений в семьях, на что окажет влияние предоставление мер материальной поддержки семьям с детьми на федеральном и  региональном уровнях, в том числе единовременная денежная выплата (семейный капитал) при рождении (усыновлении) третьего или последующих детей, ежемесячные денежные выплаты семьям при рождении третьего и каждого последующего ребенка до достижения ими возраста трех лет, поддержка студенческих семей, имеющих</w:t>
      </w:r>
      <w:proofErr w:type="gramEnd"/>
      <w:r w:rsidRPr="00DD189C">
        <w:rPr>
          <w:sz w:val="24"/>
          <w:szCs w:val="24"/>
        </w:rPr>
        <w:t xml:space="preserve"> детей;   </w:t>
      </w:r>
    </w:p>
    <w:p w:rsidR="00DD189C" w:rsidRPr="00DD189C" w:rsidRDefault="00DD189C" w:rsidP="005365B8">
      <w:pPr>
        <w:pStyle w:val="af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DD189C">
        <w:rPr>
          <w:sz w:val="24"/>
          <w:szCs w:val="24"/>
        </w:rPr>
        <w:t xml:space="preserve">- сохранение тенденции старения граждан и ухудшение возрастной структуры населения: продолжится увеличение численности граждан пожилых возрастов и сокращение численности населения трудоспособного возраста. При этом меры по сохранению здоровья и сокращению смертности, прежде всего, граждан трудоспособного возраста, а также младенческого и детских возрастов будут способствовать росту показателя ожидаемой продолжительности жизни граждан и сохранению либо снижению общей смертности граждан; </w:t>
      </w:r>
    </w:p>
    <w:p w:rsidR="00DD189C" w:rsidRPr="00DD189C" w:rsidRDefault="00DD189C" w:rsidP="005365B8">
      <w:pPr>
        <w:pStyle w:val="af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DD189C">
        <w:rPr>
          <w:sz w:val="24"/>
          <w:szCs w:val="24"/>
        </w:rPr>
        <w:t>- сокращение миграционной убыли и ожидание положительного сальдо миграции к 2020 году, в первую очередь, за счет привлечения граждан из других регионов России, соотечественников, проживающих за рубежом, обучающейся молодежи, а также иностранных специалистов с учетом потребностей экономики  города.</w:t>
      </w:r>
    </w:p>
    <w:p w:rsidR="00DD189C" w:rsidRPr="00191521" w:rsidRDefault="00DD189C" w:rsidP="005365B8">
      <w:pPr>
        <w:pStyle w:val="Default"/>
        <w:widowControl w:val="0"/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bCs/>
          <w:spacing w:val="-2"/>
        </w:rPr>
      </w:pPr>
      <w:r w:rsidRPr="00DD189C">
        <w:t xml:space="preserve">В результате действия этих факторов </w:t>
      </w:r>
      <w:r w:rsidRPr="00DD189C">
        <w:rPr>
          <w:bCs/>
          <w:spacing w:val="-2"/>
        </w:rPr>
        <w:t xml:space="preserve">в 2020 году </w:t>
      </w:r>
      <w:r w:rsidRPr="00DD189C">
        <w:t xml:space="preserve">прогнозируется сохранение </w:t>
      </w:r>
      <w:r w:rsidRPr="00DD189C">
        <w:rPr>
          <w:bCs/>
          <w:spacing w:val="-2"/>
        </w:rPr>
        <w:t xml:space="preserve">естественной убыли населения на </w:t>
      </w:r>
      <w:r w:rsidRPr="00191521">
        <w:rPr>
          <w:bCs/>
          <w:spacing w:val="-2"/>
        </w:rPr>
        <w:t>уровне (-0,3)-(-0,1) тыс. чел. по двум вариантам соответственно, что примерно соответствует оценке 2017 года (-0,2 тыс</w:t>
      </w:r>
      <w:proofErr w:type="gramStart"/>
      <w:r w:rsidRPr="00191521">
        <w:rPr>
          <w:bCs/>
          <w:spacing w:val="-2"/>
        </w:rPr>
        <w:t>.ч</w:t>
      </w:r>
      <w:proofErr w:type="gramEnd"/>
      <w:r w:rsidRPr="00191521">
        <w:rPr>
          <w:bCs/>
          <w:spacing w:val="-2"/>
        </w:rPr>
        <w:t>ел.).</w:t>
      </w:r>
    </w:p>
    <w:p w:rsidR="00DD189C" w:rsidRPr="00DD189C" w:rsidRDefault="00DD189C" w:rsidP="005365B8">
      <w:pPr>
        <w:pStyle w:val="af"/>
        <w:widowControl w:val="0"/>
        <w:numPr>
          <w:ilvl w:val="0"/>
          <w:numId w:val="2"/>
        </w:numPr>
        <w:shd w:val="clear" w:color="auto" w:fill="FFFFFF"/>
        <w:suppressAutoHyphens/>
        <w:spacing w:line="276" w:lineRule="auto"/>
        <w:ind w:left="0" w:firstLine="709"/>
        <w:jc w:val="both"/>
        <w:rPr>
          <w:sz w:val="24"/>
          <w:szCs w:val="24"/>
        </w:rPr>
      </w:pPr>
      <w:r w:rsidRPr="00191521">
        <w:rPr>
          <w:sz w:val="24"/>
          <w:szCs w:val="24"/>
        </w:rPr>
        <w:t>На ситуацию миграционных процессов повлияет ожидаемое сокращение</w:t>
      </w:r>
      <w:r w:rsidRPr="00DD189C">
        <w:rPr>
          <w:sz w:val="24"/>
          <w:szCs w:val="24"/>
        </w:rPr>
        <w:t xml:space="preserve"> выбывающих граждан городского округа Тольятти</w:t>
      </w:r>
      <w:r w:rsidR="00461D48">
        <w:rPr>
          <w:sz w:val="24"/>
          <w:szCs w:val="24"/>
        </w:rPr>
        <w:t>.</w:t>
      </w:r>
      <w:r w:rsidRPr="00DD189C">
        <w:rPr>
          <w:sz w:val="24"/>
          <w:szCs w:val="24"/>
        </w:rPr>
        <w:t xml:space="preserve"> </w:t>
      </w:r>
      <w:r w:rsidR="00461D48">
        <w:rPr>
          <w:sz w:val="24"/>
          <w:szCs w:val="24"/>
        </w:rPr>
        <w:t xml:space="preserve">При этом прогнозируется </w:t>
      </w:r>
      <w:r w:rsidRPr="00DD189C">
        <w:rPr>
          <w:sz w:val="24"/>
          <w:szCs w:val="24"/>
        </w:rPr>
        <w:t>при</w:t>
      </w:r>
      <w:r w:rsidR="00461D48">
        <w:rPr>
          <w:sz w:val="24"/>
          <w:szCs w:val="24"/>
        </w:rPr>
        <w:t>ток</w:t>
      </w:r>
      <w:r w:rsidRPr="00DD189C">
        <w:rPr>
          <w:sz w:val="24"/>
          <w:szCs w:val="24"/>
        </w:rPr>
        <w:t xml:space="preserve"> трудовых мигрантов</w:t>
      </w:r>
      <w:r w:rsidR="00E837EC">
        <w:rPr>
          <w:sz w:val="24"/>
          <w:szCs w:val="24"/>
        </w:rPr>
        <w:t>,</w:t>
      </w:r>
      <w:r w:rsidRPr="00DD189C">
        <w:rPr>
          <w:sz w:val="24"/>
          <w:szCs w:val="24"/>
        </w:rPr>
        <w:t xml:space="preserve"> квалифицированных иностранных специалистов  на вновь открывающиеся рабочие места резидентами технопарка «Жигулевская долина» и индустриальных парков, ОЭЗ </w:t>
      </w:r>
      <w:r w:rsidR="00E837EC">
        <w:rPr>
          <w:sz w:val="24"/>
          <w:szCs w:val="24"/>
        </w:rPr>
        <w:t>«</w:t>
      </w:r>
      <w:r w:rsidRPr="00DD189C">
        <w:rPr>
          <w:sz w:val="24"/>
          <w:szCs w:val="24"/>
        </w:rPr>
        <w:t>Тольятти</w:t>
      </w:r>
      <w:r w:rsidR="00E837EC">
        <w:rPr>
          <w:sz w:val="24"/>
          <w:szCs w:val="24"/>
        </w:rPr>
        <w:t>»</w:t>
      </w:r>
      <w:r w:rsidRPr="00DD189C">
        <w:rPr>
          <w:sz w:val="24"/>
          <w:szCs w:val="24"/>
        </w:rPr>
        <w:t>, в результате реализации проекта ТОСЭР</w:t>
      </w:r>
      <w:r w:rsidR="00461D48">
        <w:rPr>
          <w:sz w:val="24"/>
          <w:szCs w:val="24"/>
        </w:rPr>
        <w:t xml:space="preserve"> «Тольятти»</w:t>
      </w:r>
      <w:r w:rsidRPr="00DD189C">
        <w:rPr>
          <w:sz w:val="24"/>
          <w:szCs w:val="24"/>
        </w:rPr>
        <w:t>, что приведет к постепенному сокращению отрицательного сальдо миграции в 2018-2019 годы и ожидаемому к 2020 году возобновлению миграционного прироста.</w:t>
      </w:r>
    </w:p>
    <w:p w:rsidR="00DD189C" w:rsidRPr="00DD189C" w:rsidRDefault="00DD189C" w:rsidP="005365B8">
      <w:pPr>
        <w:pStyle w:val="af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DD189C">
        <w:rPr>
          <w:sz w:val="24"/>
          <w:szCs w:val="24"/>
        </w:rPr>
        <w:t>Миграционная убыль в 2018 году может составить (-2,0)-(-1,0) тыс. чел. в зависимости от варианта, к 2020 году миграционный прирост ожидается на уровне 0,3-0,8 тыс. чел.</w:t>
      </w:r>
    </w:p>
    <w:p w:rsidR="00DD189C" w:rsidRPr="00DD189C" w:rsidRDefault="00DD189C" w:rsidP="005365B8">
      <w:pPr>
        <w:pStyle w:val="2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</w:rPr>
      </w:pPr>
      <w:r w:rsidRPr="00DD189C">
        <w:rPr>
          <w:rFonts w:ascii="Times New Roman" w:hAnsi="Times New Roman"/>
          <w:sz w:val="24"/>
        </w:rPr>
        <w:t xml:space="preserve">Таким образом, по обоим вариантам прогноза ожидается снижение численности населения к уровню 2017 года. Так, к 2020 году численность населения в среднегодовом </w:t>
      </w:r>
      <w:r w:rsidRPr="00DD189C">
        <w:rPr>
          <w:rFonts w:ascii="Times New Roman" w:hAnsi="Times New Roman"/>
          <w:sz w:val="24"/>
        </w:rPr>
        <w:lastRenderedPageBreak/>
        <w:t xml:space="preserve">исчислении по первому варианту составит 705,7 (на 0,5% меньше, чем в 2017 году), по второму – 707,9 тыс. чел. (на 0,2% меньше, чем в 2017 году).  </w:t>
      </w:r>
    </w:p>
    <w:p w:rsidR="00DD189C" w:rsidRPr="00D3468D" w:rsidRDefault="00DD189C" w:rsidP="005365B8">
      <w:pPr>
        <w:pStyle w:val="af"/>
        <w:numPr>
          <w:ilvl w:val="0"/>
          <w:numId w:val="2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D3468D">
        <w:rPr>
          <w:bCs/>
          <w:sz w:val="24"/>
          <w:szCs w:val="24"/>
        </w:rPr>
        <w:t xml:space="preserve">Ситуация в сфере </w:t>
      </w:r>
      <w:r w:rsidRPr="00D3468D">
        <w:rPr>
          <w:b/>
          <w:bCs/>
          <w:sz w:val="24"/>
          <w:szCs w:val="24"/>
        </w:rPr>
        <w:t>занятости населения и на рынке труда</w:t>
      </w:r>
      <w:r w:rsidRPr="00D3468D">
        <w:rPr>
          <w:bCs/>
          <w:sz w:val="24"/>
          <w:szCs w:val="24"/>
        </w:rPr>
        <w:t xml:space="preserve"> городского округа в 201</w:t>
      </w:r>
      <w:r>
        <w:rPr>
          <w:bCs/>
          <w:sz w:val="24"/>
          <w:szCs w:val="24"/>
        </w:rPr>
        <w:t>8</w:t>
      </w:r>
      <w:r w:rsidRPr="00D3468D">
        <w:rPr>
          <w:bCs/>
          <w:sz w:val="24"/>
          <w:szCs w:val="24"/>
        </w:rPr>
        <w:t xml:space="preserve"> – 20</w:t>
      </w:r>
      <w:r>
        <w:rPr>
          <w:bCs/>
          <w:sz w:val="24"/>
          <w:szCs w:val="24"/>
        </w:rPr>
        <w:t>20</w:t>
      </w:r>
      <w:r w:rsidRPr="00D3468D">
        <w:rPr>
          <w:bCs/>
          <w:sz w:val="24"/>
          <w:szCs w:val="24"/>
        </w:rPr>
        <w:t xml:space="preserve"> годах во многом будет определяться демографическими ограничениями, а именно: сокращением численности населения в трудоспособном возрасте и ухудшением возрастной структуры населения. </w:t>
      </w:r>
    </w:p>
    <w:p w:rsidR="00DD189C" w:rsidRPr="00D3468D" w:rsidRDefault="00DD189C" w:rsidP="005365B8">
      <w:pPr>
        <w:pStyle w:val="af"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D3468D">
        <w:rPr>
          <w:bCs/>
          <w:sz w:val="24"/>
          <w:szCs w:val="24"/>
        </w:rPr>
        <w:t>В 20</w:t>
      </w:r>
      <w:r>
        <w:rPr>
          <w:bCs/>
          <w:sz w:val="24"/>
          <w:szCs w:val="24"/>
        </w:rPr>
        <w:t>20</w:t>
      </w:r>
      <w:r w:rsidRPr="00D3468D">
        <w:rPr>
          <w:bCs/>
          <w:sz w:val="24"/>
          <w:szCs w:val="24"/>
        </w:rPr>
        <w:t xml:space="preserve"> году численность населения в трудоспособном возрасте снизится к оценке 201</w:t>
      </w:r>
      <w:r>
        <w:rPr>
          <w:bCs/>
          <w:sz w:val="24"/>
          <w:szCs w:val="24"/>
        </w:rPr>
        <w:t>7</w:t>
      </w:r>
      <w:r w:rsidRPr="00D3468D">
        <w:rPr>
          <w:bCs/>
          <w:sz w:val="24"/>
          <w:szCs w:val="24"/>
        </w:rPr>
        <w:t xml:space="preserve"> года предположительно на </w:t>
      </w:r>
      <w:r>
        <w:rPr>
          <w:bCs/>
          <w:sz w:val="24"/>
          <w:szCs w:val="24"/>
        </w:rPr>
        <w:t>17,6</w:t>
      </w:r>
      <w:r w:rsidRPr="00D3468D">
        <w:rPr>
          <w:bCs/>
          <w:sz w:val="24"/>
          <w:szCs w:val="24"/>
        </w:rPr>
        <w:t xml:space="preserve"> тыс. чел. (4,</w:t>
      </w:r>
      <w:r>
        <w:rPr>
          <w:bCs/>
          <w:sz w:val="24"/>
          <w:szCs w:val="24"/>
        </w:rPr>
        <w:t>3</w:t>
      </w:r>
      <w:r w:rsidRPr="00D3468D">
        <w:rPr>
          <w:bCs/>
          <w:sz w:val="24"/>
          <w:szCs w:val="24"/>
        </w:rPr>
        <w:t xml:space="preserve"> %) по первому варианту, на 1</w:t>
      </w:r>
      <w:r>
        <w:rPr>
          <w:bCs/>
          <w:sz w:val="24"/>
          <w:szCs w:val="24"/>
        </w:rPr>
        <w:t>5,9</w:t>
      </w:r>
      <w:r w:rsidRPr="00D3468D">
        <w:rPr>
          <w:bCs/>
          <w:sz w:val="24"/>
          <w:szCs w:val="24"/>
        </w:rPr>
        <w:t xml:space="preserve"> тыс. чел. (</w:t>
      </w:r>
      <w:r>
        <w:rPr>
          <w:bCs/>
          <w:sz w:val="24"/>
          <w:szCs w:val="24"/>
        </w:rPr>
        <w:t>3,9</w:t>
      </w:r>
      <w:r w:rsidRPr="00D3468D">
        <w:rPr>
          <w:bCs/>
          <w:sz w:val="24"/>
          <w:szCs w:val="24"/>
        </w:rPr>
        <w:t xml:space="preserve"> %) по второму.</w:t>
      </w:r>
    </w:p>
    <w:p w:rsidR="00DD189C" w:rsidRDefault="00DD189C" w:rsidP="005365B8">
      <w:pPr>
        <w:pStyle w:val="af"/>
        <w:numPr>
          <w:ilvl w:val="0"/>
          <w:numId w:val="2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D3468D">
        <w:rPr>
          <w:bCs/>
          <w:sz w:val="24"/>
          <w:szCs w:val="24"/>
        </w:rPr>
        <w:t xml:space="preserve">Частично компенсировать эти процессы удастся за счет увеличения экономической активности населения в отдельных возрастных категориях (преимущественно пенсионного возраста). </w:t>
      </w:r>
    </w:p>
    <w:p w:rsidR="00DD189C" w:rsidRPr="00D3468D" w:rsidRDefault="00DD189C" w:rsidP="005365B8">
      <w:pPr>
        <w:pStyle w:val="af"/>
        <w:numPr>
          <w:ilvl w:val="0"/>
          <w:numId w:val="2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</w:t>
      </w:r>
      <w:r w:rsidRPr="00D3468D">
        <w:rPr>
          <w:bCs/>
          <w:sz w:val="24"/>
          <w:szCs w:val="24"/>
        </w:rPr>
        <w:t>меньшение численности трудовых ресурсов к 20</w:t>
      </w:r>
      <w:r>
        <w:rPr>
          <w:bCs/>
          <w:sz w:val="24"/>
          <w:szCs w:val="24"/>
        </w:rPr>
        <w:t>20</w:t>
      </w:r>
      <w:r w:rsidRPr="00D3468D">
        <w:rPr>
          <w:bCs/>
          <w:sz w:val="24"/>
          <w:szCs w:val="24"/>
        </w:rPr>
        <w:t xml:space="preserve"> году относительно 201</w:t>
      </w:r>
      <w:r>
        <w:rPr>
          <w:bCs/>
          <w:sz w:val="24"/>
          <w:szCs w:val="24"/>
        </w:rPr>
        <w:t>7</w:t>
      </w:r>
      <w:r w:rsidRPr="00D3468D">
        <w:rPr>
          <w:bCs/>
          <w:sz w:val="24"/>
          <w:szCs w:val="24"/>
        </w:rPr>
        <w:t xml:space="preserve"> года предположительно составит </w:t>
      </w:r>
      <w:r>
        <w:rPr>
          <w:bCs/>
          <w:sz w:val="24"/>
          <w:szCs w:val="24"/>
        </w:rPr>
        <w:t>3,2</w:t>
      </w:r>
      <w:r w:rsidRPr="00D3468D">
        <w:rPr>
          <w:bCs/>
          <w:sz w:val="24"/>
          <w:szCs w:val="24"/>
        </w:rPr>
        <w:t>-2,</w:t>
      </w:r>
      <w:r>
        <w:rPr>
          <w:bCs/>
          <w:sz w:val="24"/>
          <w:szCs w:val="24"/>
        </w:rPr>
        <w:t>3</w:t>
      </w:r>
      <w:r w:rsidRPr="00D3468D">
        <w:rPr>
          <w:bCs/>
          <w:sz w:val="24"/>
          <w:szCs w:val="24"/>
        </w:rPr>
        <w:t xml:space="preserve"> %</w:t>
      </w:r>
      <w:r w:rsidR="00E837EC">
        <w:rPr>
          <w:bCs/>
          <w:sz w:val="24"/>
          <w:szCs w:val="24"/>
        </w:rPr>
        <w:t>%</w:t>
      </w:r>
      <w:r w:rsidRPr="00D3468D">
        <w:rPr>
          <w:bCs/>
          <w:sz w:val="24"/>
          <w:szCs w:val="24"/>
        </w:rPr>
        <w:t xml:space="preserve"> по вариантам прогноза соответственно.</w:t>
      </w:r>
    </w:p>
    <w:p w:rsidR="00DD189C" w:rsidRDefault="00DD189C" w:rsidP="005365B8">
      <w:pPr>
        <w:pStyle w:val="af"/>
        <w:numPr>
          <w:ilvl w:val="0"/>
          <w:numId w:val="2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</w:t>
      </w:r>
      <w:r w:rsidRPr="00D3468D">
        <w:rPr>
          <w:bCs/>
          <w:sz w:val="24"/>
          <w:szCs w:val="24"/>
        </w:rPr>
        <w:t xml:space="preserve">а ситуацию на рынке труда в городском округе будут оказывать темпы экономического роста, необходимость повышения производительности труда, эффективность реализации мер по содействию занятости населения, динамика инвестиционной активности. </w:t>
      </w:r>
    </w:p>
    <w:p w:rsidR="00C507C7" w:rsidRDefault="00DD189C" w:rsidP="005365B8">
      <w:pPr>
        <w:pStyle w:val="af"/>
        <w:numPr>
          <w:ilvl w:val="0"/>
          <w:numId w:val="2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C507C7">
        <w:rPr>
          <w:bCs/>
          <w:sz w:val="24"/>
          <w:szCs w:val="24"/>
        </w:rPr>
        <w:t xml:space="preserve">Продолжится развитие </w:t>
      </w:r>
      <w:r w:rsidR="00191521">
        <w:rPr>
          <w:bCs/>
          <w:sz w:val="24"/>
          <w:szCs w:val="24"/>
        </w:rPr>
        <w:t>инфраструктурных площадок для реализации инвестиционных проектов</w:t>
      </w:r>
      <w:r w:rsidRPr="00C507C7">
        <w:rPr>
          <w:bCs/>
          <w:sz w:val="24"/>
          <w:szCs w:val="24"/>
        </w:rPr>
        <w:t xml:space="preserve">. </w:t>
      </w:r>
    </w:p>
    <w:p w:rsidR="00DD189C" w:rsidRPr="00C507C7" w:rsidRDefault="00DD189C" w:rsidP="005365B8">
      <w:pPr>
        <w:pStyle w:val="af"/>
        <w:numPr>
          <w:ilvl w:val="0"/>
          <w:numId w:val="2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C507C7">
        <w:rPr>
          <w:bCs/>
          <w:sz w:val="24"/>
          <w:szCs w:val="24"/>
        </w:rPr>
        <w:t>В соответствии с Концепцией развития технопарка в сфере высоких технологий «Жигулевская долина» на период до 2020 года, утвержденной Распоряжением Правительства  Самарской области от 15.02.2017 № 108-р, на территории технопарка в 2018-2020 годы планируется создание 716 рабочих мест. В рамках реализации  проекта «</w:t>
      </w:r>
      <w:proofErr w:type="gramStart"/>
      <w:r w:rsidRPr="00C507C7">
        <w:rPr>
          <w:bCs/>
          <w:sz w:val="24"/>
          <w:szCs w:val="24"/>
        </w:rPr>
        <w:t>Жигулевская</w:t>
      </w:r>
      <w:proofErr w:type="gramEnd"/>
      <w:r w:rsidRPr="00C507C7">
        <w:rPr>
          <w:bCs/>
          <w:sz w:val="24"/>
          <w:szCs w:val="24"/>
        </w:rPr>
        <w:t xml:space="preserve"> долина-2» планируется создание 480 рабочих мест.</w:t>
      </w:r>
    </w:p>
    <w:p w:rsidR="00DD189C" w:rsidRPr="00907815" w:rsidRDefault="00DD189C" w:rsidP="005365B8">
      <w:pPr>
        <w:pStyle w:val="af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907815">
        <w:rPr>
          <w:bCs/>
          <w:sz w:val="24"/>
          <w:szCs w:val="24"/>
        </w:rPr>
        <w:t>Способствовать стабилизации ситуации на рынке труда будет созданная в городском округе Тольятти территория опережающего соц</w:t>
      </w:r>
      <w:r w:rsidR="00B3084C" w:rsidRPr="00907815">
        <w:rPr>
          <w:bCs/>
          <w:sz w:val="24"/>
          <w:szCs w:val="24"/>
        </w:rPr>
        <w:t>иально-экономического развития.</w:t>
      </w:r>
      <w:r w:rsidR="00907815">
        <w:rPr>
          <w:bCs/>
          <w:sz w:val="24"/>
          <w:szCs w:val="24"/>
        </w:rPr>
        <w:t xml:space="preserve"> </w:t>
      </w:r>
      <w:r w:rsidR="00B2013C" w:rsidRPr="00907815">
        <w:rPr>
          <w:bCs/>
          <w:sz w:val="24"/>
          <w:szCs w:val="24"/>
        </w:rPr>
        <w:t xml:space="preserve">Новые рабочие места будут создаваться в рамках реализации </w:t>
      </w:r>
      <w:r w:rsidR="00381D2B" w:rsidRPr="00907815">
        <w:rPr>
          <w:bCs/>
          <w:sz w:val="24"/>
          <w:szCs w:val="24"/>
        </w:rPr>
        <w:t xml:space="preserve">приоритетной программы «Комплексное развитие моногорода – городской округ Тольятти» </w:t>
      </w:r>
      <w:r w:rsidR="00B2013C" w:rsidRPr="00907815">
        <w:rPr>
          <w:bCs/>
          <w:sz w:val="24"/>
          <w:szCs w:val="24"/>
        </w:rPr>
        <w:t xml:space="preserve">(до </w:t>
      </w:r>
      <w:r w:rsidR="009334E3" w:rsidRPr="00907815">
        <w:rPr>
          <w:bCs/>
          <w:sz w:val="24"/>
          <w:szCs w:val="24"/>
        </w:rPr>
        <w:t xml:space="preserve">конца </w:t>
      </w:r>
      <w:r w:rsidR="00B2013C" w:rsidRPr="00907815">
        <w:rPr>
          <w:bCs/>
          <w:sz w:val="24"/>
          <w:szCs w:val="24"/>
        </w:rPr>
        <w:t>201</w:t>
      </w:r>
      <w:r w:rsidR="009334E3" w:rsidRPr="00907815">
        <w:rPr>
          <w:bCs/>
          <w:sz w:val="24"/>
          <w:szCs w:val="24"/>
        </w:rPr>
        <w:t>8</w:t>
      </w:r>
      <w:r w:rsidR="00B2013C" w:rsidRPr="00907815">
        <w:rPr>
          <w:bCs/>
          <w:sz w:val="24"/>
          <w:szCs w:val="24"/>
        </w:rPr>
        <w:t xml:space="preserve"> года планируется создание </w:t>
      </w:r>
      <w:r w:rsidRPr="00907815">
        <w:rPr>
          <w:bCs/>
          <w:sz w:val="24"/>
          <w:szCs w:val="24"/>
        </w:rPr>
        <w:t>2,</w:t>
      </w:r>
      <w:r w:rsidR="009334E3" w:rsidRPr="00907815">
        <w:rPr>
          <w:bCs/>
          <w:sz w:val="24"/>
          <w:szCs w:val="24"/>
        </w:rPr>
        <w:t>9</w:t>
      </w:r>
      <w:r w:rsidRPr="00907815">
        <w:rPr>
          <w:bCs/>
          <w:sz w:val="24"/>
          <w:szCs w:val="24"/>
        </w:rPr>
        <w:t xml:space="preserve"> тыс. </w:t>
      </w:r>
      <w:r w:rsidR="00B2013C" w:rsidRPr="00907815">
        <w:rPr>
          <w:bCs/>
          <w:sz w:val="24"/>
          <w:szCs w:val="24"/>
        </w:rPr>
        <w:t>рабочих мест) и других проектов.</w:t>
      </w:r>
    </w:p>
    <w:p w:rsidR="00DD189C" w:rsidRPr="00CE0203" w:rsidRDefault="00DD189C" w:rsidP="005365B8">
      <w:pPr>
        <w:pStyle w:val="headertext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CE0203">
        <w:rPr>
          <w:bCs/>
        </w:rPr>
        <w:t xml:space="preserve">Продолжится реализация государственных программ Самарской области «Содействие занятости населения Самарской области на 2014 – 2020 годы», «Оказание содействия добровольному переселению в Самарскую область соотечественников, проживающих за рубежом» на 2014 – 2018 годы. </w:t>
      </w:r>
      <w:r>
        <w:rPr>
          <w:bCs/>
        </w:rPr>
        <w:t>Реализация</w:t>
      </w:r>
      <w:r w:rsidRPr="00CE0203">
        <w:rPr>
          <w:bCs/>
        </w:rPr>
        <w:t xml:space="preserve"> </w:t>
      </w:r>
      <w:r>
        <w:rPr>
          <w:bCs/>
        </w:rPr>
        <w:t>П</w:t>
      </w:r>
      <w:r w:rsidRPr="00CE0203">
        <w:rPr>
          <w:bCs/>
        </w:rPr>
        <w:t>лана мероприятий по развитию в Самарской области движения «Молодые профессионалы» («</w:t>
      </w:r>
      <w:proofErr w:type="spellStart"/>
      <w:r w:rsidRPr="00CE0203">
        <w:rPr>
          <w:bCs/>
        </w:rPr>
        <w:t>Ворлдскиллс</w:t>
      </w:r>
      <w:proofErr w:type="spellEnd"/>
      <w:r w:rsidRPr="00CE0203">
        <w:rPr>
          <w:bCs/>
        </w:rPr>
        <w:t xml:space="preserve"> Россия»), </w:t>
      </w:r>
      <w:proofErr w:type="spellStart"/>
      <w:r w:rsidRPr="00CE0203">
        <w:rPr>
          <w:bCs/>
        </w:rPr>
        <w:t>JuniorSkills</w:t>
      </w:r>
      <w:proofErr w:type="spellEnd"/>
      <w:r w:rsidRPr="00CE0203">
        <w:rPr>
          <w:bCs/>
        </w:rPr>
        <w:t xml:space="preserve"> и </w:t>
      </w:r>
      <w:r w:rsidRPr="00CD68B2">
        <w:rPr>
          <w:bCs/>
        </w:rPr>
        <w:t>«</w:t>
      </w:r>
      <w:proofErr w:type="spellStart"/>
      <w:r w:rsidRPr="00CD68B2">
        <w:rPr>
          <w:bCs/>
        </w:rPr>
        <w:t>Абилимпикс</w:t>
      </w:r>
      <w:proofErr w:type="spellEnd"/>
      <w:r w:rsidRPr="00CE0203">
        <w:rPr>
          <w:bCs/>
        </w:rPr>
        <w:t>» на 2017 – 2020 годы</w:t>
      </w:r>
      <w:r>
        <w:rPr>
          <w:bCs/>
        </w:rPr>
        <w:t xml:space="preserve">, утвержденного  распоряжением </w:t>
      </w:r>
      <w:r w:rsidRPr="00CE0203">
        <w:rPr>
          <w:bCs/>
        </w:rPr>
        <w:t>Правительства Самарской области от 05.07.2017 № 600-р</w:t>
      </w:r>
      <w:r>
        <w:rPr>
          <w:bCs/>
        </w:rPr>
        <w:t>, будет способствовать трудоустройству молодежи.</w:t>
      </w:r>
    </w:p>
    <w:p w:rsidR="00381D2B" w:rsidRDefault="00DD189C" w:rsidP="005365B8">
      <w:pPr>
        <w:pStyle w:val="af"/>
        <w:numPr>
          <w:ilvl w:val="0"/>
          <w:numId w:val="2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381D2B">
        <w:rPr>
          <w:bCs/>
          <w:sz w:val="24"/>
          <w:szCs w:val="24"/>
        </w:rPr>
        <w:t>Продолжится реализация государственной программы «Развитие предпринимательства, торговли и туризма в Самарской области» на 2014 – 2019 годы и муниципальной программы «Развитие малого и среднего предпринимательства городского окру</w:t>
      </w:r>
      <w:r w:rsidR="00381D2B">
        <w:rPr>
          <w:bCs/>
          <w:sz w:val="24"/>
          <w:szCs w:val="24"/>
        </w:rPr>
        <w:t>га Тольятти на 2018-2022 годы».</w:t>
      </w:r>
    </w:p>
    <w:p w:rsidR="00DD189C" w:rsidRPr="00381D2B" w:rsidRDefault="00DD189C" w:rsidP="005365B8">
      <w:pPr>
        <w:pStyle w:val="af"/>
        <w:numPr>
          <w:ilvl w:val="0"/>
          <w:numId w:val="2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381D2B">
        <w:rPr>
          <w:bCs/>
          <w:sz w:val="24"/>
          <w:szCs w:val="24"/>
        </w:rPr>
        <w:t xml:space="preserve">Будут реализовываться государственная программа Самарской области «Содействие занятости населения Самарской области на 2014 – 2020 годы» и программа </w:t>
      </w:r>
      <w:r w:rsidRPr="00381D2B">
        <w:rPr>
          <w:bCs/>
          <w:sz w:val="24"/>
          <w:szCs w:val="24"/>
        </w:rPr>
        <w:lastRenderedPageBreak/>
        <w:t>дополнительных мероприятий по снижению напряженности на рынке труда при принятии на федеральном уровне соответствующего решения.</w:t>
      </w:r>
    </w:p>
    <w:p w:rsidR="00DD189C" w:rsidRPr="00903CEB" w:rsidRDefault="00DD189C" w:rsidP="005365B8">
      <w:pPr>
        <w:pStyle w:val="af"/>
        <w:numPr>
          <w:ilvl w:val="0"/>
          <w:numId w:val="2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903CEB">
        <w:rPr>
          <w:bCs/>
          <w:sz w:val="24"/>
          <w:szCs w:val="24"/>
        </w:rPr>
        <w:t xml:space="preserve">Рисками ухудшения ситуации на рынке труда являются: существенные размеры накопленной неэффективной занятости на градообразующем предприятии и предприятиях </w:t>
      </w:r>
      <w:proofErr w:type="spellStart"/>
      <w:r w:rsidRPr="00903CEB">
        <w:rPr>
          <w:bCs/>
          <w:sz w:val="24"/>
          <w:szCs w:val="24"/>
        </w:rPr>
        <w:t>автокомпонентной</w:t>
      </w:r>
      <w:proofErr w:type="spellEnd"/>
      <w:r w:rsidRPr="00903CEB">
        <w:rPr>
          <w:bCs/>
          <w:sz w:val="24"/>
          <w:szCs w:val="24"/>
        </w:rPr>
        <w:t xml:space="preserve"> отрасли и возможное высвобождение в прогнозном периоде, рост просроченной кредиторской задолженности организаций перед поставщиками и подрядчиками, что создает риски их банкротства и высвобождения работников и др. </w:t>
      </w:r>
    </w:p>
    <w:p w:rsidR="00DD189C" w:rsidRPr="00903CEB" w:rsidRDefault="00DD189C" w:rsidP="005365B8">
      <w:pPr>
        <w:pStyle w:val="af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pacing w:val="-2"/>
          <w:sz w:val="24"/>
          <w:szCs w:val="24"/>
        </w:rPr>
      </w:pPr>
      <w:r w:rsidRPr="00903CEB">
        <w:rPr>
          <w:spacing w:val="-2"/>
          <w:sz w:val="24"/>
          <w:szCs w:val="24"/>
        </w:rPr>
        <w:t>С учетом изложенных факторов и заданного макроэкономического сценария на протяжении всего предстоящего периода в городском округе Тольятти  прогнозируются следующие тенденции:</w:t>
      </w:r>
    </w:p>
    <w:p w:rsidR="00DD189C" w:rsidRPr="00903CEB" w:rsidRDefault="00DD189C" w:rsidP="005365B8">
      <w:pPr>
        <w:pStyle w:val="af"/>
        <w:numPr>
          <w:ilvl w:val="0"/>
          <w:numId w:val="2"/>
        </w:numPr>
        <w:spacing w:line="276" w:lineRule="auto"/>
        <w:ind w:left="0" w:firstLine="709"/>
        <w:jc w:val="both"/>
        <w:rPr>
          <w:spacing w:val="-2"/>
          <w:sz w:val="24"/>
          <w:szCs w:val="24"/>
        </w:rPr>
      </w:pPr>
      <w:proofErr w:type="gramStart"/>
      <w:r w:rsidRPr="00903CEB">
        <w:rPr>
          <w:spacing w:val="-2"/>
          <w:sz w:val="24"/>
          <w:szCs w:val="24"/>
        </w:rPr>
        <w:t xml:space="preserve">- за весь прогнозный период (2020 год к 2017 году) по первому варианту </w:t>
      </w:r>
      <w:r w:rsidRPr="00903CEB">
        <w:rPr>
          <w:bCs/>
          <w:color w:val="000000"/>
          <w:sz w:val="24"/>
          <w:szCs w:val="24"/>
        </w:rPr>
        <w:t>ожидается</w:t>
      </w:r>
      <w:r w:rsidRPr="00903CEB">
        <w:rPr>
          <w:spacing w:val="-2"/>
          <w:sz w:val="24"/>
          <w:szCs w:val="24"/>
        </w:rPr>
        <w:t xml:space="preserve"> снижение численности занятых в экономике на 3,3 % соответственно, по второму – увеличение на 0,9 %; </w:t>
      </w:r>
      <w:proofErr w:type="gramEnd"/>
    </w:p>
    <w:p w:rsidR="00DD189C" w:rsidRPr="00903CEB" w:rsidRDefault="00DD189C" w:rsidP="005365B8">
      <w:pPr>
        <w:pStyle w:val="af"/>
        <w:numPr>
          <w:ilvl w:val="0"/>
          <w:numId w:val="2"/>
        </w:numPr>
        <w:spacing w:line="276" w:lineRule="auto"/>
        <w:ind w:left="0" w:firstLine="709"/>
        <w:jc w:val="both"/>
        <w:rPr>
          <w:bCs/>
          <w:color w:val="000000"/>
          <w:sz w:val="24"/>
          <w:szCs w:val="24"/>
        </w:rPr>
      </w:pPr>
      <w:r w:rsidRPr="00903CEB">
        <w:rPr>
          <w:sz w:val="24"/>
          <w:szCs w:val="24"/>
        </w:rPr>
        <w:t>- к</w:t>
      </w:r>
      <w:r w:rsidRPr="00903CEB">
        <w:rPr>
          <w:bCs/>
          <w:color w:val="000000"/>
          <w:sz w:val="24"/>
          <w:szCs w:val="24"/>
        </w:rPr>
        <w:t xml:space="preserve"> 2020 году уровень безработицы прогнозируется на уровне 1,6-1,4%%</w:t>
      </w:r>
      <w:r w:rsidRPr="00903CEB">
        <w:rPr>
          <w:spacing w:val="-2"/>
          <w:sz w:val="24"/>
          <w:szCs w:val="24"/>
        </w:rPr>
        <w:t xml:space="preserve">  соответственно по вариантам прогноза</w:t>
      </w:r>
      <w:r w:rsidRPr="00903CEB">
        <w:rPr>
          <w:bCs/>
          <w:color w:val="000000"/>
          <w:sz w:val="24"/>
          <w:szCs w:val="24"/>
        </w:rPr>
        <w:t>.</w:t>
      </w:r>
    </w:p>
    <w:p w:rsidR="00551475" w:rsidRPr="00E22255" w:rsidRDefault="00551475" w:rsidP="005A2C56">
      <w:pPr>
        <w:pStyle w:val="af"/>
        <w:numPr>
          <w:ilvl w:val="0"/>
          <w:numId w:val="2"/>
        </w:numPr>
        <w:spacing w:line="276" w:lineRule="auto"/>
        <w:ind w:left="0" w:firstLine="709"/>
        <w:jc w:val="both"/>
        <w:rPr>
          <w:bCs/>
          <w:color w:val="000000"/>
          <w:sz w:val="24"/>
          <w:szCs w:val="24"/>
          <w:highlight w:val="yellow"/>
        </w:rPr>
      </w:pPr>
    </w:p>
    <w:p w:rsidR="0024525F" w:rsidRPr="00E22255" w:rsidRDefault="0024525F" w:rsidP="00D74157">
      <w:pPr>
        <w:pStyle w:val="af"/>
        <w:numPr>
          <w:ilvl w:val="0"/>
          <w:numId w:val="2"/>
        </w:numPr>
        <w:spacing w:line="276" w:lineRule="auto"/>
        <w:ind w:left="0" w:firstLine="0"/>
        <w:jc w:val="center"/>
        <w:rPr>
          <w:sz w:val="24"/>
          <w:szCs w:val="24"/>
          <w:highlight w:val="yellow"/>
        </w:rPr>
      </w:pPr>
      <w:r w:rsidRPr="00DD189C">
        <w:rPr>
          <w:b/>
          <w:sz w:val="24"/>
          <w:szCs w:val="24"/>
        </w:rPr>
        <w:t>Заработная плата</w:t>
      </w:r>
    </w:p>
    <w:p w:rsidR="0024525F" w:rsidRPr="00E22255" w:rsidRDefault="0024525F" w:rsidP="00E4738E">
      <w:pPr>
        <w:pStyle w:val="af"/>
        <w:numPr>
          <w:ilvl w:val="0"/>
          <w:numId w:val="2"/>
        </w:numPr>
        <w:spacing w:line="276" w:lineRule="auto"/>
        <w:ind w:left="0" w:firstLine="709"/>
        <w:jc w:val="center"/>
        <w:rPr>
          <w:sz w:val="24"/>
          <w:szCs w:val="24"/>
          <w:highlight w:val="yellow"/>
        </w:rPr>
      </w:pPr>
    </w:p>
    <w:p w:rsidR="00DD189C" w:rsidRPr="00240A72" w:rsidRDefault="00DD189C" w:rsidP="00DD189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0A72">
        <w:rPr>
          <w:rFonts w:ascii="Times New Roman" w:hAnsi="Times New Roman"/>
          <w:sz w:val="24"/>
          <w:szCs w:val="24"/>
        </w:rPr>
        <w:t>В прогнозном периоде, с учетом ожидаемых темпов развития экономики, предполагается повышение</w:t>
      </w:r>
      <w:r w:rsidRPr="004F5355">
        <w:rPr>
          <w:rFonts w:ascii="Times New Roman" w:hAnsi="Times New Roman"/>
          <w:sz w:val="24"/>
          <w:szCs w:val="24"/>
        </w:rPr>
        <w:t xml:space="preserve"> </w:t>
      </w:r>
      <w:r w:rsidRPr="00240A72">
        <w:rPr>
          <w:rFonts w:ascii="Times New Roman" w:hAnsi="Times New Roman"/>
          <w:sz w:val="24"/>
          <w:szCs w:val="24"/>
        </w:rPr>
        <w:t xml:space="preserve">среднемесячной номинальной начисленной заработной платы. </w:t>
      </w:r>
    </w:p>
    <w:p w:rsidR="00DD189C" w:rsidRDefault="00DD189C" w:rsidP="00DD18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5355">
        <w:rPr>
          <w:rFonts w:ascii="Times New Roman" w:hAnsi="Times New Roman"/>
          <w:sz w:val="24"/>
          <w:szCs w:val="24"/>
        </w:rPr>
        <w:t>В целях поэтапного приближения минимального размера оплаты труда (МРОТ) к величине прожиточного минимума трудоспособного населения предусматривается повышении МРОТ и доведение его уровня до величины прожиточного минимума.</w:t>
      </w:r>
      <w:proofErr w:type="gramEnd"/>
      <w:r w:rsidRPr="004F5355">
        <w:rPr>
          <w:rFonts w:ascii="Times New Roman" w:hAnsi="Times New Roman"/>
          <w:sz w:val="24"/>
          <w:szCs w:val="24"/>
        </w:rPr>
        <w:t xml:space="preserve"> Правительством Российской Федерации </w:t>
      </w:r>
      <w:r>
        <w:rPr>
          <w:rFonts w:ascii="Times New Roman" w:hAnsi="Times New Roman"/>
          <w:sz w:val="24"/>
          <w:szCs w:val="24"/>
        </w:rPr>
        <w:t xml:space="preserve">18.09.2017 г. </w:t>
      </w:r>
      <w:r w:rsidRPr="004F5355">
        <w:rPr>
          <w:rFonts w:ascii="Times New Roman" w:hAnsi="Times New Roman"/>
          <w:sz w:val="24"/>
          <w:szCs w:val="24"/>
        </w:rPr>
        <w:t>одобр</w:t>
      </w:r>
      <w:r>
        <w:rPr>
          <w:rFonts w:ascii="Times New Roman" w:hAnsi="Times New Roman"/>
          <w:sz w:val="24"/>
          <w:szCs w:val="24"/>
        </w:rPr>
        <w:t>ен</w:t>
      </w:r>
      <w:r w:rsidRPr="004F5355">
        <w:rPr>
          <w:rFonts w:ascii="Times New Roman" w:hAnsi="Times New Roman"/>
          <w:sz w:val="24"/>
          <w:szCs w:val="24"/>
        </w:rPr>
        <w:t xml:space="preserve"> законопроект</w:t>
      </w:r>
      <w:r>
        <w:rPr>
          <w:rFonts w:ascii="Times New Roman" w:hAnsi="Times New Roman"/>
          <w:sz w:val="24"/>
          <w:szCs w:val="24"/>
        </w:rPr>
        <w:t>, предусматривающий</w:t>
      </w:r>
      <w:r w:rsidRPr="004F5355">
        <w:rPr>
          <w:rFonts w:ascii="Times New Roman" w:hAnsi="Times New Roman"/>
          <w:sz w:val="24"/>
          <w:szCs w:val="24"/>
        </w:rPr>
        <w:t xml:space="preserve"> повышение МРОТ с 1 января 2018 года до 9489 руб.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4F5355">
        <w:rPr>
          <w:rFonts w:ascii="Times New Roman" w:hAnsi="Times New Roman"/>
          <w:sz w:val="24"/>
          <w:szCs w:val="24"/>
        </w:rPr>
        <w:t>85% прожиточного минимума для трудоспособного населения</w:t>
      </w:r>
      <w:r>
        <w:rPr>
          <w:rFonts w:ascii="Times New Roman" w:hAnsi="Times New Roman"/>
          <w:sz w:val="24"/>
          <w:szCs w:val="24"/>
        </w:rPr>
        <w:t>) и с января 2019 года -  до 100 % п</w:t>
      </w:r>
      <w:r w:rsidRPr="004F5355">
        <w:rPr>
          <w:rFonts w:ascii="Times New Roman" w:hAnsi="Times New Roman"/>
          <w:sz w:val="24"/>
          <w:szCs w:val="24"/>
        </w:rPr>
        <w:t>рожиточн</w:t>
      </w:r>
      <w:r>
        <w:rPr>
          <w:rFonts w:ascii="Times New Roman" w:hAnsi="Times New Roman"/>
          <w:sz w:val="24"/>
          <w:szCs w:val="24"/>
        </w:rPr>
        <w:t>ого</w:t>
      </w:r>
      <w:r w:rsidRPr="004F5355">
        <w:rPr>
          <w:rFonts w:ascii="Times New Roman" w:hAnsi="Times New Roman"/>
          <w:sz w:val="24"/>
          <w:szCs w:val="24"/>
        </w:rPr>
        <w:t xml:space="preserve"> минимум</w:t>
      </w:r>
      <w:r>
        <w:rPr>
          <w:rFonts w:ascii="Times New Roman" w:hAnsi="Times New Roman"/>
          <w:sz w:val="24"/>
          <w:szCs w:val="24"/>
        </w:rPr>
        <w:t xml:space="preserve">а. </w:t>
      </w:r>
      <w:r w:rsidRPr="007D2481">
        <w:rPr>
          <w:rFonts w:ascii="Times New Roman" w:hAnsi="Times New Roman"/>
          <w:sz w:val="24"/>
          <w:szCs w:val="24"/>
        </w:rPr>
        <w:t xml:space="preserve">Повышение МРОТ в большей мере повлияет на </w:t>
      </w:r>
      <w:r w:rsidR="00475D1C">
        <w:rPr>
          <w:rFonts w:ascii="Times New Roman" w:hAnsi="Times New Roman"/>
          <w:sz w:val="24"/>
          <w:szCs w:val="24"/>
        </w:rPr>
        <w:t xml:space="preserve">заработную плату </w:t>
      </w:r>
      <w:r w:rsidRPr="007D2481">
        <w:rPr>
          <w:rFonts w:ascii="Times New Roman" w:hAnsi="Times New Roman"/>
          <w:sz w:val="24"/>
          <w:szCs w:val="24"/>
        </w:rPr>
        <w:t>работников бюджетной сферы</w:t>
      </w:r>
      <w:r>
        <w:rPr>
          <w:rFonts w:ascii="Times New Roman" w:hAnsi="Times New Roman"/>
          <w:sz w:val="24"/>
          <w:szCs w:val="24"/>
        </w:rPr>
        <w:t>.</w:t>
      </w:r>
    </w:p>
    <w:p w:rsidR="00DD189C" w:rsidRPr="00273366" w:rsidRDefault="00DD189C" w:rsidP="005365B8">
      <w:pPr>
        <w:pStyle w:val="af"/>
        <w:numPr>
          <w:ilvl w:val="0"/>
          <w:numId w:val="2"/>
        </w:numPr>
        <w:spacing w:line="276" w:lineRule="auto"/>
        <w:ind w:left="0" w:firstLine="709"/>
        <w:jc w:val="both"/>
        <w:rPr>
          <w:bCs/>
          <w:sz w:val="24"/>
          <w:szCs w:val="24"/>
          <w:lang w:eastAsia="ar-SA"/>
        </w:rPr>
      </w:pPr>
      <w:proofErr w:type="gramStart"/>
      <w:r w:rsidRPr="00273366">
        <w:rPr>
          <w:sz w:val="24"/>
          <w:szCs w:val="24"/>
        </w:rPr>
        <w:t>В целом за прогнозный</w:t>
      </w:r>
      <w:r w:rsidRPr="00273366">
        <w:rPr>
          <w:bCs/>
          <w:sz w:val="24"/>
          <w:szCs w:val="24"/>
          <w:lang w:eastAsia="ar-SA"/>
        </w:rPr>
        <w:t xml:space="preserve"> период 2018 – 2020 годов с учетом планируемых темпов повышения заработной </w:t>
      </w:r>
      <w:r w:rsidRPr="009334E3">
        <w:rPr>
          <w:bCs/>
          <w:sz w:val="24"/>
          <w:szCs w:val="24"/>
          <w:lang w:eastAsia="ar-SA"/>
        </w:rPr>
        <w:t xml:space="preserve">платы </w:t>
      </w:r>
      <w:r w:rsidR="00116FB6" w:rsidRPr="009334E3">
        <w:rPr>
          <w:bCs/>
          <w:sz w:val="24"/>
          <w:szCs w:val="24"/>
          <w:lang w:eastAsia="ar-SA"/>
        </w:rPr>
        <w:t xml:space="preserve">на предприятиях города, </w:t>
      </w:r>
      <w:r w:rsidRPr="009334E3">
        <w:rPr>
          <w:bCs/>
          <w:sz w:val="24"/>
          <w:szCs w:val="24"/>
          <w:lang w:eastAsia="ar-SA"/>
        </w:rPr>
        <w:t>отдельным</w:t>
      </w:r>
      <w:r w:rsidRPr="00273366">
        <w:rPr>
          <w:bCs/>
          <w:sz w:val="24"/>
          <w:szCs w:val="24"/>
          <w:lang w:eastAsia="ar-SA"/>
        </w:rPr>
        <w:t xml:space="preserve"> категориям работников бюджетной сферы в соответствии с реализацией планов мероприятий («дорожных карт») по совершенствованию оплаты труда в сфере культуры, здравоохранения, социального обслуживания населения и образования,  постепенного доведения минимального размера оплаты труда работников до уровня прожиточного минимума, среднемесячная заработная плата может увеличиться</w:t>
      </w:r>
      <w:proofErr w:type="gramEnd"/>
      <w:r w:rsidRPr="00273366">
        <w:rPr>
          <w:bCs/>
          <w:sz w:val="24"/>
          <w:szCs w:val="24"/>
          <w:lang w:eastAsia="ar-SA"/>
        </w:rPr>
        <w:t xml:space="preserve"> в реальном выражении – </w:t>
      </w:r>
      <w:r>
        <w:rPr>
          <w:bCs/>
          <w:sz w:val="24"/>
          <w:szCs w:val="24"/>
          <w:lang w:eastAsia="ar-SA"/>
        </w:rPr>
        <w:t>на</w:t>
      </w:r>
      <w:r w:rsidRPr="00273366">
        <w:rPr>
          <w:bCs/>
          <w:sz w:val="24"/>
          <w:szCs w:val="24"/>
          <w:lang w:eastAsia="ar-SA"/>
        </w:rPr>
        <w:t xml:space="preserve"> 5,</w:t>
      </w:r>
      <w:r>
        <w:rPr>
          <w:bCs/>
          <w:sz w:val="24"/>
          <w:szCs w:val="24"/>
          <w:lang w:eastAsia="ar-SA"/>
        </w:rPr>
        <w:t>6</w:t>
      </w:r>
      <w:r w:rsidRPr="00273366">
        <w:rPr>
          <w:bCs/>
          <w:sz w:val="24"/>
          <w:szCs w:val="24"/>
          <w:lang w:eastAsia="ar-SA"/>
        </w:rPr>
        <w:t>-9,6</w:t>
      </w:r>
      <w:r w:rsidR="00907815">
        <w:rPr>
          <w:bCs/>
          <w:sz w:val="24"/>
          <w:szCs w:val="24"/>
          <w:lang w:eastAsia="ar-SA"/>
        </w:rPr>
        <w:t xml:space="preserve"> </w:t>
      </w:r>
      <w:r w:rsidRPr="00273366">
        <w:rPr>
          <w:bCs/>
          <w:sz w:val="24"/>
          <w:szCs w:val="24"/>
          <w:lang w:eastAsia="ar-SA"/>
        </w:rPr>
        <w:t>%</w:t>
      </w:r>
      <w:r w:rsidR="00907815">
        <w:rPr>
          <w:bCs/>
          <w:sz w:val="24"/>
          <w:szCs w:val="24"/>
          <w:lang w:eastAsia="ar-SA"/>
        </w:rPr>
        <w:t>% по вариантам прогноза</w:t>
      </w:r>
      <w:r>
        <w:rPr>
          <w:bCs/>
          <w:sz w:val="24"/>
          <w:szCs w:val="24"/>
          <w:lang w:eastAsia="ar-SA"/>
        </w:rPr>
        <w:t xml:space="preserve"> и составить</w:t>
      </w:r>
      <w:r w:rsidRPr="00273366">
        <w:rPr>
          <w:bCs/>
          <w:sz w:val="24"/>
          <w:szCs w:val="24"/>
          <w:lang w:eastAsia="ar-SA"/>
        </w:rPr>
        <w:t xml:space="preserve"> 38</w:t>
      </w:r>
      <w:r>
        <w:rPr>
          <w:bCs/>
          <w:sz w:val="24"/>
          <w:szCs w:val="24"/>
          <w:lang w:eastAsia="ar-SA"/>
        </w:rPr>
        <w:t>,8</w:t>
      </w:r>
      <w:r w:rsidRPr="00273366">
        <w:rPr>
          <w:bCs/>
          <w:sz w:val="24"/>
          <w:szCs w:val="24"/>
          <w:lang w:eastAsia="ar-SA"/>
        </w:rPr>
        <w:t>-</w:t>
      </w:r>
      <w:r>
        <w:rPr>
          <w:bCs/>
          <w:sz w:val="24"/>
          <w:szCs w:val="24"/>
          <w:lang w:eastAsia="ar-SA"/>
        </w:rPr>
        <w:t>40,2 тыс.</w:t>
      </w:r>
      <w:r w:rsidRPr="00273366">
        <w:rPr>
          <w:bCs/>
          <w:sz w:val="24"/>
          <w:szCs w:val="24"/>
          <w:lang w:eastAsia="ar-SA"/>
        </w:rPr>
        <w:t xml:space="preserve"> рублей по двум вариантам соответственно</w:t>
      </w:r>
      <w:r>
        <w:rPr>
          <w:bCs/>
          <w:sz w:val="24"/>
          <w:szCs w:val="24"/>
          <w:lang w:eastAsia="ar-SA"/>
        </w:rPr>
        <w:t>.</w:t>
      </w:r>
      <w:r w:rsidRPr="00273366">
        <w:rPr>
          <w:bCs/>
          <w:sz w:val="24"/>
          <w:szCs w:val="24"/>
          <w:lang w:eastAsia="ar-SA"/>
        </w:rPr>
        <w:t xml:space="preserve"> </w:t>
      </w:r>
    </w:p>
    <w:p w:rsidR="00DD189C" w:rsidRPr="002520A8" w:rsidRDefault="00DD189C" w:rsidP="005365B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520A8">
        <w:rPr>
          <w:rFonts w:ascii="Times New Roman" w:hAnsi="Times New Roman"/>
          <w:sz w:val="24"/>
          <w:szCs w:val="24"/>
        </w:rPr>
        <w:t>беспечение социально уязвимых групп населения и социальные обязательства перед населением городского округа будут выполняться в приоритетном порядке в соответствии с действующим законодательством.</w:t>
      </w:r>
    </w:p>
    <w:p w:rsidR="0024525F" w:rsidRPr="00E22255" w:rsidRDefault="0024525F" w:rsidP="00E4738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52845" w:rsidRPr="001F4F3D" w:rsidRDefault="00252845" w:rsidP="004626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4F3D">
        <w:rPr>
          <w:rFonts w:ascii="Times New Roman" w:hAnsi="Times New Roman"/>
          <w:b/>
          <w:sz w:val="24"/>
          <w:szCs w:val="24"/>
        </w:rPr>
        <w:t>Транспорт</w:t>
      </w:r>
    </w:p>
    <w:p w:rsidR="00252845" w:rsidRPr="001F4F3D" w:rsidRDefault="00252845" w:rsidP="0025284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52845" w:rsidRPr="001F4F3D" w:rsidRDefault="00252845" w:rsidP="005365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4F3D">
        <w:rPr>
          <w:rFonts w:ascii="Times New Roman" w:hAnsi="Times New Roman"/>
          <w:sz w:val="24"/>
          <w:szCs w:val="24"/>
        </w:rPr>
        <w:t xml:space="preserve">Создание условий для предоставления транспортных услуг населению и организации транспортного обслуживания населения в границах городского округа является одним из важных вопросов местного значения. </w:t>
      </w:r>
    </w:p>
    <w:p w:rsidR="00252845" w:rsidRPr="001F4F3D" w:rsidRDefault="00252845" w:rsidP="005365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310F">
        <w:rPr>
          <w:rFonts w:ascii="Times New Roman" w:hAnsi="Times New Roman"/>
          <w:sz w:val="24"/>
          <w:szCs w:val="24"/>
        </w:rPr>
        <w:lastRenderedPageBreak/>
        <w:t xml:space="preserve">По первому варианту прогнозируется снижение объемов пассажирооборота, что объясняется </w:t>
      </w:r>
      <w:r w:rsidR="00475D1C">
        <w:rPr>
          <w:rFonts w:ascii="Times New Roman" w:hAnsi="Times New Roman"/>
          <w:sz w:val="24"/>
          <w:szCs w:val="24"/>
        </w:rPr>
        <w:t xml:space="preserve">сохранением негативных трендов в социально-экономическом развитии города (снижение численности населения, </w:t>
      </w:r>
      <w:r w:rsidR="00907815">
        <w:rPr>
          <w:rFonts w:ascii="Times New Roman" w:hAnsi="Times New Roman"/>
          <w:sz w:val="24"/>
          <w:szCs w:val="24"/>
        </w:rPr>
        <w:t xml:space="preserve">возможное </w:t>
      </w:r>
      <w:r w:rsidR="00475D1C">
        <w:rPr>
          <w:rFonts w:ascii="Times New Roman" w:hAnsi="Times New Roman"/>
          <w:sz w:val="24"/>
          <w:szCs w:val="24"/>
        </w:rPr>
        <w:t>высвобождение работников и др.)</w:t>
      </w:r>
      <w:r w:rsidRPr="00F6310F">
        <w:rPr>
          <w:rFonts w:ascii="Times New Roman" w:hAnsi="Times New Roman"/>
          <w:sz w:val="24"/>
          <w:szCs w:val="24"/>
        </w:rPr>
        <w:t xml:space="preserve">. </w:t>
      </w:r>
      <w:r w:rsidRPr="001F4F3D">
        <w:rPr>
          <w:rFonts w:ascii="Times New Roman" w:hAnsi="Times New Roman"/>
          <w:sz w:val="24"/>
          <w:szCs w:val="24"/>
        </w:rPr>
        <w:t>Пассажирооборот в 2020 году по сравнению с 2017 годом снизится по первому варианту на 0,4 %.</w:t>
      </w:r>
    </w:p>
    <w:p w:rsidR="00252845" w:rsidRPr="001F4F3D" w:rsidRDefault="00252845" w:rsidP="005365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F4F3D">
        <w:rPr>
          <w:rFonts w:ascii="Times New Roman" w:hAnsi="Times New Roman"/>
          <w:sz w:val="24"/>
          <w:szCs w:val="24"/>
        </w:rPr>
        <w:t xml:space="preserve">Гибкость тарифной политики перевозчиков, повышение качества предоставляемых услуг на рынке транспортных услуг могут улучшить значение показателя по второму варианту прогноза: ожидается увеличение пассажирооборота на 3,9 % к уровню 2017 года. </w:t>
      </w:r>
    </w:p>
    <w:p w:rsidR="00252845" w:rsidRPr="001F4F3D" w:rsidRDefault="00252845" w:rsidP="005365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4F3D">
        <w:rPr>
          <w:rFonts w:ascii="Times New Roman" w:hAnsi="Times New Roman"/>
          <w:sz w:val="24"/>
          <w:szCs w:val="24"/>
        </w:rPr>
        <w:t xml:space="preserve">В прогнозном периоде будут прорабатываться вопросы повышения качества и доступности транспортных услуг, увеличения доли обеспеченности нового подвижного состава парка муниципальных транспортных предприятий, в </w:t>
      </w:r>
      <w:proofErr w:type="gramStart"/>
      <w:r w:rsidRPr="001F4F3D">
        <w:rPr>
          <w:rFonts w:ascii="Times New Roman" w:hAnsi="Times New Roman"/>
          <w:sz w:val="24"/>
          <w:szCs w:val="24"/>
        </w:rPr>
        <w:t>связи</w:t>
      </w:r>
      <w:proofErr w:type="gramEnd"/>
      <w:r w:rsidRPr="001F4F3D">
        <w:rPr>
          <w:rFonts w:ascii="Times New Roman" w:hAnsi="Times New Roman"/>
          <w:sz w:val="24"/>
          <w:szCs w:val="24"/>
        </w:rPr>
        <w:t xml:space="preserve"> с чем увеличится привлекательность пассажирского транспорта и создадутся более комфортные условия передвижения на общественном транспорте жителей и гостей города.</w:t>
      </w:r>
    </w:p>
    <w:p w:rsidR="00252845" w:rsidRPr="008547AB" w:rsidRDefault="00252845" w:rsidP="005365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02E3A">
        <w:rPr>
          <w:rFonts w:ascii="Times New Roman" w:hAnsi="Times New Roman"/>
          <w:sz w:val="24"/>
          <w:szCs w:val="24"/>
        </w:rPr>
        <w:t xml:space="preserve">В 2018 – 2020 годах прогнозируется </w:t>
      </w:r>
      <w:r w:rsidRPr="008547AB">
        <w:rPr>
          <w:rFonts w:ascii="Times New Roman" w:hAnsi="Times New Roman"/>
          <w:sz w:val="24"/>
          <w:szCs w:val="24"/>
        </w:rPr>
        <w:t>рост объемов грузооборота</w:t>
      </w:r>
      <w:r>
        <w:rPr>
          <w:rFonts w:ascii="Times New Roman" w:hAnsi="Times New Roman"/>
          <w:sz w:val="24"/>
          <w:szCs w:val="24"/>
        </w:rPr>
        <w:t>:</w:t>
      </w:r>
      <w:r w:rsidRPr="008547AB">
        <w:rPr>
          <w:rFonts w:ascii="Times New Roman" w:hAnsi="Times New Roman"/>
          <w:sz w:val="24"/>
          <w:szCs w:val="24"/>
        </w:rPr>
        <w:t xml:space="preserve"> к</w:t>
      </w:r>
      <w:r w:rsidRPr="00F02E3A">
        <w:rPr>
          <w:rFonts w:ascii="Times New Roman" w:hAnsi="Times New Roman"/>
          <w:sz w:val="24"/>
          <w:szCs w:val="24"/>
        </w:rPr>
        <w:t xml:space="preserve"> концу 2020 года</w:t>
      </w:r>
      <w:r w:rsidRPr="008547AB">
        <w:rPr>
          <w:rFonts w:ascii="Times New Roman" w:hAnsi="Times New Roman"/>
          <w:sz w:val="24"/>
          <w:szCs w:val="24"/>
        </w:rPr>
        <w:t xml:space="preserve"> </w:t>
      </w:r>
      <w:r w:rsidRPr="00F02E3A">
        <w:rPr>
          <w:rFonts w:ascii="Times New Roman" w:hAnsi="Times New Roman"/>
          <w:sz w:val="24"/>
          <w:szCs w:val="24"/>
        </w:rPr>
        <w:t>по сравнению с 2017 годом</w:t>
      </w:r>
      <w:r w:rsidRPr="008547AB">
        <w:rPr>
          <w:rFonts w:ascii="Times New Roman" w:hAnsi="Times New Roman"/>
          <w:sz w:val="24"/>
          <w:szCs w:val="24"/>
        </w:rPr>
        <w:t xml:space="preserve"> на 4,6 %</w:t>
      </w:r>
      <w:r w:rsidRPr="00F02E3A">
        <w:rPr>
          <w:rFonts w:ascii="Times New Roman" w:hAnsi="Times New Roman"/>
          <w:sz w:val="24"/>
          <w:szCs w:val="24"/>
        </w:rPr>
        <w:t xml:space="preserve"> </w:t>
      </w:r>
      <w:r w:rsidRPr="008547AB">
        <w:rPr>
          <w:rFonts w:ascii="Times New Roman" w:hAnsi="Times New Roman"/>
          <w:sz w:val="24"/>
          <w:szCs w:val="24"/>
        </w:rPr>
        <w:t xml:space="preserve">по первому варианту </w:t>
      </w:r>
      <w:r w:rsidRPr="00F02E3A">
        <w:rPr>
          <w:rFonts w:ascii="Times New Roman" w:hAnsi="Times New Roman"/>
          <w:sz w:val="24"/>
          <w:szCs w:val="24"/>
        </w:rPr>
        <w:t xml:space="preserve">и на 72,8 % - по второму варианту прогноза </w:t>
      </w:r>
      <w:r w:rsidRPr="008547AB">
        <w:rPr>
          <w:rFonts w:ascii="Times New Roman" w:hAnsi="Times New Roman"/>
          <w:sz w:val="24"/>
          <w:szCs w:val="24"/>
        </w:rPr>
        <w:t xml:space="preserve">за счет расширения клиентской базы и в целом роста профессиональных услуг грузоперевозок. </w:t>
      </w:r>
      <w:r w:rsidR="00475D1C">
        <w:rPr>
          <w:rFonts w:ascii="Times New Roman" w:hAnsi="Times New Roman"/>
          <w:sz w:val="24"/>
          <w:szCs w:val="24"/>
        </w:rPr>
        <w:t>Ожидается рост</w:t>
      </w:r>
      <w:r w:rsidR="00475D1C" w:rsidRPr="00475D1C">
        <w:rPr>
          <w:rFonts w:ascii="Times New Roman" w:hAnsi="Times New Roman"/>
          <w:sz w:val="24"/>
          <w:szCs w:val="24"/>
        </w:rPr>
        <w:t xml:space="preserve"> </w:t>
      </w:r>
      <w:r w:rsidR="00475D1C" w:rsidRPr="008547AB">
        <w:rPr>
          <w:rFonts w:ascii="Times New Roman" w:hAnsi="Times New Roman"/>
          <w:sz w:val="24"/>
          <w:szCs w:val="24"/>
        </w:rPr>
        <w:t>конкурентоспособн</w:t>
      </w:r>
      <w:r w:rsidR="00475D1C">
        <w:rPr>
          <w:rFonts w:ascii="Times New Roman" w:hAnsi="Times New Roman"/>
          <w:sz w:val="24"/>
          <w:szCs w:val="24"/>
        </w:rPr>
        <w:t>ой</w:t>
      </w:r>
      <w:r w:rsidR="00475D1C" w:rsidRPr="008547AB">
        <w:rPr>
          <w:rFonts w:ascii="Times New Roman" w:hAnsi="Times New Roman"/>
          <w:sz w:val="24"/>
          <w:szCs w:val="24"/>
        </w:rPr>
        <w:t xml:space="preserve"> сред</w:t>
      </w:r>
      <w:r w:rsidR="00475D1C">
        <w:rPr>
          <w:rFonts w:ascii="Times New Roman" w:hAnsi="Times New Roman"/>
          <w:sz w:val="24"/>
          <w:szCs w:val="24"/>
        </w:rPr>
        <w:t>ы</w:t>
      </w:r>
      <w:r w:rsidRPr="008547AB">
        <w:rPr>
          <w:rFonts w:ascii="Times New Roman" w:hAnsi="Times New Roman"/>
          <w:sz w:val="24"/>
          <w:szCs w:val="24"/>
        </w:rPr>
        <w:t xml:space="preserve"> на рынке автомобильных грузоперевозок, что приведет к повышению качества услуг и увеличению грузооборота.</w:t>
      </w:r>
    </w:p>
    <w:p w:rsidR="00252845" w:rsidRPr="00E22255" w:rsidRDefault="00252845" w:rsidP="00252845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52845" w:rsidRPr="00F02E3A" w:rsidRDefault="00252845" w:rsidP="002528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2E3A">
        <w:rPr>
          <w:rFonts w:ascii="Times New Roman" w:hAnsi="Times New Roman"/>
          <w:b/>
          <w:sz w:val="24"/>
          <w:szCs w:val="24"/>
        </w:rPr>
        <w:t>Связь</w:t>
      </w:r>
    </w:p>
    <w:p w:rsidR="00252845" w:rsidRPr="00F02E3A" w:rsidRDefault="00252845" w:rsidP="0025284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52845" w:rsidRPr="00F02E3A" w:rsidRDefault="00252845" w:rsidP="0025284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E3A">
        <w:rPr>
          <w:rFonts w:ascii="Times New Roman" w:hAnsi="Times New Roman"/>
          <w:sz w:val="24"/>
          <w:szCs w:val="24"/>
        </w:rPr>
        <w:t xml:space="preserve">В 2018-2020 годах ожидается дальнейшее развитие услуг в сфере связи. Телефонизация неразрывно связана с развитием первичной сети, заменой физически и морально устаревшего оборудования на значительных участках региональных сетей, а также внедрением новых технологий. </w:t>
      </w:r>
    </w:p>
    <w:p w:rsidR="00252845" w:rsidRDefault="00252845" w:rsidP="0025284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795D">
        <w:rPr>
          <w:rFonts w:ascii="Times New Roman" w:hAnsi="Times New Roman"/>
          <w:sz w:val="24"/>
          <w:szCs w:val="24"/>
        </w:rPr>
        <w:t xml:space="preserve">Телефонные компании продолжат модернизировать свое оборудование из </w:t>
      </w:r>
      <w:proofErr w:type="spellStart"/>
      <w:r w:rsidRPr="00BE795D">
        <w:rPr>
          <w:rFonts w:ascii="Times New Roman" w:hAnsi="Times New Roman"/>
          <w:sz w:val="24"/>
          <w:szCs w:val="24"/>
        </w:rPr>
        <w:t>аналогово</w:t>
      </w:r>
      <w:proofErr w:type="spellEnd"/>
      <w:r w:rsidRPr="00BE79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795D">
        <w:rPr>
          <w:rFonts w:ascii="Times New Roman" w:hAnsi="Times New Roman"/>
          <w:sz w:val="24"/>
          <w:szCs w:val="24"/>
        </w:rPr>
        <w:t>в</w:t>
      </w:r>
      <w:proofErr w:type="gramEnd"/>
      <w:r w:rsidRPr="00BE795D">
        <w:rPr>
          <w:rFonts w:ascii="Times New Roman" w:hAnsi="Times New Roman"/>
          <w:sz w:val="24"/>
          <w:szCs w:val="24"/>
        </w:rPr>
        <w:t xml:space="preserve"> цифровое. Провайдеры вкладывают средства в технологии, позволяющие значительно расширить полосу пропускания абонентских линий и передавать по этим линиям не только высокоскоростные потоки данных, но и видеосигналы. </w:t>
      </w:r>
    </w:p>
    <w:p w:rsidR="00252845" w:rsidRPr="00BE795D" w:rsidRDefault="00252845" w:rsidP="0025284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прогнозном периоде</w:t>
      </w:r>
      <w:r w:rsidRPr="00DA64C0">
        <w:rPr>
          <w:rFonts w:ascii="Times New Roman" w:hAnsi="Times New Roman"/>
          <w:sz w:val="24"/>
          <w:szCs w:val="24"/>
        </w:rPr>
        <w:t xml:space="preserve"> предполагает</w:t>
      </w:r>
      <w:r>
        <w:rPr>
          <w:rFonts w:ascii="Times New Roman" w:hAnsi="Times New Roman"/>
          <w:sz w:val="24"/>
          <w:szCs w:val="24"/>
        </w:rPr>
        <w:t>ся</w:t>
      </w:r>
      <w:r w:rsidRPr="00DA64C0">
        <w:rPr>
          <w:rFonts w:ascii="Times New Roman" w:hAnsi="Times New Roman"/>
          <w:sz w:val="24"/>
          <w:szCs w:val="24"/>
        </w:rPr>
        <w:t xml:space="preserve"> стабилизаци</w:t>
      </w:r>
      <w:r>
        <w:rPr>
          <w:rFonts w:ascii="Times New Roman" w:hAnsi="Times New Roman"/>
          <w:sz w:val="24"/>
          <w:szCs w:val="24"/>
        </w:rPr>
        <w:t>я</w:t>
      </w:r>
      <w:r w:rsidRPr="00DA64C0">
        <w:rPr>
          <w:rFonts w:ascii="Times New Roman" w:hAnsi="Times New Roman"/>
          <w:sz w:val="24"/>
          <w:szCs w:val="24"/>
        </w:rPr>
        <w:t xml:space="preserve"> социально-экономической ситуации в городе с последующим выходом экономики на стадию устойчивого развития. Важнейшими факторами стабилизации экономическ</w:t>
      </w:r>
      <w:r>
        <w:rPr>
          <w:rFonts w:ascii="Times New Roman" w:hAnsi="Times New Roman"/>
          <w:sz w:val="24"/>
          <w:szCs w:val="24"/>
        </w:rPr>
        <w:t>ой ситуации</w:t>
      </w:r>
      <w:r w:rsidRPr="00DA64C0">
        <w:rPr>
          <w:rFonts w:ascii="Times New Roman" w:hAnsi="Times New Roman"/>
          <w:sz w:val="24"/>
          <w:szCs w:val="24"/>
        </w:rPr>
        <w:t xml:space="preserve"> в 2018 – 2020 годах будут выступать повышение уровня доходов населения, поддержка низко обеспеченных категорий граждан, выполнение социальных гарантий и обязательств перед населением. По </w:t>
      </w:r>
      <w:r>
        <w:rPr>
          <w:rFonts w:ascii="Times New Roman" w:hAnsi="Times New Roman"/>
          <w:sz w:val="24"/>
          <w:szCs w:val="24"/>
        </w:rPr>
        <w:t>первому и второму</w:t>
      </w:r>
      <w:r w:rsidRPr="00DA64C0">
        <w:rPr>
          <w:rFonts w:ascii="Times New Roman" w:hAnsi="Times New Roman"/>
          <w:sz w:val="24"/>
          <w:szCs w:val="24"/>
        </w:rPr>
        <w:t xml:space="preserve"> вариант</w:t>
      </w:r>
      <w:r>
        <w:rPr>
          <w:rFonts w:ascii="Times New Roman" w:hAnsi="Times New Roman"/>
          <w:sz w:val="24"/>
          <w:szCs w:val="24"/>
        </w:rPr>
        <w:t>ам</w:t>
      </w:r>
      <w:r w:rsidRPr="00DA64C0">
        <w:rPr>
          <w:rFonts w:ascii="Times New Roman" w:hAnsi="Times New Roman"/>
          <w:sz w:val="24"/>
          <w:szCs w:val="24"/>
        </w:rPr>
        <w:t xml:space="preserve"> развития в 2018 – 2020 годах число абонентов буд</w:t>
      </w:r>
      <w:r>
        <w:rPr>
          <w:rFonts w:ascii="Times New Roman" w:hAnsi="Times New Roman"/>
          <w:sz w:val="24"/>
          <w:szCs w:val="24"/>
        </w:rPr>
        <w:t>е</w:t>
      </w:r>
      <w:r w:rsidRPr="00DA64C0">
        <w:rPr>
          <w:rFonts w:ascii="Times New Roman" w:hAnsi="Times New Roman"/>
          <w:sz w:val="24"/>
          <w:szCs w:val="24"/>
        </w:rPr>
        <w:t>т стабильно сохраняться.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95D">
        <w:rPr>
          <w:rFonts w:ascii="Times New Roman" w:hAnsi="Times New Roman"/>
          <w:sz w:val="24"/>
          <w:szCs w:val="24"/>
        </w:rPr>
        <w:t xml:space="preserve">Обеспеченность населения квартирными телефонными аппаратами сети общего пользования в 2020 году составит 16,7 телефонов на 100 жителей городского округа Тольятти по двум вариантам прогноза.  </w:t>
      </w:r>
    </w:p>
    <w:p w:rsidR="00252845" w:rsidRDefault="00252845" w:rsidP="0025284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E3A">
        <w:rPr>
          <w:rFonts w:ascii="Times New Roman" w:hAnsi="Times New Roman"/>
          <w:sz w:val="24"/>
          <w:szCs w:val="24"/>
        </w:rPr>
        <w:t xml:space="preserve">Наряду с развитием традиционных видов связи планируется расширение сетей сотовой связи (в том числе развитие технологии LTE), Интернета, IP-телефонии, интеллектуальных сетей и других видов связи. </w:t>
      </w:r>
    </w:p>
    <w:p w:rsidR="00252845" w:rsidRPr="00BE795D" w:rsidRDefault="00252845" w:rsidP="0025284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795D">
        <w:rPr>
          <w:rFonts w:ascii="Times New Roman" w:hAnsi="Times New Roman"/>
          <w:sz w:val="24"/>
          <w:szCs w:val="24"/>
        </w:rPr>
        <w:t xml:space="preserve">В прогнозном периоде ожидается стабильное и планомерное развитие рынка мобильной связи на территории городского округа Тольятти. </w:t>
      </w:r>
    </w:p>
    <w:p w:rsidR="00252845" w:rsidRPr="00BE795D" w:rsidRDefault="00252845" w:rsidP="00252845">
      <w:pPr>
        <w:shd w:val="clear" w:color="auto" w:fill="FFFFFF"/>
        <w:spacing w:after="0"/>
        <w:ind w:firstLine="69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795D">
        <w:rPr>
          <w:rFonts w:ascii="Times New Roman" w:hAnsi="Times New Roman"/>
          <w:sz w:val="24"/>
          <w:szCs w:val="24"/>
        </w:rPr>
        <w:lastRenderedPageBreak/>
        <w:t>Приоритетными направлениями деятельности операторов сотовой связи в прогнозном периоде останутся: расширение зоны покрытия с целью улучшения качества сотовой связи, разработка новых тарифных предложений, ориентированных на различные целевые группы населения, поддержание конкурентных цен на услуги связи; активизация работы по привлечению корпоративных клиентов, расширение сети офисов продаж, экспресс обслуживания, организация услуг самообслуживания и др.</w:t>
      </w:r>
      <w:proofErr w:type="gramEnd"/>
    </w:p>
    <w:p w:rsidR="00252845" w:rsidRPr="00BE795D" w:rsidRDefault="00252845" w:rsidP="0025284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795D">
        <w:rPr>
          <w:rFonts w:ascii="Times New Roman" w:hAnsi="Times New Roman"/>
          <w:sz w:val="24"/>
          <w:szCs w:val="24"/>
        </w:rPr>
        <w:t>В 2018-2020 годах продолжится внедрение протокола беспроводного доступа в сеть Интернет по различным технологиям операторами сотовой связи и провайдерами Интернет (услуги широкополосного высокоскоростного доступа в Интернет как по технологии 3G, 4G модем, так и по технологии «оптика до здания» - FTTB).</w:t>
      </w:r>
    </w:p>
    <w:p w:rsidR="00252845" w:rsidRPr="00E22255" w:rsidRDefault="00252845" w:rsidP="00D049C4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4525F" w:rsidRPr="005A052E" w:rsidRDefault="0024525F" w:rsidP="00A757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052E">
        <w:rPr>
          <w:rFonts w:ascii="Times New Roman" w:hAnsi="Times New Roman"/>
          <w:b/>
          <w:sz w:val="24"/>
          <w:szCs w:val="24"/>
        </w:rPr>
        <w:t>Образование</w:t>
      </w:r>
    </w:p>
    <w:p w:rsidR="0024525F" w:rsidRPr="00E22255" w:rsidRDefault="0024525F" w:rsidP="009154B8">
      <w:pPr>
        <w:spacing w:after="0"/>
        <w:ind w:firstLine="709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5A052E" w:rsidRPr="001E7BFE" w:rsidRDefault="005A052E" w:rsidP="005A052E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BFE">
        <w:rPr>
          <w:rFonts w:ascii="Times New Roman" w:hAnsi="Times New Roman" w:cs="Times New Roman"/>
          <w:sz w:val="24"/>
          <w:szCs w:val="24"/>
        </w:rPr>
        <w:t>Отрасль образования - одна из важнейшей составляющих социальной сферы городского округа Тольятти, развитие которой в прогнозном периоде является приоритетным направлением деятельности.</w:t>
      </w:r>
    </w:p>
    <w:p w:rsidR="005A052E" w:rsidRPr="001E7BFE" w:rsidRDefault="005A052E" w:rsidP="005A052E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BFE">
        <w:rPr>
          <w:rFonts w:ascii="Times New Roman" w:hAnsi="Times New Roman" w:cs="Times New Roman"/>
          <w:sz w:val="24"/>
          <w:szCs w:val="24"/>
        </w:rPr>
        <w:t>В системе дошкольного образования в 2018-2020 годы основным направлением</w:t>
      </w:r>
      <w:r w:rsidR="00E700E1">
        <w:rPr>
          <w:rFonts w:ascii="Times New Roman" w:hAnsi="Times New Roman" w:cs="Times New Roman"/>
          <w:sz w:val="24"/>
          <w:szCs w:val="24"/>
        </w:rPr>
        <w:t>,</w:t>
      </w:r>
      <w:r w:rsidRPr="001E7BFE">
        <w:rPr>
          <w:rFonts w:ascii="Times New Roman" w:hAnsi="Times New Roman" w:cs="Times New Roman"/>
          <w:sz w:val="24"/>
          <w:szCs w:val="24"/>
        </w:rPr>
        <w:t xml:space="preserve"> по-прежнему</w:t>
      </w:r>
      <w:r w:rsidR="00E700E1">
        <w:rPr>
          <w:rFonts w:ascii="Times New Roman" w:hAnsi="Times New Roman" w:cs="Times New Roman"/>
          <w:sz w:val="24"/>
          <w:szCs w:val="24"/>
        </w:rPr>
        <w:t>,</w:t>
      </w:r>
      <w:r w:rsidRPr="001E7BFE">
        <w:rPr>
          <w:rFonts w:ascii="Times New Roman" w:hAnsi="Times New Roman" w:cs="Times New Roman"/>
          <w:sz w:val="24"/>
          <w:szCs w:val="24"/>
        </w:rPr>
        <w:t xml:space="preserve"> является повышение уровня обеспеченности населения местами в детских садах.</w:t>
      </w:r>
    </w:p>
    <w:p w:rsidR="005A052E" w:rsidRPr="00A7628A" w:rsidRDefault="005A052E" w:rsidP="005A052E">
      <w:pPr>
        <w:pStyle w:val="af1"/>
        <w:spacing w:line="276" w:lineRule="auto"/>
        <w:rPr>
          <w:sz w:val="24"/>
          <w:szCs w:val="24"/>
        </w:rPr>
      </w:pPr>
      <w:r w:rsidRPr="00A7628A">
        <w:rPr>
          <w:sz w:val="24"/>
          <w:szCs w:val="24"/>
        </w:rPr>
        <w:t>В целях исполнения Указа Президента Российской Федерации от 07.05.2012 № 599 в части ликвидации очередности возрастной группы от 3-х до 6-ти лет к 2020 году на территории городского округа Тольятти реализуются следующие мероприятия по созданию дополнительных мест</w:t>
      </w:r>
      <w:r>
        <w:rPr>
          <w:sz w:val="24"/>
          <w:szCs w:val="24"/>
        </w:rPr>
        <w:t xml:space="preserve"> в дошкольных образовательных учреждениях</w:t>
      </w:r>
      <w:r w:rsidRPr="00A7628A">
        <w:rPr>
          <w:sz w:val="24"/>
          <w:szCs w:val="24"/>
        </w:rPr>
        <w:t xml:space="preserve">: </w:t>
      </w:r>
    </w:p>
    <w:p w:rsidR="005A052E" w:rsidRPr="00A7628A" w:rsidRDefault="005A052E" w:rsidP="005A052E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628A">
        <w:rPr>
          <w:rFonts w:ascii="Times New Roman" w:hAnsi="Times New Roman"/>
          <w:sz w:val="24"/>
          <w:szCs w:val="24"/>
          <w:lang w:eastAsia="ar-SA"/>
        </w:rPr>
        <w:t xml:space="preserve">         - в 2018 году  будет создано  150 мест в детских садах в связи с перепрофилированием 10 групп компенсирующей направленности в группы </w:t>
      </w:r>
      <w:proofErr w:type="spellStart"/>
      <w:r w:rsidRPr="00A7628A">
        <w:rPr>
          <w:rFonts w:ascii="Times New Roman" w:hAnsi="Times New Roman"/>
          <w:sz w:val="24"/>
          <w:szCs w:val="24"/>
          <w:lang w:eastAsia="ar-SA"/>
        </w:rPr>
        <w:t>общеразвивающей</w:t>
      </w:r>
      <w:proofErr w:type="spellEnd"/>
      <w:r w:rsidRPr="00A7628A">
        <w:rPr>
          <w:rFonts w:ascii="Times New Roman" w:hAnsi="Times New Roman"/>
          <w:sz w:val="24"/>
          <w:szCs w:val="24"/>
          <w:lang w:eastAsia="ar-SA"/>
        </w:rPr>
        <w:t xml:space="preserve"> направленности;</w:t>
      </w:r>
    </w:p>
    <w:p w:rsidR="005A052E" w:rsidRPr="00A7628A" w:rsidRDefault="005A052E" w:rsidP="005A052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0" w:name="RANGE!A1:M32"/>
      <w:bookmarkEnd w:id="0"/>
      <w:r w:rsidRPr="00A7628A">
        <w:rPr>
          <w:rFonts w:ascii="Times New Roman" w:hAnsi="Times New Roman"/>
          <w:sz w:val="24"/>
          <w:szCs w:val="24"/>
          <w:lang w:eastAsia="ar-SA"/>
        </w:rPr>
        <w:t xml:space="preserve">- в 2019 году в связи с планируемой сдачей в эксплуатацию детского сада «Ладушки» в 20 квартале Автозаводского района, планируется создание  350 дополнительных мест </w:t>
      </w:r>
      <w:proofErr w:type="gramStart"/>
      <w:r w:rsidRPr="00A7628A">
        <w:rPr>
          <w:rFonts w:ascii="Times New Roman" w:hAnsi="Times New Roman"/>
          <w:sz w:val="24"/>
          <w:szCs w:val="24"/>
          <w:lang w:eastAsia="ar-SA"/>
        </w:rPr>
        <w:t xml:space="preserve">( </w:t>
      </w:r>
      <w:proofErr w:type="gramEnd"/>
      <w:r w:rsidRPr="00A7628A">
        <w:rPr>
          <w:rFonts w:ascii="Times New Roman" w:hAnsi="Times New Roman"/>
          <w:sz w:val="24"/>
          <w:szCs w:val="24"/>
          <w:lang w:eastAsia="ar-SA"/>
        </w:rPr>
        <w:t xml:space="preserve">в т.ч. 290 мест для детей в возрасте от 3 до 6 лет); </w:t>
      </w:r>
    </w:p>
    <w:p w:rsidR="005A052E" w:rsidRPr="00A7628A" w:rsidRDefault="005A052E" w:rsidP="005A052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628A">
        <w:rPr>
          <w:rFonts w:ascii="Times New Roman" w:hAnsi="Times New Roman"/>
          <w:sz w:val="24"/>
          <w:szCs w:val="24"/>
          <w:lang w:eastAsia="ar-SA"/>
        </w:rPr>
        <w:t xml:space="preserve">- в 2020 году в связи с окончанием реконструкции детского сада по адресу ул. </w:t>
      </w:r>
      <w:proofErr w:type="spellStart"/>
      <w:r w:rsidRPr="00A7628A">
        <w:rPr>
          <w:rFonts w:ascii="Times New Roman" w:hAnsi="Times New Roman"/>
          <w:sz w:val="24"/>
          <w:szCs w:val="24"/>
          <w:lang w:eastAsia="ar-SA"/>
        </w:rPr>
        <w:t>Ингельберга</w:t>
      </w:r>
      <w:proofErr w:type="spellEnd"/>
      <w:r w:rsidRPr="00A7628A">
        <w:rPr>
          <w:rFonts w:ascii="Times New Roman" w:hAnsi="Times New Roman"/>
          <w:sz w:val="24"/>
          <w:szCs w:val="24"/>
          <w:lang w:eastAsia="ar-SA"/>
        </w:rPr>
        <w:t>, 52 планируется создание  75 дополнительных мест (в т.ч. 54 места  для детей в возрасте от 3 до 6 лет).</w:t>
      </w:r>
    </w:p>
    <w:p w:rsidR="005A052E" w:rsidRPr="00A7628A" w:rsidRDefault="005A052E" w:rsidP="005A052E">
      <w:pPr>
        <w:pStyle w:val="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628A">
        <w:rPr>
          <w:rFonts w:ascii="Times New Roman" w:hAnsi="Times New Roman"/>
          <w:sz w:val="24"/>
          <w:szCs w:val="24"/>
          <w:lang w:eastAsia="ar-SA"/>
        </w:rPr>
        <w:t xml:space="preserve">Таким образом, комплекс мероприятий, планируемый к проведению в 2018-2020 годах, позволит дополнительно создать 575 мест (из них 494 - для детей в возрасте от 3 до 6 лет). </w:t>
      </w:r>
    </w:p>
    <w:p w:rsidR="005A052E" w:rsidRDefault="005A052E" w:rsidP="005365B8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7B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этом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в связи с высокой рождаемостью, наблюдаемой в городе после 2000-х годов</w:t>
      </w:r>
      <w:r w:rsidR="00772870">
        <w:rPr>
          <w:rFonts w:ascii="Times New Roman" w:hAnsi="Times New Roman"/>
          <w:sz w:val="24"/>
          <w:szCs w:val="24"/>
        </w:rPr>
        <w:t xml:space="preserve"> (пик рождаемости за последние 20 лет пришелся на 2012 -2015 годы)</w:t>
      </w:r>
      <w:r>
        <w:rPr>
          <w:rFonts w:ascii="Times New Roman" w:hAnsi="Times New Roman"/>
          <w:sz w:val="24"/>
          <w:szCs w:val="24"/>
        </w:rPr>
        <w:t>, т</w:t>
      </w:r>
      <w:r w:rsidRPr="001E7BFE">
        <w:rPr>
          <w:rFonts w:ascii="Times New Roman" w:hAnsi="Times New Roman"/>
          <w:sz w:val="24"/>
          <w:szCs w:val="24"/>
        </w:rPr>
        <w:t>емпы роста общего количества детей в возрасте 3-6 лет в городском округе Тольятти значительно опережают темпы увеличения количества мест в муниципальных дошкольных образовательных учреждениях</w:t>
      </w:r>
      <w:r>
        <w:rPr>
          <w:rFonts w:ascii="Times New Roman" w:hAnsi="Times New Roman"/>
          <w:sz w:val="24"/>
          <w:szCs w:val="24"/>
        </w:rPr>
        <w:t xml:space="preserve"> (ДОУ)</w:t>
      </w:r>
      <w:r w:rsidRPr="001E7BFE">
        <w:rPr>
          <w:rFonts w:ascii="Times New Roman" w:hAnsi="Times New Roman"/>
          <w:sz w:val="24"/>
          <w:szCs w:val="24"/>
        </w:rPr>
        <w:t>.</w:t>
      </w:r>
      <w:r w:rsidR="00772870" w:rsidRPr="00772870">
        <w:rPr>
          <w:rFonts w:ascii="Times New Roman" w:hAnsi="Times New Roman"/>
          <w:sz w:val="24"/>
          <w:szCs w:val="24"/>
        </w:rPr>
        <w:t xml:space="preserve"> </w:t>
      </w:r>
    </w:p>
    <w:p w:rsidR="005A052E" w:rsidRPr="00E22255" w:rsidRDefault="005A052E" w:rsidP="005365B8">
      <w:pPr>
        <w:pStyle w:val="3"/>
        <w:widowControl w:val="0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Так, прирост количества мест в ДОУ для детей 3-6 лет в прогнозном периоде составляет в среднем 0,5 % (150 мест), тогда как количество детей данного возраста в городе растет в среднем в год на 2,5 % (800 человек). </w:t>
      </w:r>
    </w:p>
    <w:p w:rsidR="005A052E" w:rsidRPr="00067F95" w:rsidRDefault="005A052E" w:rsidP="005365B8">
      <w:pPr>
        <w:tabs>
          <w:tab w:val="left" w:pos="750"/>
        </w:tabs>
        <w:overflowPunct w:val="0"/>
        <w:autoSpaceDE w:val="0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D4D24">
        <w:rPr>
          <w:rFonts w:ascii="Times New Roman" w:hAnsi="Times New Roman"/>
          <w:sz w:val="24"/>
          <w:szCs w:val="24"/>
        </w:rPr>
        <w:t xml:space="preserve">Таким образом, обеспеченность дошкольными образовательными учреждениями </w:t>
      </w:r>
      <w:r>
        <w:rPr>
          <w:rFonts w:ascii="Times New Roman" w:hAnsi="Times New Roman"/>
          <w:sz w:val="24"/>
          <w:szCs w:val="24"/>
        </w:rPr>
        <w:t>к</w:t>
      </w:r>
      <w:r w:rsidRPr="006D4D24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6D4D24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 xml:space="preserve">будет снижаться и </w:t>
      </w:r>
      <w:r w:rsidRPr="006D4D24">
        <w:rPr>
          <w:rFonts w:ascii="Times New Roman" w:hAnsi="Times New Roman"/>
          <w:sz w:val="24"/>
          <w:szCs w:val="24"/>
        </w:rPr>
        <w:t xml:space="preserve">может составить </w:t>
      </w:r>
      <w:r>
        <w:rPr>
          <w:rFonts w:ascii="Times New Roman" w:hAnsi="Times New Roman"/>
          <w:sz w:val="24"/>
          <w:szCs w:val="24"/>
        </w:rPr>
        <w:t>932</w:t>
      </w:r>
      <w:r w:rsidRPr="006D4D24">
        <w:rPr>
          <w:rFonts w:ascii="Times New Roman" w:hAnsi="Times New Roman"/>
          <w:sz w:val="24"/>
          <w:szCs w:val="24"/>
        </w:rPr>
        <w:t>-9</w:t>
      </w:r>
      <w:r>
        <w:rPr>
          <w:rFonts w:ascii="Times New Roman" w:hAnsi="Times New Roman"/>
          <w:sz w:val="24"/>
          <w:szCs w:val="24"/>
        </w:rPr>
        <w:t>33</w:t>
      </w:r>
      <w:r w:rsidRPr="006D4D24">
        <w:rPr>
          <w:rFonts w:ascii="Times New Roman" w:hAnsi="Times New Roman"/>
          <w:sz w:val="24"/>
          <w:szCs w:val="24"/>
        </w:rPr>
        <w:t xml:space="preserve"> мест на 1000 детей в возрасте 3-6 </w:t>
      </w:r>
      <w:r w:rsidRPr="006D4D24">
        <w:rPr>
          <w:rFonts w:ascii="Times New Roman" w:hAnsi="Times New Roman"/>
          <w:sz w:val="24"/>
          <w:szCs w:val="24"/>
        </w:rPr>
        <w:lastRenderedPageBreak/>
        <w:t>лет по двум вариантам прогноза соответственно.</w:t>
      </w:r>
      <w:r w:rsidR="00BC11D7">
        <w:rPr>
          <w:rFonts w:ascii="Times New Roman" w:hAnsi="Times New Roman"/>
          <w:sz w:val="24"/>
          <w:szCs w:val="24"/>
        </w:rPr>
        <w:t xml:space="preserve"> </w:t>
      </w:r>
      <w:r w:rsidRPr="00067F95">
        <w:rPr>
          <w:rFonts w:ascii="Times New Roman" w:hAnsi="Times New Roman"/>
          <w:color w:val="000000"/>
          <w:sz w:val="24"/>
          <w:szCs w:val="24"/>
        </w:rPr>
        <w:t>Актуальной останется проблема обеспечения местами в детских садах детей в возрасте до 3-х лет.</w:t>
      </w:r>
    </w:p>
    <w:p w:rsidR="00BC11D7" w:rsidRPr="006E64A3" w:rsidRDefault="00BC11D7" w:rsidP="005365B8">
      <w:pPr>
        <w:pStyle w:val="af1"/>
        <w:spacing w:line="276" w:lineRule="auto"/>
        <w:rPr>
          <w:sz w:val="24"/>
          <w:szCs w:val="24"/>
        </w:rPr>
      </w:pPr>
      <w:r w:rsidRPr="006E64A3">
        <w:rPr>
          <w:sz w:val="24"/>
          <w:szCs w:val="24"/>
        </w:rPr>
        <w:t>Для решения проблемы обеспечения  детей местами  в детских садах и школах в муниципальную программу «Развитие системы образования городского округа Тольятти на 2017 - 2020 годы» включены  следующие мероприятия:</w:t>
      </w:r>
    </w:p>
    <w:p w:rsidR="00BC11D7" w:rsidRPr="006E64A3" w:rsidRDefault="00BC11D7" w:rsidP="005365B8">
      <w:pPr>
        <w:pStyle w:val="af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E64A3">
        <w:rPr>
          <w:sz w:val="24"/>
          <w:szCs w:val="24"/>
        </w:rPr>
        <w:t>проектирование и строительство детских садов – квартал 16, 17</w:t>
      </w:r>
      <w:proofErr w:type="gramStart"/>
      <w:r w:rsidRPr="006E64A3">
        <w:rPr>
          <w:sz w:val="24"/>
          <w:szCs w:val="24"/>
        </w:rPr>
        <w:t xml:space="preserve"> А</w:t>
      </w:r>
      <w:proofErr w:type="gramEnd"/>
      <w:r w:rsidRPr="006E64A3">
        <w:rPr>
          <w:sz w:val="24"/>
          <w:szCs w:val="24"/>
        </w:rPr>
        <w:t>, 19, 20, 21, микрорайон «Северный</w:t>
      </w:r>
      <w:r>
        <w:rPr>
          <w:sz w:val="24"/>
          <w:szCs w:val="24"/>
        </w:rPr>
        <w:t>-3</w:t>
      </w:r>
      <w:r w:rsidRPr="006E64A3">
        <w:rPr>
          <w:sz w:val="24"/>
          <w:szCs w:val="24"/>
        </w:rPr>
        <w:t>», микрорайон «Жигулевское море»;</w:t>
      </w:r>
    </w:p>
    <w:p w:rsidR="00BC11D7" w:rsidRPr="00B10D1B" w:rsidRDefault="00BC11D7" w:rsidP="005365B8">
      <w:pPr>
        <w:pStyle w:val="af1"/>
        <w:spacing w:line="276" w:lineRule="auto"/>
        <w:rPr>
          <w:sz w:val="24"/>
          <w:szCs w:val="24"/>
        </w:rPr>
      </w:pPr>
      <w:r w:rsidRPr="00B10D1B">
        <w:rPr>
          <w:sz w:val="24"/>
          <w:szCs w:val="24"/>
        </w:rPr>
        <w:t>- проектирование и строительство школ – квартал 14А, 18, 20,  микрорайон «Северный», микрорайон «Калина»;</w:t>
      </w:r>
    </w:p>
    <w:p w:rsidR="00BC11D7" w:rsidRPr="00B10D1B" w:rsidRDefault="00BC11D7" w:rsidP="005365B8">
      <w:pPr>
        <w:pStyle w:val="af1"/>
        <w:spacing w:line="276" w:lineRule="auto"/>
        <w:rPr>
          <w:sz w:val="24"/>
          <w:szCs w:val="24"/>
        </w:rPr>
      </w:pPr>
      <w:r w:rsidRPr="00B10D1B">
        <w:rPr>
          <w:sz w:val="24"/>
          <w:szCs w:val="24"/>
        </w:rPr>
        <w:t xml:space="preserve">- строительство </w:t>
      </w:r>
      <w:proofErr w:type="spellStart"/>
      <w:r w:rsidRPr="00B10D1B">
        <w:rPr>
          <w:sz w:val="24"/>
          <w:szCs w:val="24"/>
        </w:rPr>
        <w:t>пристроев</w:t>
      </w:r>
      <w:proofErr w:type="spellEnd"/>
      <w:r w:rsidRPr="00B10D1B">
        <w:rPr>
          <w:sz w:val="24"/>
          <w:szCs w:val="24"/>
        </w:rPr>
        <w:t xml:space="preserve"> к </w:t>
      </w:r>
      <w:proofErr w:type="spellStart"/>
      <w:r w:rsidRPr="00B10D1B">
        <w:rPr>
          <w:sz w:val="24"/>
          <w:szCs w:val="24"/>
        </w:rPr>
        <w:t>МБУ</w:t>
      </w:r>
      <w:proofErr w:type="spellEnd"/>
      <w:r w:rsidRPr="00B10D1B">
        <w:rPr>
          <w:sz w:val="24"/>
          <w:szCs w:val="24"/>
        </w:rPr>
        <w:t xml:space="preserve"> «Школа №4», МБУ «Школа №58»; </w:t>
      </w:r>
    </w:p>
    <w:p w:rsidR="00BC11D7" w:rsidRPr="006E64A3" w:rsidRDefault="00BC11D7" w:rsidP="005365B8">
      <w:pPr>
        <w:pStyle w:val="af1"/>
        <w:spacing w:line="276" w:lineRule="auto"/>
        <w:rPr>
          <w:sz w:val="24"/>
          <w:szCs w:val="24"/>
        </w:rPr>
      </w:pPr>
      <w:r w:rsidRPr="00B10D1B">
        <w:rPr>
          <w:sz w:val="24"/>
          <w:szCs w:val="24"/>
        </w:rPr>
        <w:t>- реконструкция школы – МБУ «Школа № 15»</w:t>
      </w:r>
      <w:r w:rsidR="00BA47E8">
        <w:rPr>
          <w:sz w:val="24"/>
          <w:szCs w:val="24"/>
        </w:rPr>
        <w:t xml:space="preserve"> </w:t>
      </w:r>
      <w:r w:rsidR="00BA47E8" w:rsidRPr="00C02104">
        <w:rPr>
          <w:sz w:val="24"/>
          <w:szCs w:val="24"/>
        </w:rPr>
        <w:t xml:space="preserve">(ул. </w:t>
      </w:r>
      <w:proofErr w:type="spellStart"/>
      <w:r w:rsidR="00BA47E8" w:rsidRPr="00C02104">
        <w:rPr>
          <w:sz w:val="24"/>
          <w:szCs w:val="24"/>
        </w:rPr>
        <w:t>Ингельберга</w:t>
      </w:r>
      <w:proofErr w:type="spellEnd"/>
      <w:r w:rsidR="00BA47E8" w:rsidRPr="00C02104">
        <w:rPr>
          <w:sz w:val="24"/>
          <w:szCs w:val="24"/>
        </w:rPr>
        <w:t>, 52)</w:t>
      </w:r>
      <w:r w:rsidR="00BA47E8">
        <w:rPr>
          <w:sz w:val="24"/>
          <w:szCs w:val="24"/>
        </w:rPr>
        <w:t xml:space="preserve">, что </w:t>
      </w:r>
      <w:r w:rsidR="00BA47E8" w:rsidRPr="00C02104">
        <w:rPr>
          <w:sz w:val="24"/>
          <w:szCs w:val="24"/>
        </w:rPr>
        <w:t>позвол</w:t>
      </w:r>
      <w:r w:rsidR="00BA47E8">
        <w:rPr>
          <w:sz w:val="24"/>
          <w:szCs w:val="24"/>
        </w:rPr>
        <w:t>и</w:t>
      </w:r>
      <w:r w:rsidR="00BA47E8" w:rsidRPr="00C02104">
        <w:rPr>
          <w:sz w:val="24"/>
          <w:szCs w:val="24"/>
        </w:rPr>
        <w:t>т дополнительно создать 54 дошкольных и 100 школьных мест.</w:t>
      </w:r>
      <w:r w:rsidR="00BA47E8">
        <w:rPr>
          <w:sz w:val="24"/>
          <w:szCs w:val="24"/>
        </w:rPr>
        <w:t xml:space="preserve"> </w:t>
      </w:r>
    </w:p>
    <w:p w:rsidR="00BC11D7" w:rsidRPr="00292414" w:rsidRDefault="00BC11D7" w:rsidP="005365B8">
      <w:pPr>
        <w:pStyle w:val="af1"/>
        <w:spacing w:line="276" w:lineRule="auto"/>
        <w:rPr>
          <w:sz w:val="24"/>
          <w:szCs w:val="24"/>
        </w:rPr>
      </w:pPr>
      <w:r w:rsidRPr="00292414">
        <w:rPr>
          <w:sz w:val="24"/>
          <w:szCs w:val="24"/>
        </w:rPr>
        <w:t xml:space="preserve">В Министерство образования и науки Самарской области поданы заявки на выделение областных субсидий на капитальный ремонт 23 муниципальных образовательных учреждений (30 зданий): </w:t>
      </w:r>
    </w:p>
    <w:p w:rsidR="00BC11D7" w:rsidRPr="00292414" w:rsidRDefault="00BC11D7" w:rsidP="005365B8">
      <w:pPr>
        <w:pStyle w:val="af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2414">
        <w:rPr>
          <w:sz w:val="24"/>
          <w:szCs w:val="24"/>
        </w:rPr>
        <w:t xml:space="preserve">17 школ (21 здание): </w:t>
      </w:r>
      <w:proofErr w:type="gramStart"/>
      <w:r w:rsidRPr="00292414">
        <w:rPr>
          <w:sz w:val="24"/>
          <w:szCs w:val="24"/>
        </w:rPr>
        <w:t>МБУ №№ 2 (вентиляция), 4 (1, 2), 9(2), 16(1), 20(1), 26(1, 2), 32(1, 2), 35, 44, 47 (1, 2 - спортзалы), 57, 58, 59, 69 (спортзал), 76, 86(3), 89 (</w:t>
      </w:r>
      <w:proofErr w:type="spellStart"/>
      <w:r w:rsidRPr="00292414">
        <w:rPr>
          <w:sz w:val="24"/>
          <w:szCs w:val="24"/>
        </w:rPr>
        <w:t>отмостка</w:t>
      </w:r>
      <w:proofErr w:type="spellEnd"/>
      <w:r w:rsidRPr="00292414">
        <w:rPr>
          <w:sz w:val="24"/>
          <w:szCs w:val="24"/>
        </w:rPr>
        <w:t>, окна);</w:t>
      </w:r>
      <w:proofErr w:type="gramEnd"/>
    </w:p>
    <w:p w:rsidR="00BC11D7" w:rsidRPr="00292414" w:rsidRDefault="00BC11D7" w:rsidP="005365B8">
      <w:pPr>
        <w:pStyle w:val="af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2414">
        <w:rPr>
          <w:sz w:val="24"/>
          <w:szCs w:val="24"/>
        </w:rPr>
        <w:t>5 детских садов (8 зданий): №№ 28, 76, 80, 120, 80(2) (веранды), 116(1, 2) (веранды), 120(1) (веранды);</w:t>
      </w:r>
    </w:p>
    <w:p w:rsidR="00BC11D7" w:rsidRPr="00292414" w:rsidRDefault="00BC11D7" w:rsidP="005365B8">
      <w:pPr>
        <w:pStyle w:val="af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2414">
        <w:rPr>
          <w:sz w:val="24"/>
          <w:szCs w:val="24"/>
        </w:rPr>
        <w:t>1 учреждение дополнительного образования (1 здание): МБОУ ДО ДТДМ.</w:t>
      </w:r>
    </w:p>
    <w:p w:rsidR="005A052E" w:rsidRDefault="005A052E" w:rsidP="005365B8">
      <w:pPr>
        <w:pStyle w:val="af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E700E1">
        <w:rPr>
          <w:color w:val="000000"/>
          <w:sz w:val="24"/>
          <w:szCs w:val="24"/>
        </w:rPr>
        <w:t xml:space="preserve">Развитие системы дополнительного образования будет осуществляться в рамках реализации Концепции развития дополнительного образования детей, утвержденной распоряжением Правительства РФ от 4 сентября 2014 г. № 1726-р (далее - Концепция) и Плана мероприятий на 2015–2020 годы по реализации Концепции, утвержденного распоряжением Правительства РФ от 24 апреля 2015 года №729-р. </w:t>
      </w:r>
      <w:r w:rsidR="00D2478E">
        <w:rPr>
          <w:color w:val="000000"/>
          <w:sz w:val="24"/>
          <w:szCs w:val="24"/>
        </w:rPr>
        <w:t>При этом</w:t>
      </w:r>
      <w:proofErr w:type="gramStart"/>
      <w:r w:rsidR="00D2478E">
        <w:rPr>
          <w:color w:val="000000"/>
          <w:sz w:val="24"/>
          <w:szCs w:val="24"/>
        </w:rPr>
        <w:t>,</w:t>
      </w:r>
      <w:proofErr w:type="gramEnd"/>
      <w:r w:rsidR="00D2478E">
        <w:rPr>
          <w:color w:val="000000"/>
          <w:sz w:val="24"/>
          <w:szCs w:val="24"/>
        </w:rPr>
        <w:t xml:space="preserve"> о</w:t>
      </w:r>
      <w:r w:rsidRPr="00E700E1">
        <w:rPr>
          <w:color w:val="000000"/>
          <w:sz w:val="24"/>
          <w:szCs w:val="24"/>
        </w:rPr>
        <w:t xml:space="preserve">сновным показателем реализации Концепции должен стать охват к 2020 году дополнительным образованием </w:t>
      </w:r>
      <w:r w:rsidR="00D2478E">
        <w:rPr>
          <w:color w:val="000000"/>
          <w:sz w:val="24"/>
          <w:szCs w:val="24"/>
        </w:rPr>
        <w:t xml:space="preserve"> 75 % </w:t>
      </w:r>
      <w:r w:rsidRPr="00E700E1">
        <w:rPr>
          <w:color w:val="000000"/>
          <w:sz w:val="24"/>
          <w:szCs w:val="24"/>
        </w:rPr>
        <w:t xml:space="preserve"> детей в возрасте от 5-ти до 18-ти лет по отрасл</w:t>
      </w:r>
      <w:r w:rsidR="00D2478E">
        <w:rPr>
          <w:color w:val="000000"/>
          <w:sz w:val="24"/>
          <w:szCs w:val="24"/>
        </w:rPr>
        <w:t xml:space="preserve">ям </w:t>
      </w:r>
      <w:r w:rsidRPr="00E700E1">
        <w:rPr>
          <w:color w:val="000000"/>
          <w:sz w:val="24"/>
          <w:szCs w:val="24"/>
        </w:rPr>
        <w:t xml:space="preserve">«Образование», «Культура», «Физическая культура и спорт». </w:t>
      </w:r>
    </w:p>
    <w:p w:rsidR="00D2478E" w:rsidRPr="002D4EED" w:rsidRDefault="00D2478E" w:rsidP="00D2478E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Количество </w:t>
      </w:r>
      <w:r w:rsidR="00DF60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детей, получающих услуги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дополнительн</w:t>
      </w:r>
      <w:r w:rsidR="00DF60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образовани</w:t>
      </w:r>
      <w:r w:rsidR="00DF60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возрасте 5-18 лет</w:t>
      </w:r>
      <w:r w:rsidR="00DF60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(в учреждениях образования, культуры и физической культуры и спорта) к концу 2020 года будет увеличиваться и составит 81,2 тыс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.ч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еловек. </w:t>
      </w:r>
    </w:p>
    <w:p w:rsidR="00D2478E" w:rsidRDefault="00D2478E" w:rsidP="00D2478E">
      <w:pPr>
        <w:tabs>
          <w:tab w:val="left" w:pos="993"/>
        </w:tabs>
        <w:snapToGri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2D4EED">
        <w:rPr>
          <w:rFonts w:ascii="Times New Roman" w:hAnsi="Times New Roman"/>
          <w:bCs/>
          <w:sz w:val="24"/>
          <w:szCs w:val="24"/>
        </w:rPr>
        <w:t xml:space="preserve">оказатель охвата дополнительным образованием детей </w:t>
      </w:r>
      <w:r>
        <w:rPr>
          <w:rFonts w:ascii="Times New Roman" w:hAnsi="Times New Roman"/>
          <w:bCs/>
          <w:sz w:val="24"/>
          <w:szCs w:val="24"/>
        </w:rPr>
        <w:t xml:space="preserve"> к</w:t>
      </w:r>
      <w:r w:rsidRPr="001C53F6">
        <w:rPr>
          <w:rFonts w:ascii="Times New Roman" w:hAnsi="Times New Roman"/>
          <w:bCs/>
          <w:sz w:val="24"/>
          <w:szCs w:val="24"/>
        </w:rPr>
        <w:t xml:space="preserve"> 2020 году </w:t>
      </w:r>
      <w:r>
        <w:rPr>
          <w:rFonts w:ascii="Times New Roman" w:hAnsi="Times New Roman"/>
          <w:bCs/>
          <w:sz w:val="24"/>
          <w:szCs w:val="24"/>
        </w:rPr>
        <w:t xml:space="preserve">составит </w:t>
      </w:r>
      <w:r w:rsidRPr="001C53F6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6,2 </w:t>
      </w:r>
      <w:r w:rsidRPr="001C53F6">
        <w:rPr>
          <w:rFonts w:ascii="Times New Roman" w:hAnsi="Times New Roman"/>
          <w:bCs/>
          <w:sz w:val="24"/>
          <w:szCs w:val="24"/>
        </w:rPr>
        <w:t>-7</w:t>
      </w:r>
      <w:r>
        <w:rPr>
          <w:rFonts w:ascii="Times New Roman" w:hAnsi="Times New Roman"/>
          <w:bCs/>
          <w:sz w:val="24"/>
          <w:szCs w:val="24"/>
        </w:rPr>
        <w:t>6</w:t>
      </w:r>
      <w:r w:rsidRPr="001C53F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>5</w:t>
      </w:r>
      <w:r w:rsidRPr="001C53F6">
        <w:rPr>
          <w:rFonts w:ascii="Times New Roman" w:hAnsi="Times New Roman"/>
          <w:bCs/>
          <w:sz w:val="24"/>
          <w:szCs w:val="24"/>
        </w:rPr>
        <w:t xml:space="preserve"> %%</w:t>
      </w:r>
      <w:r>
        <w:rPr>
          <w:rFonts w:ascii="Times New Roman" w:hAnsi="Times New Roman"/>
          <w:bCs/>
          <w:sz w:val="24"/>
          <w:szCs w:val="24"/>
        </w:rPr>
        <w:t xml:space="preserve"> по вариантам прогноза (выше значения показателя, утвержденного в Концепции). </w:t>
      </w:r>
    </w:p>
    <w:p w:rsidR="00D2478E" w:rsidRDefault="00D2478E" w:rsidP="00D2478E">
      <w:pPr>
        <w:tabs>
          <w:tab w:val="left" w:pos="993"/>
        </w:tabs>
        <w:snapToGri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Снижение показателя охвата дополнительным образованием в прогнозном периоде обусловлено тем</w:t>
      </w:r>
      <w:r w:rsidRPr="002D4EED">
        <w:rPr>
          <w:rFonts w:ascii="Times New Roman" w:hAnsi="Times New Roman"/>
          <w:bCs/>
          <w:sz w:val="24"/>
          <w:szCs w:val="24"/>
        </w:rPr>
        <w:t xml:space="preserve">, что количество детей в возрасте 5-18 лет в городском округе Тольятти </w:t>
      </w:r>
      <w:r>
        <w:rPr>
          <w:rFonts w:ascii="Times New Roman" w:hAnsi="Times New Roman"/>
          <w:bCs/>
          <w:sz w:val="24"/>
          <w:szCs w:val="24"/>
        </w:rPr>
        <w:t xml:space="preserve">(знаменатель) </w:t>
      </w:r>
      <w:r w:rsidRPr="002D4EED">
        <w:rPr>
          <w:rFonts w:ascii="Times New Roman" w:hAnsi="Times New Roman"/>
          <w:bCs/>
          <w:sz w:val="24"/>
          <w:szCs w:val="24"/>
        </w:rPr>
        <w:t>будет расти более высокими темпами, чем количество мест в учреждениях дополнительного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(числитель).</w:t>
      </w:r>
      <w:r w:rsidRPr="001C53F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Так, к 2020 году численность детей данного возраста предположительно увеличится на 7 тыс</w:t>
      </w:r>
      <w:proofErr w:type="gramStart"/>
      <w:r>
        <w:rPr>
          <w:rFonts w:ascii="Times New Roman" w:hAnsi="Times New Roman"/>
          <w:bCs/>
          <w:sz w:val="24"/>
          <w:szCs w:val="24"/>
        </w:rPr>
        <w:t>.ч</w:t>
      </w:r>
      <w:proofErr w:type="gramEnd"/>
      <w:r>
        <w:rPr>
          <w:rFonts w:ascii="Times New Roman" w:hAnsi="Times New Roman"/>
          <w:bCs/>
          <w:sz w:val="24"/>
          <w:szCs w:val="24"/>
        </w:rPr>
        <w:t>еловек до 106,2 тыс.человек.</w:t>
      </w:r>
    </w:p>
    <w:p w:rsidR="00E700E1" w:rsidRPr="00E700E1" w:rsidRDefault="00E700E1" w:rsidP="00E700E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700E1">
        <w:rPr>
          <w:rFonts w:ascii="Times New Roman" w:eastAsia="Times New Roman CYR" w:hAnsi="Times New Roman"/>
          <w:bCs/>
          <w:sz w:val="24"/>
          <w:szCs w:val="24"/>
        </w:rPr>
        <w:t>В целях подготовки кадрового резерва для будущих предприятий</w:t>
      </w:r>
      <w:r w:rsidRPr="00E700E1">
        <w:rPr>
          <w:rFonts w:ascii="Times New Roman" w:eastAsia="Times New Roman CYR" w:hAnsi="Times New Roman"/>
          <w:bCs/>
          <w:color w:val="333333"/>
          <w:sz w:val="24"/>
          <w:szCs w:val="24"/>
        </w:rPr>
        <w:t xml:space="preserve"> О</w:t>
      </w:r>
      <w:r w:rsidRPr="00E700E1">
        <w:rPr>
          <w:rFonts w:ascii="Times New Roman" w:eastAsia="Times New Roman CYR" w:hAnsi="Times New Roman"/>
          <w:bCs/>
          <w:sz w:val="24"/>
          <w:szCs w:val="24"/>
        </w:rPr>
        <w:t>собой экономической зоны промышленно-производственного типа «Тольятти» и IT-парка «Жигулевская долина»</w:t>
      </w:r>
      <w:r w:rsidRPr="00E700E1">
        <w:rPr>
          <w:rFonts w:ascii="Times New Roman" w:hAnsi="Times New Roman"/>
          <w:bCs/>
          <w:sz w:val="24"/>
          <w:szCs w:val="24"/>
        </w:rPr>
        <w:t xml:space="preserve"> </w:t>
      </w:r>
      <w:r w:rsidRPr="00E700E1">
        <w:rPr>
          <w:rFonts w:ascii="Times New Roman" w:eastAsia="Times New Roman CYR" w:hAnsi="Times New Roman"/>
          <w:bCs/>
          <w:sz w:val="24"/>
          <w:szCs w:val="24"/>
        </w:rPr>
        <w:t>в</w:t>
      </w:r>
      <w:r w:rsidRPr="00E700E1">
        <w:rPr>
          <w:rFonts w:ascii="Times New Roman" w:hAnsi="Times New Roman"/>
          <w:bCs/>
          <w:sz w:val="24"/>
          <w:szCs w:val="24"/>
        </w:rPr>
        <w:t xml:space="preserve"> прогнозном периоде муниципальными</w:t>
      </w:r>
      <w:r w:rsidRPr="00E700E1">
        <w:rPr>
          <w:rFonts w:ascii="Times New Roman" w:eastAsia="Times New Roman CYR" w:hAnsi="Times New Roman"/>
          <w:bCs/>
          <w:sz w:val="24"/>
          <w:szCs w:val="24"/>
        </w:rPr>
        <w:t xml:space="preserve"> образовательными учреждениями дополнительного образования планируется </w:t>
      </w:r>
      <w:r w:rsidRPr="00E700E1">
        <w:rPr>
          <w:rFonts w:ascii="Times New Roman" w:hAnsi="Times New Roman"/>
          <w:bCs/>
          <w:sz w:val="24"/>
          <w:szCs w:val="24"/>
        </w:rPr>
        <w:t xml:space="preserve">проведение мероприятий профессиональной направленности для обучающихся в различных формах: имитационные </w:t>
      </w:r>
      <w:r w:rsidRPr="00E700E1">
        <w:rPr>
          <w:rFonts w:ascii="Times New Roman" w:hAnsi="Times New Roman"/>
          <w:bCs/>
          <w:sz w:val="24"/>
          <w:szCs w:val="24"/>
        </w:rPr>
        <w:lastRenderedPageBreak/>
        <w:t>игры, учебно-тренировочные фирмы, элективные курсы, конкурсы, тематические лекции и др.</w:t>
      </w:r>
      <w:proofErr w:type="gramEnd"/>
    </w:p>
    <w:p w:rsidR="005A052E" w:rsidRDefault="005A052E" w:rsidP="005A052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D4EED">
        <w:rPr>
          <w:rFonts w:ascii="Times New Roman" w:hAnsi="Times New Roman"/>
          <w:bCs/>
          <w:sz w:val="24"/>
          <w:szCs w:val="24"/>
        </w:rPr>
        <w:t xml:space="preserve">Согласно посланию Губернатора Самарской области Н.И. Меркушкина депутатам Самарской Губернской Думы и жителям Самарской области от 19.12.2016  в Тольятти планируется создание Центра одаренных детей. Одна из главных задач будущего Центра — максимальное представительство одаренных детей Тольятти на всероссийских и мировых школьных олимпиадах и увеличение количества победителей в них. Появление Центра для одаренных детей поможет сформировать современную образовательную и научно-технологическую базу подготовки кадров в регионе. </w:t>
      </w:r>
      <w:r w:rsidRPr="002D4E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Ц</w:t>
      </w:r>
      <w:r w:rsidRPr="002D4EED">
        <w:rPr>
          <w:rFonts w:ascii="Times New Roman" w:hAnsi="Times New Roman"/>
          <w:bCs/>
          <w:sz w:val="24"/>
          <w:szCs w:val="24"/>
        </w:rPr>
        <w:t>ентре одаренных детей</w:t>
      </w:r>
      <w:r w:rsidRPr="002D4E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планируется организовать занятость 300 школьников.</w:t>
      </w:r>
    </w:p>
    <w:p w:rsidR="0024525F" w:rsidRPr="00E22255" w:rsidRDefault="0024525F" w:rsidP="003016D7">
      <w:pPr>
        <w:tabs>
          <w:tab w:val="left" w:pos="993"/>
        </w:tabs>
        <w:snapToGri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24525F" w:rsidRPr="00DD189C" w:rsidRDefault="0024525F" w:rsidP="00540F2D">
      <w:pPr>
        <w:tabs>
          <w:tab w:val="left" w:pos="993"/>
        </w:tabs>
        <w:snapToGri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D189C">
        <w:rPr>
          <w:rFonts w:ascii="Times New Roman" w:hAnsi="Times New Roman"/>
          <w:b/>
          <w:bCs/>
          <w:sz w:val="24"/>
          <w:szCs w:val="24"/>
        </w:rPr>
        <w:t>Культура</w:t>
      </w:r>
    </w:p>
    <w:p w:rsidR="00B35559" w:rsidRPr="00E22255" w:rsidRDefault="00B35559" w:rsidP="00EC32BB">
      <w:pPr>
        <w:tabs>
          <w:tab w:val="left" w:pos="993"/>
        </w:tabs>
        <w:snapToGri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DD189C" w:rsidRPr="00DD189C" w:rsidRDefault="00DD189C" w:rsidP="00DD18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89C">
        <w:rPr>
          <w:rFonts w:ascii="Times New Roman" w:hAnsi="Times New Roman"/>
          <w:sz w:val="24"/>
          <w:szCs w:val="24"/>
        </w:rPr>
        <w:t xml:space="preserve">В 2018 году и плановом периоде 2019-2020 годов развитие отрасли культуры на территории городского округа Тольятти будет осуществляться с учетом оптимизации и эффективного использования ресурсов муниципальных учреждений культуры и искусства. Разработка прогноза осуществлена в соответствии со стратегическими документами, действующими муниципальными и государственными программами, планом мероприятий («дорожная карта») «Изменения в отраслях социальной сферы, направленные на повышение эффективности сферы культуры» и др. </w:t>
      </w:r>
    </w:p>
    <w:p w:rsidR="00DD189C" w:rsidRPr="00DD189C" w:rsidRDefault="00DD189C" w:rsidP="00DD189C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189C">
        <w:rPr>
          <w:rFonts w:ascii="Times New Roman" w:hAnsi="Times New Roman"/>
          <w:sz w:val="24"/>
          <w:szCs w:val="24"/>
        </w:rPr>
        <w:t xml:space="preserve">В перспективе ожидается поступление средств вышестоящих бюджетов на решение ключевой проблемы по укреплению материально-технической базы МБУК «Тольяттинский краеведческий музей», </w:t>
      </w:r>
      <w:proofErr w:type="spellStart"/>
      <w:r w:rsidRPr="00DD189C">
        <w:rPr>
          <w:rFonts w:ascii="Times New Roman" w:hAnsi="Times New Roman"/>
          <w:sz w:val="24"/>
          <w:szCs w:val="24"/>
        </w:rPr>
        <w:t>МАУИ</w:t>
      </w:r>
      <w:proofErr w:type="spellEnd"/>
      <w:r w:rsidRPr="00DD189C">
        <w:rPr>
          <w:rFonts w:ascii="Times New Roman" w:hAnsi="Times New Roman"/>
          <w:sz w:val="24"/>
          <w:szCs w:val="24"/>
        </w:rPr>
        <w:t xml:space="preserve"> ТЮЗ «Дилижанс», </w:t>
      </w:r>
      <w:proofErr w:type="spellStart"/>
      <w:r w:rsidRPr="00DD189C">
        <w:rPr>
          <w:rFonts w:ascii="Times New Roman" w:hAnsi="Times New Roman"/>
          <w:sz w:val="24"/>
          <w:szCs w:val="24"/>
        </w:rPr>
        <w:t>МАУИиК</w:t>
      </w:r>
      <w:proofErr w:type="spellEnd"/>
      <w:r w:rsidRPr="00DD189C">
        <w:rPr>
          <w:rFonts w:ascii="Times New Roman" w:hAnsi="Times New Roman"/>
          <w:sz w:val="24"/>
          <w:szCs w:val="24"/>
        </w:rPr>
        <w:t xml:space="preserve"> «Тольяттинская филармония» и др. Общая запрашиваемая сумма по заявкам на прогнозный период составила 59 230,0 тыс. руб.</w:t>
      </w:r>
    </w:p>
    <w:p w:rsidR="00DD189C" w:rsidRPr="00DD189C" w:rsidRDefault="00DD189C" w:rsidP="00DD189C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189C">
        <w:rPr>
          <w:rFonts w:ascii="Times New Roman" w:hAnsi="Times New Roman"/>
          <w:sz w:val="24"/>
          <w:szCs w:val="24"/>
        </w:rPr>
        <w:t>Развитию территории в интересах качества жизни и отдыха населения способствует участие учреждений в проекте «Пять шагов благоустройства повседневности» программы «Комплексное развитие моногородов».</w:t>
      </w:r>
    </w:p>
    <w:p w:rsidR="00DD189C" w:rsidRPr="00DD189C" w:rsidRDefault="00DD189C" w:rsidP="00DD189C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189C">
        <w:rPr>
          <w:rFonts w:ascii="Times New Roman" w:hAnsi="Times New Roman"/>
          <w:sz w:val="24"/>
          <w:szCs w:val="24"/>
        </w:rPr>
        <w:t>Вопросы по включению заявок в государственные программы (в том числе:  в федеральную адресную инвестиционную программу, федеральную целевую программу «Культура России (2012-2018 годы)», утвержденную постановлением Правительства Российской Федерации от 03.03.2012 № 186;  государственную программу «Развитие культуры в Самарской области на период до 2020 года», утвержденную постановлением Правительства Самарской области от 27.11.2013 № 682; государственную программу «Доступная среда в Самарской области» на 2014-2020 гг., утвержденную постановлением Правительства Самарской области от 27.11.2013 г. № 671) решаются  во  взаимодействии с профильными министерствами Правительства Самарской области.</w:t>
      </w:r>
    </w:p>
    <w:p w:rsidR="00EC35FA" w:rsidRPr="00CB4E15" w:rsidRDefault="00EC35FA" w:rsidP="00EC35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4E15">
        <w:rPr>
          <w:rFonts w:ascii="Times New Roman" w:hAnsi="Times New Roman"/>
          <w:sz w:val="24"/>
          <w:szCs w:val="24"/>
        </w:rPr>
        <w:t>В прогнозн</w:t>
      </w:r>
      <w:r w:rsidR="00CB4E15" w:rsidRPr="00CB4E15">
        <w:rPr>
          <w:rFonts w:ascii="Times New Roman" w:hAnsi="Times New Roman"/>
          <w:sz w:val="24"/>
          <w:szCs w:val="24"/>
        </w:rPr>
        <w:t>ом</w:t>
      </w:r>
      <w:r w:rsidRPr="00CB4E15">
        <w:rPr>
          <w:rFonts w:ascii="Times New Roman" w:hAnsi="Times New Roman"/>
          <w:sz w:val="24"/>
          <w:szCs w:val="24"/>
        </w:rPr>
        <w:t xml:space="preserve"> период</w:t>
      </w:r>
      <w:r w:rsidR="00CB4E15" w:rsidRPr="00CB4E15">
        <w:rPr>
          <w:rFonts w:ascii="Times New Roman" w:hAnsi="Times New Roman"/>
          <w:sz w:val="24"/>
          <w:szCs w:val="24"/>
        </w:rPr>
        <w:t>е</w:t>
      </w:r>
      <w:r w:rsidRPr="00CB4E15">
        <w:rPr>
          <w:rFonts w:ascii="Times New Roman" w:hAnsi="Times New Roman"/>
          <w:sz w:val="24"/>
          <w:szCs w:val="24"/>
        </w:rPr>
        <w:t xml:space="preserve"> предполагается изменение сети муниципальных библиотек городского округа Тольятти:</w:t>
      </w:r>
    </w:p>
    <w:p w:rsidR="00EC35FA" w:rsidRPr="00CB4E15" w:rsidRDefault="00EC35FA" w:rsidP="00EC35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4E1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CB4E15" w:rsidRPr="00CB4E15">
        <w:rPr>
          <w:rFonts w:ascii="Times New Roman" w:hAnsi="Times New Roman"/>
          <w:sz w:val="24"/>
          <w:szCs w:val="24"/>
        </w:rPr>
        <w:t>В</w:t>
      </w:r>
      <w:r w:rsidRPr="00CB4E15">
        <w:rPr>
          <w:rFonts w:ascii="Times New Roman" w:hAnsi="Times New Roman"/>
          <w:sz w:val="24"/>
          <w:szCs w:val="24"/>
        </w:rPr>
        <w:t xml:space="preserve"> целях повышения эффективности использования бюджетных средств и муниципального имущества, в том числе за счет оптимизации территориального распределения библиотечных пунктов, сокращения административно-управленческого аппарата, было принято постановление администрации городского округа Тольятти  №3091-п/1 от 13.09.2017г. «О реорганизации муниципального бюджетного учреждения культуры городского округа Тольятти «Тольяттинская библиотечная корпорация» в </w:t>
      </w:r>
      <w:r w:rsidRPr="00CB4E15">
        <w:rPr>
          <w:rFonts w:ascii="Times New Roman" w:hAnsi="Times New Roman"/>
          <w:sz w:val="24"/>
          <w:szCs w:val="24"/>
        </w:rPr>
        <w:lastRenderedPageBreak/>
        <w:t>форме присоединения к нему муниципального бюджетного учреждения культуры  городского округа Тольятти «Библиотека</w:t>
      </w:r>
      <w:proofErr w:type="gramEnd"/>
      <w:r w:rsidRPr="00CB4E15">
        <w:rPr>
          <w:rFonts w:ascii="Times New Roman" w:hAnsi="Times New Roman"/>
          <w:sz w:val="24"/>
          <w:szCs w:val="24"/>
        </w:rPr>
        <w:t xml:space="preserve"> Автограда</w:t>
      </w:r>
      <w:r w:rsidR="00CB4E15" w:rsidRPr="00CB4E15">
        <w:rPr>
          <w:rFonts w:ascii="Times New Roman" w:hAnsi="Times New Roman"/>
          <w:sz w:val="24"/>
          <w:szCs w:val="24"/>
        </w:rPr>
        <w:t xml:space="preserve">». </w:t>
      </w:r>
      <w:r w:rsidR="00CB4E15">
        <w:rPr>
          <w:rFonts w:ascii="Times New Roman" w:hAnsi="Times New Roman"/>
          <w:sz w:val="24"/>
          <w:szCs w:val="24"/>
        </w:rPr>
        <w:t>С 2018 года п</w:t>
      </w:r>
      <w:r w:rsidRPr="00CB4E15">
        <w:rPr>
          <w:rFonts w:ascii="Times New Roman" w:hAnsi="Times New Roman"/>
          <w:sz w:val="24"/>
          <w:szCs w:val="24"/>
        </w:rPr>
        <w:t xml:space="preserve">роизойдет сокращение сети библиотек в связи с отказом использования помещений  ПАО «АВТОВАЗ»,  в результате в составе нового учреждения (МБУК «Библиотеки Тольятти») </w:t>
      </w:r>
      <w:r w:rsidR="00CB4E15">
        <w:rPr>
          <w:rFonts w:ascii="Times New Roman" w:hAnsi="Times New Roman"/>
          <w:sz w:val="24"/>
          <w:szCs w:val="24"/>
        </w:rPr>
        <w:t>будет действовать 29 библиотек.</w:t>
      </w:r>
    </w:p>
    <w:p w:rsidR="00EC35FA" w:rsidRDefault="00EC35FA" w:rsidP="00EC35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4E15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CB4E15" w:rsidRPr="00CB4E15">
        <w:rPr>
          <w:rFonts w:ascii="Times New Roman" w:hAnsi="Times New Roman"/>
          <w:sz w:val="24"/>
          <w:szCs w:val="24"/>
        </w:rPr>
        <w:t>В</w:t>
      </w:r>
      <w:r w:rsidRPr="00CB4E15">
        <w:rPr>
          <w:rFonts w:ascii="Times New Roman" w:hAnsi="Times New Roman"/>
          <w:sz w:val="24"/>
          <w:szCs w:val="24"/>
        </w:rPr>
        <w:t xml:space="preserve"> рамках приведения к нормативу обеспеченности населения детскими  библиотеками в установленном порядке выполняется процедура передачи части помещений МБУК «Объединение детских библиотек» в городскую казну</w:t>
      </w:r>
      <w:r w:rsidR="00CB4E15" w:rsidRPr="00CB4E15">
        <w:rPr>
          <w:rFonts w:ascii="Times New Roman" w:hAnsi="Times New Roman"/>
          <w:sz w:val="24"/>
          <w:szCs w:val="24"/>
        </w:rPr>
        <w:t>.</w:t>
      </w:r>
      <w:proofErr w:type="gramEnd"/>
      <w:r w:rsidR="00CB4E15" w:rsidRPr="00CB4E15">
        <w:rPr>
          <w:rFonts w:ascii="Times New Roman" w:hAnsi="Times New Roman"/>
          <w:sz w:val="24"/>
          <w:szCs w:val="24"/>
        </w:rPr>
        <w:t xml:space="preserve"> В</w:t>
      </w:r>
      <w:r w:rsidRPr="00CB4E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4E15">
        <w:rPr>
          <w:rFonts w:ascii="Times New Roman" w:hAnsi="Times New Roman"/>
          <w:sz w:val="24"/>
          <w:szCs w:val="24"/>
        </w:rPr>
        <w:t>результате</w:t>
      </w:r>
      <w:proofErr w:type="gramEnd"/>
      <w:r w:rsidRPr="00CB4E15">
        <w:rPr>
          <w:rFonts w:ascii="Times New Roman" w:hAnsi="Times New Roman"/>
          <w:sz w:val="24"/>
          <w:szCs w:val="24"/>
        </w:rPr>
        <w:t xml:space="preserve"> произойдет сокращение сети МБУК «Объединение детских библиотек» до 14 единиц.</w:t>
      </w:r>
    </w:p>
    <w:p w:rsidR="00CB4E15" w:rsidRPr="00DD189C" w:rsidRDefault="00CB4E15" w:rsidP="00CB4E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4E15">
        <w:rPr>
          <w:rFonts w:ascii="Times New Roman" w:hAnsi="Times New Roman"/>
          <w:sz w:val="24"/>
          <w:szCs w:val="24"/>
        </w:rPr>
        <w:t>В целом планируемые меры повлекут сокращение количества библиотек в 2018 году  до 43 единиц. До 2020 года не прогнозируется увеличение количества библиотек.</w:t>
      </w:r>
    </w:p>
    <w:p w:rsidR="00EC35FA" w:rsidRPr="00CB4E15" w:rsidRDefault="00EC35FA" w:rsidP="00EC35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4E15">
        <w:rPr>
          <w:rFonts w:ascii="Times New Roman" w:hAnsi="Times New Roman"/>
          <w:sz w:val="24"/>
          <w:szCs w:val="24"/>
        </w:rPr>
        <w:t xml:space="preserve">Предпринимаемые меры  по оптимизации сети тольяттинских библиотек повлекут сокращение количества библиотек,  но не приведут к снижению объемов книжного фонда и качества библиотечно-информационного обслуживания. Также будут сохранены высокопрофессиональные кадры и специализированное оборудование. </w:t>
      </w:r>
    </w:p>
    <w:p w:rsidR="00EC35FA" w:rsidRPr="00EC35FA" w:rsidRDefault="00EC35FA" w:rsidP="00EC35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4E15">
        <w:rPr>
          <w:rFonts w:ascii="Times New Roman" w:hAnsi="Times New Roman"/>
          <w:sz w:val="24"/>
          <w:szCs w:val="24"/>
        </w:rPr>
        <w:t>Несмотря на планируемые изменения, в прогнозн</w:t>
      </w:r>
      <w:r w:rsidR="00CB4E15" w:rsidRPr="00CB4E15">
        <w:rPr>
          <w:rFonts w:ascii="Times New Roman" w:hAnsi="Times New Roman"/>
          <w:sz w:val="24"/>
          <w:szCs w:val="24"/>
        </w:rPr>
        <w:t>ом</w:t>
      </w:r>
      <w:r w:rsidRPr="00CB4E15">
        <w:rPr>
          <w:rFonts w:ascii="Times New Roman" w:hAnsi="Times New Roman"/>
          <w:sz w:val="24"/>
          <w:szCs w:val="24"/>
        </w:rPr>
        <w:t xml:space="preserve"> период</w:t>
      </w:r>
      <w:r w:rsidR="00CB4E15" w:rsidRPr="00CB4E15">
        <w:rPr>
          <w:rFonts w:ascii="Times New Roman" w:hAnsi="Times New Roman"/>
          <w:sz w:val="24"/>
          <w:szCs w:val="24"/>
        </w:rPr>
        <w:t>е</w:t>
      </w:r>
      <w:r w:rsidRPr="00CB4E15">
        <w:rPr>
          <w:rFonts w:ascii="Times New Roman" w:hAnsi="Times New Roman"/>
          <w:sz w:val="24"/>
          <w:szCs w:val="24"/>
        </w:rPr>
        <w:t xml:space="preserve"> будет обеспечено соответствие  действующей сети учреждений сферы культуры социальным нормативам и нормам (Распоряжение Правительства Российской Федерации от 26.01.2017 N 95-р) в части обеспеченности минимальной количественной величины  по услугам библиотек для городского округа Тольятти (детская библиотека - 1 ед. на 10 тыс. детей, общедоступная библиотека -1 ед. на 20 тыс. жителей, точка доступа к полнотекстовым</w:t>
      </w:r>
      <w:proofErr w:type="gramEnd"/>
      <w:r w:rsidRPr="00CB4E15">
        <w:rPr>
          <w:rFonts w:ascii="Times New Roman" w:hAnsi="Times New Roman"/>
          <w:sz w:val="24"/>
          <w:szCs w:val="24"/>
        </w:rPr>
        <w:t xml:space="preserve"> информационным ресурсам – 2 ед.).</w:t>
      </w:r>
      <w:r w:rsidRPr="00EC35FA">
        <w:rPr>
          <w:rFonts w:ascii="Times New Roman" w:hAnsi="Times New Roman"/>
          <w:sz w:val="24"/>
          <w:szCs w:val="24"/>
        </w:rPr>
        <w:t xml:space="preserve"> </w:t>
      </w:r>
    </w:p>
    <w:p w:rsidR="00DD189C" w:rsidRPr="00DD189C" w:rsidRDefault="00DD189C" w:rsidP="00DD18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89C">
        <w:rPr>
          <w:rFonts w:ascii="Times New Roman" w:hAnsi="Times New Roman"/>
          <w:sz w:val="24"/>
          <w:szCs w:val="24"/>
        </w:rPr>
        <w:t xml:space="preserve">Таким образом, значение показателя обеспеченности общедоступными библиотеками в 2018 – 2020 годах прогнозируется на </w:t>
      </w:r>
      <w:r w:rsidRPr="00DF6001">
        <w:rPr>
          <w:rFonts w:ascii="Times New Roman" w:hAnsi="Times New Roman"/>
          <w:sz w:val="24"/>
          <w:szCs w:val="24"/>
        </w:rPr>
        <w:t>уровне 0,6</w:t>
      </w:r>
      <w:r w:rsidR="00DF6001" w:rsidRPr="00DF6001">
        <w:rPr>
          <w:rFonts w:ascii="Times New Roman" w:hAnsi="Times New Roman"/>
          <w:sz w:val="24"/>
          <w:szCs w:val="24"/>
        </w:rPr>
        <w:t>1</w:t>
      </w:r>
      <w:r w:rsidRPr="00DF6001">
        <w:rPr>
          <w:rFonts w:ascii="Times New Roman" w:hAnsi="Times New Roman"/>
          <w:sz w:val="24"/>
          <w:szCs w:val="24"/>
        </w:rPr>
        <w:t xml:space="preserve"> учреждений</w:t>
      </w:r>
      <w:r w:rsidRPr="00DD189C">
        <w:rPr>
          <w:rFonts w:ascii="Times New Roman" w:hAnsi="Times New Roman"/>
          <w:sz w:val="24"/>
          <w:szCs w:val="24"/>
        </w:rPr>
        <w:t xml:space="preserve"> на 10 тыс. населения. </w:t>
      </w:r>
    </w:p>
    <w:p w:rsidR="00DD189C" w:rsidRPr="00DD189C" w:rsidRDefault="00DD189C" w:rsidP="00DD18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89C">
        <w:rPr>
          <w:rFonts w:ascii="Times New Roman" w:hAnsi="Times New Roman"/>
          <w:sz w:val="24"/>
          <w:szCs w:val="24"/>
        </w:rPr>
        <w:t xml:space="preserve">Количество действующих в настоящее время  учреждений </w:t>
      </w:r>
      <w:proofErr w:type="spellStart"/>
      <w:r w:rsidRPr="00DD189C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DD189C">
        <w:rPr>
          <w:rFonts w:ascii="Times New Roman" w:hAnsi="Times New Roman"/>
          <w:sz w:val="24"/>
          <w:szCs w:val="24"/>
        </w:rPr>
        <w:t xml:space="preserve"> типа (5 единиц) не планируется к увеличению, обеспеченность учреждениями </w:t>
      </w:r>
      <w:proofErr w:type="spellStart"/>
      <w:r w:rsidRPr="00DD189C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DD189C">
        <w:rPr>
          <w:rFonts w:ascii="Times New Roman" w:hAnsi="Times New Roman"/>
          <w:sz w:val="24"/>
          <w:szCs w:val="24"/>
        </w:rPr>
        <w:t xml:space="preserve"> типа в прогнозном периоде составит  стабильное значение 0,07 учреждений на 10 тыс. населения.  </w:t>
      </w:r>
    </w:p>
    <w:p w:rsidR="00DD189C" w:rsidRPr="00DD189C" w:rsidRDefault="00DD189C" w:rsidP="00DD189C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189C">
        <w:rPr>
          <w:rFonts w:ascii="Times New Roman" w:hAnsi="Times New Roman"/>
          <w:sz w:val="24"/>
          <w:szCs w:val="24"/>
        </w:rPr>
        <w:t>Кадровая обеспеченность отрасли культура достигается за счет совершенствования системы оплаты труда (Положение  об оплате труда работников муниципальных учреждений, находящихся в ведомственном подчинении департамента культуры  администрации  городского округа Тольятти, утвержденное постановлением администрации городского округа Тольятти от 14.06.2017 № 1968-п/1), полного перехода на эффективный контракт,  мер по реализации Указа Президента РФ от 07.05.2012г № 597 «О мероприятиях по реализации государственной социальной политики</w:t>
      </w:r>
      <w:proofErr w:type="gramEnd"/>
      <w:r w:rsidRPr="00DD189C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DD189C">
        <w:rPr>
          <w:rFonts w:ascii="Times New Roman" w:hAnsi="Times New Roman"/>
          <w:sz w:val="24"/>
          <w:szCs w:val="24"/>
        </w:rPr>
        <w:t xml:space="preserve">по доведению средней заработной платы работников муниципальных учреждений культуры до 85-100% в 2017-2018 годах  (в 2016 году – 72,1 % при плановом показателе 74,0%) соответственно от уровня средней заработной платы в Самарской области, в соответствии со стратегическими документами, действующими муниципальными и государственными программами, планом мероприятий («дорожная карта») «Изменения в отраслях социальной сферы, направленные на повышение эффективности сферы культуры». </w:t>
      </w:r>
      <w:proofErr w:type="gramEnd"/>
    </w:p>
    <w:p w:rsidR="00DD189C" w:rsidRPr="00DD189C" w:rsidRDefault="00DD189C" w:rsidP="00DD189C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189C">
        <w:rPr>
          <w:rFonts w:ascii="Times New Roman" w:hAnsi="Times New Roman"/>
          <w:sz w:val="24"/>
          <w:szCs w:val="24"/>
        </w:rPr>
        <w:t xml:space="preserve">Основными  направлениями деятельности отрасли культуры в прогнозный период 2018-2020гг. остаются: укрепление материально-технической базы учреждений (приобретение специализированного оборудования, обеспечение безопасности </w:t>
      </w:r>
      <w:r w:rsidRPr="00DD189C">
        <w:rPr>
          <w:rFonts w:ascii="Times New Roman" w:hAnsi="Times New Roman"/>
          <w:sz w:val="24"/>
          <w:szCs w:val="24"/>
        </w:rPr>
        <w:lastRenderedPageBreak/>
        <w:t xml:space="preserve">посетителей, повышение комфортности и привлекательности учреждений); совершенствование </w:t>
      </w:r>
      <w:proofErr w:type="gramStart"/>
      <w:r w:rsidRPr="00DD189C">
        <w:rPr>
          <w:rFonts w:ascii="Times New Roman" w:hAnsi="Times New Roman"/>
          <w:sz w:val="24"/>
          <w:szCs w:val="24"/>
        </w:rPr>
        <w:t>системы оплаты труда работников</w:t>
      </w:r>
      <w:proofErr w:type="gramEnd"/>
      <w:r w:rsidRPr="00DD189C">
        <w:rPr>
          <w:rFonts w:ascii="Times New Roman" w:hAnsi="Times New Roman"/>
          <w:sz w:val="24"/>
          <w:szCs w:val="24"/>
        </w:rPr>
        <w:t xml:space="preserve"> культуры; улучшение качества оказываемых услуг. </w:t>
      </w:r>
    </w:p>
    <w:p w:rsidR="00DD189C" w:rsidRPr="00DD189C" w:rsidRDefault="00DD189C" w:rsidP="00DD189C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67EE">
        <w:rPr>
          <w:rFonts w:ascii="Times New Roman" w:hAnsi="Times New Roman"/>
          <w:sz w:val="24"/>
          <w:szCs w:val="24"/>
        </w:rPr>
        <w:t>Существенным препятствием в эффективности развития отрасли культуры и ускорении темпов проектирования и строительства новых объектов, привлечении высококвалифицированных кадров, в значительном увеличении объема услуг в соответствии с современными потребностями населения, а также сохранении историко-культурного наследия, остаются недостаточность объемов инвестиций из бюджетов различных уровней и невысокий уровень доходов населения.</w:t>
      </w:r>
    </w:p>
    <w:p w:rsidR="0024525F" w:rsidRPr="00E22255" w:rsidRDefault="0024525F" w:rsidP="00794A68">
      <w:pPr>
        <w:pStyle w:val="3"/>
        <w:widowControl w:val="0"/>
        <w:spacing w:after="0"/>
        <w:ind w:left="0"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4525F" w:rsidRPr="005A052E" w:rsidRDefault="0024525F" w:rsidP="001223D0">
      <w:pPr>
        <w:pStyle w:val="3"/>
        <w:widowControl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A052E">
        <w:rPr>
          <w:rFonts w:ascii="Times New Roman" w:hAnsi="Times New Roman"/>
          <w:b/>
          <w:sz w:val="24"/>
          <w:szCs w:val="24"/>
        </w:rPr>
        <w:t>Физическая культура и спорт</w:t>
      </w:r>
    </w:p>
    <w:p w:rsidR="0024525F" w:rsidRPr="00E22255" w:rsidRDefault="0024525F" w:rsidP="009154B8">
      <w:pPr>
        <w:pStyle w:val="3"/>
        <w:widowControl w:val="0"/>
        <w:spacing w:after="0"/>
        <w:ind w:left="0" w:firstLine="72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5A052E" w:rsidRDefault="005A052E" w:rsidP="005A052E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701F9">
        <w:rPr>
          <w:rFonts w:ascii="Times New Roman" w:hAnsi="Times New Roman"/>
          <w:sz w:val="24"/>
          <w:szCs w:val="24"/>
        </w:rPr>
        <w:t>Основной целью развития отрасли является создание в городском округе Тольятти условий для роста численности населения, систематически занимающегося физической культурой и спортом.</w:t>
      </w:r>
    </w:p>
    <w:p w:rsidR="005A052E" w:rsidRDefault="005A052E" w:rsidP="005A05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80B">
        <w:rPr>
          <w:rFonts w:ascii="Times New Roman" w:hAnsi="Times New Roman"/>
          <w:sz w:val="24"/>
          <w:szCs w:val="24"/>
        </w:rPr>
        <w:t>В прогнозном периоде предполагается увеличение доли населения, систематически занимающегося физической культурой и спортом. По оценке, данный показатель к 2020 году достигнет значения: 36,8</w:t>
      </w:r>
      <w:r w:rsidR="007F21F1">
        <w:rPr>
          <w:rFonts w:ascii="Times New Roman" w:hAnsi="Times New Roman"/>
          <w:sz w:val="24"/>
          <w:szCs w:val="24"/>
        </w:rPr>
        <w:t xml:space="preserve"> </w:t>
      </w:r>
      <w:r w:rsidRPr="0057480B">
        <w:rPr>
          <w:rFonts w:ascii="Times New Roman" w:hAnsi="Times New Roman"/>
          <w:sz w:val="24"/>
          <w:szCs w:val="24"/>
        </w:rPr>
        <w:t>% - по базовому варианту развития и 37,0</w:t>
      </w:r>
      <w:r w:rsidR="007F21F1">
        <w:rPr>
          <w:rFonts w:ascii="Times New Roman" w:hAnsi="Times New Roman"/>
          <w:sz w:val="24"/>
          <w:szCs w:val="24"/>
        </w:rPr>
        <w:t xml:space="preserve"> </w:t>
      </w:r>
      <w:r w:rsidRPr="0057480B">
        <w:rPr>
          <w:rFonts w:ascii="Times New Roman" w:hAnsi="Times New Roman"/>
          <w:sz w:val="24"/>
          <w:szCs w:val="24"/>
        </w:rPr>
        <w:t>% - по целевому варианту развития.</w:t>
      </w:r>
    </w:p>
    <w:p w:rsidR="007F21F1" w:rsidRPr="002E2FEF" w:rsidRDefault="007F21F1" w:rsidP="007F21F1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D0C1D">
        <w:rPr>
          <w:rFonts w:ascii="Times New Roman" w:hAnsi="Times New Roman"/>
          <w:sz w:val="24"/>
          <w:szCs w:val="24"/>
        </w:rPr>
        <w:t>Для положительной динамики численности населения систематически занимающихся физической культурой и спортом планируется введение ставок инструкторов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E2FEF">
        <w:rPr>
          <w:rFonts w:ascii="Times New Roman" w:hAnsi="Times New Roman"/>
          <w:sz w:val="24"/>
          <w:szCs w:val="24"/>
        </w:rPr>
        <w:t xml:space="preserve">в целях создания необходимых условий для увеличения количества </w:t>
      </w:r>
      <w:proofErr w:type="gramStart"/>
      <w:r w:rsidRPr="002E2FEF">
        <w:rPr>
          <w:rFonts w:ascii="Times New Roman" w:hAnsi="Times New Roman"/>
          <w:sz w:val="24"/>
          <w:szCs w:val="24"/>
        </w:rPr>
        <w:t>горожан</w:t>
      </w:r>
      <w:proofErr w:type="gramEnd"/>
      <w:r w:rsidRPr="002E2FEF">
        <w:rPr>
          <w:rFonts w:ascii="Times New Roman" w:hAnsi="Times New Roman"/>
          <w:sz w:val="24"/>
          <w:szCs w:val="24"/>
        </w:rPr>
        <w:t xml:space="preserve"> постоянно занимающихся физкультурой и спортом по месту жительства, необходимо постепенно увеличить количество ставок инструкторов по спорту в МБУС Центр физической культуры и спорта, введенных в 2016-2017 годах с 17 ед. до 89 ед., в соответствии с рекомендациями Министерства спорта Самарской области, устанавливающими показатель из расчёта - 1 инструктор на 8 000 жителей</w:t>
      </w:r>
      <w:r>
        <w:rPr>
          <w:rFonts w:ascii="Times New Roman" w:hAnsi="Times New Roman"/>
          <w:sz w:val="24"/>
          <w:szCs w:val="24"/>
        </w:rPr>
        <w:t>)</w:t>
      </w:r>
      <w:r w:rsidRPr="002E2FEF">
        <w:rPr>
          <w:rFonts w:ascii="Times New Roman" w:hAnsi="Times New Roman"/>
          <w:sz w:val="24"/>
          <w:szCs w:val="24"/>
        </w:rPr>
        <w:t>.</w:t>
      </w:r>
    </w:p>
    <w:p w:rsidR="005A052E" w:rsidRDefault="005A052E" w:rsidP="00116F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480B">
        <w:rPr>
          <w:rFonts w:ascii="Times New Roman" w:hAnsi="Times New Roman"/>
          <w:sz w:val="24"/>
          <w:szCs w:val="24"/>
        </w:rPr>
        <w:t xml:space="preserve">Приоритетным направлением работы по развитию физической культуры и спорта в прогнозном периоде </w:t>
      </w:r>
      <w:r>
        <w:rPr>
          <w:rFonts w:ascii="Times New Roman" w:hAnsi="Times New Roman"/>
          <w:sz w:val="24"/>
          <w:szCs w:val="24"/>
        </w:rPr>
        <w:t>является</w:t>
      </w:r>
      <w:r w:rsidRPr="0057480B">
        <w:rPr>
          <w:rFonts w:ascii="Times New Roman" w:hAnsi="Times New Roman"/>
          <w:sz w:val="24"/>
          <w:szCs w:val="24"/>
        </w:rPr>
        <w:t xml:space="preserve"> </w:t>
      </w:r>
      <w:r w:rsidRPr="006D0C1D">
        <w:rPr>
          <w:rFonts w:ascii="Times New Roman" w:hAnsi="Times New Roman"/>
          <w:sz w:val="24"/>
          <w:szCs w:val="24"/>
        </w:rPr>
        <w:t xml:space="preserve">развитие спортивной инфраструктуры, в том числе, проектирование и строительство новых спортивных сооружений и реконструкция имеющихся спортивных объектов для более эффективного их использования. Кроме того, для повышения качества предоставления услуг, проведения учебных занятий и мероприятий физкультурно-спортивной направленности, привлечения обучающихся образовательных организаций к регулярным занятиям физической культурой и спортом, удовлетворения потребностей населения в занятиях физической культурой, повышения интереса различных категорий граждан к занятиям физической культурой и спортом необходимо также обеспечить модернизацию </w:t>
      </w:r>
      <w:proofErr w:type="gramStart"/>
      <w:r w:rsidRPr="006D0C1D">
        <w:rPr>
          <w:rFonts w:ascii="Times New Roman" w:hAnsi="Times New Roman"/>
          <w:sz w:val="24"/>
          <w:szCs w:val="24"/>
        </w:rPr>
        <w:t>пришкольных спортивных</w:t>
      </w:r>
      <w:proofErr w:type="gramEnd"/>
      <w:r w:rsidRPr="006D0C1D">
        <w:rPr>
          <w:rFonts w:ascii="Times New Roman" w:hAnsi="Times New Roman"/>
          <w:sz w:val="24"/>
          <w:szCs w:val="24"/>
        </w:rPr>
        <w:t xml:space="preserve"> площадок и оснащение их оборудованием в соответствии с современными требованиями.</w:t>
      </w:r>
    </w:p>
    <w:p w:rsidR="005A052E" w:rsidRPr="006D0C1D" w:rsidRDefault="005A052E" w:rsidP="00116F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0C1D">
        <w:rPr>
          <w:rFonts w:ascii="Times New Roman" w:hAnsi="Times New Roman"/>
          <w:sz w:val="24"/>
          <w:szCs w:val="24"/>
        </w:rPr>
        <w:t xml:space="preserve">Учитывая проблему городского округа Тольятти с дефицитом бюджетных средств для планомерного строительства, ремонта и реконструкции спортивных сооружений, и принимая во внимание необходимость реализации приоритетных направлений отрасли по увеличению низкого уровня обеспеченности населения спортивными сооружениями администрацией городского округа Тольятти подготовлены и направлены заявки в министерство спорта Самарской области о </w:t>
      </w:r>
      <w:proofErr w:type="spellStart"/>
      <w:r w:rsidRPr="006D0C1D"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Pr="006D0C1D">
        <w:rPr>
          <w:rFonts w:ascii="Times New Roman" w:hAnsi="Times New Roman"/>
          <w:sz w:val="24"/>
          <w:szCs w:val="24"/>
        </w:rPr>
        <w:t xml:space="preserve"> строительства на территории Тольятти спортивных объектов.</w:t>
      </w:r>
      <w:proofErr w:type="gramEnd"/>
    </w:p>
    <w:p w:rsidR="005A052E" w:rsidRPr="006D0C1D" w:rsidRDefault="005A052E" w:rsidP="00116FB6">
      <w:pPr>
        <w:tabs>
          <w:tab w:val="left" w:pos="155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0C1D">
        <w:rPr>
          <w:rFonts w:ascii="Times New Roman" w:hAnsi="Times New Roman"/>
          <w:sz w:val="24"/>
          <w:szCs w:val="24"/>
        </w:rPr>
        <w:lastRenderedPageBreak/>
        <w:t>Согласно поданным заявкам в государственную программу Самарской области «Развитие физической культуры и спорта в Самарской области на 2014-2020 годы» за счет средств областного и федерального бюджетов запланированы к реализации до 2020 года мероприятия по проектированию и строительству следующих спортивных объектов:</w:t>
      </w:r>
    </w:p>
    <w:p w:rsidR="005A052E" w:rsidRPr="006D0C1D" w:rsidRDefault="005A052E" w:rsidP="005A052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D0C1D">
        <w:rPr>
          <w:rFonts w:ascii="Times New Roman" w:hAnsi="Times New Roman"/>
          <w:sz w:val="24"/>
          <w:szCs w:val="24"/>
        </w:rPr>
        <w:t>1.  Многофункциональные физкультурно-спортивные комплексы (2 ед.), так называемые «тройки» (бассейн, универсальный игровой зал, искусственный лед) в Комсомольском районе около речного порта и в п</w:t>
      </w:r>
      <w:proofErr w:type="gramStart"/>
      <w:r w:rsidRPr="006D0C1D">
        <w:rPr>
          <w:rFonts w:ascii="Times New Roman" w:hAnsi="Times New Roman"/>
          <w:sz w:val="24"/>
          <w:szCs w:val="24"/>
        </w:rPr>
        <w:t>.Ш</w:t>
      </w:r>
      <w:proofErr w:type="gramEnd"/>
      <w:r w:rsidRPr="006D0C1D">
        <w:rPr>
          <w:rFonts w:ascii="Times New Roman" w:hAnsi="Times New Roman"/>
          <w:sz w:val="24"/>
          <w:szCs w:val="24"/>
        </w:rPr>
        <w:t>люзовой на  пересечении улиц Шлюзовая и Железнодорожная, проектирование в 2016 год</w:t>
      </w:r>
      <w:r w:rsidR="007F21F1">
        <w:rPr>
          <w:rFonts w:ascii="Times New Roman" w:hAnsi="Times New Roman"/>
          <w:sz w:val="24"/>
          <w:szCs w:val="24"/>
        </w:rPr>
        <w:t>у</w:t>
      </w:r>
      <w:r w:rsidRPr="006D0C1D">
        <w:rPr>
          <w:rFonts w:ascii="Times New Roman" w:hAnsi="Times New Roman"/>
          <w:sz w:val="24"/>
          <w:szCs w:val="24"/>
        </w:rPr>
        <w:t>, строительство в 2017-2018 годах.</w:t>
      </w:r>
    </w:p>
    <w:p w:rsidR="005A052E" w:rsidRPr="006D0C1D" w:rsidRDefault="005A052E" w:rsidP="005A052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D0C1D">
        <w:rPr>
          <w:rFonts w:ascii="Times New Roman" w:hAnsi="Times New Roman"/>
          <w:sz w:val="24"/>
          <w:szCs w:val="24"/>
        </w:rPr>
        <w:t>2. Легкоатлетический манеж (круговая дорожка 200 метров) на стадионе «Торпедо», проектирование в 2016-2017 годах, строительство в 2018-2019 годах.</w:t>
      </w:r>
    </w:p>
    <w:p w:rsidR="005A052E" w:rsidRPr="006D0C1D" w:rsidRDefault="005A052E" w:rsidP="005A052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D0C1D">
        <w:rPr>
          <w:rFonts w:ascii="Times New Roman" w:hAnsi="Times New Roman"/>
          <w:sz w:val="24"/>
          <w:szCs w:val="24"/>
        </w:rPr>
        <w:t>3. Центр спортивной гимнастики «</w:t>
      </w:r>
      <w:proofErr w:type="spellStart"/>
      <w:r w:rsidRPr="006D0C1D">
        <w:rPr>
          <w:rFonts w:ascii="Times New Roman" w:hAnsi="Times New Roman"/>
          <w:sz w:val="24"/>
          <w:szCs w:val="24"/>
        </w:rPr>
        <w:t>Немов-центр</w:t>
      </w:r>
      <w:proofErr w:type="spellEnd"/>
      <w:r w:rsidRPr="006D0C1D">
        <w:rPr>
          <w:rFonts w:ascii="Times New Roman" w:hAnsi="Times New Roman"/>
          <w:sz w:val="24"/>
          <w:szCs w:val="24"/>
        </w:rPr>
        <w:t>», проектирование в 2017-2018 годах, строительство в 2019-2020 годах в Автозаводском районе.</w:t>
      </w:r>
    </w:p>
    <w:p w:rsidR="005A052E" w:rsidRPr="006D0C1D" w:rsidRDefault="005A052E" w:rsidP="005A052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D0C1D">
        <w:rPr>
          <w:rFonts w:ascii="Times New Roman" w:hAnsi="Times New Roman"/>
          <w:sz w:val="24"/>
          <w:szCs w:val="24"/>
        </w:rPr>
        <w:t>4. Физкультурно-спортивные комплексы (2 ед.), так называемые «единички» (универсальный зал 36х18м и раздевалки с подсобными помещениями), проектирование в 2017 году, строительство в 2019 году:</w:t>
      </w:r>
    </w:p>
    <w:p w:rsidR="005A052E" w:rsidRPr="006D0C1D" w:rsidRDefault="005A052E" w:rsidP="005A052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D0C1D">
        <w:rPr>
          <w:rFonts w:ascii="Times New Roman" w:hAnsi="Times New Roman"/>
          <w:sz w:val="24"/>
          <w:szCs w:val="24"/>
        </w:rPr>
        <w:t>- проектирование и строительство физкультурно-спортивного комплекса в 21 квартале Автозаводского района для МБУДО СДЮСШОР № 7 "Акробат".</w:t>
      </w:r>
    </w:p>
    <w:p w:rsidR="005A052E" w:rsidRPr="006D0C1D" w:rsidRDefault="005A052E" w:rsidP="005A052E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D0C1D">
        <w:rPr>
          <w:rFonts w:ascii="Times New Roman" w:hAnsi="Times New Roman"/>
          <w:sz w:val="24"/>
          <w:szCs w:val="24"/>
        </w:rPr>
        <w:t>- проектирование и строительство физкультурно-спортивного комплекса с универсальным игровым залом (36х18м) по адресу: Самарская область, г</w:t>
      </w:r>
      <w:proofErr w:type="gramStart"/>
      <w:r w:rsidRPr="006D0C1D">
        <w:rPr>
          <w:rFonts w:ascii="Times New Roman" w:hAnsi="Times New Roman"/>
          <w:sz w:val="24"/>
          <w:szCs w:val="24"/>
        </w:rPr>
        <w:t>.Т</w:t>
      </w:r>
      <w:proofErr w:type="gramEnd"/>
      <w:r w:rsidRPr="006D0C1D">
        <w:rPr>
          <w:rFonts w:ascii="Times New Roman" w:hAnsi="Times New Roman"/>
          <w:sz w:val="24"/>
          <w:szCs w:val="24"/>
        </w:rPr>
        <w:t>ольятти, Автозаводский район, южнее здания № 15 по бул. Кулибина, для МБУДО СДЮСШОР № 8 "Союз».</w:t>
      </w:r>
    </w:p>
    <w:p w:rsidR="005A052E" w:rsidRPr="006D0C1D" w:rsidRDefault="005A052E" w:rsidP="002A14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0C1D">
        <w:rPr>
          <w:rFonts w:ascii="Times New Roman" w:hAnsi="Times New Roman"/>
          <w:sz w:val="24"/>
          <w:szCs w:val="24"/>
        </w:rPr>
        <w:t>Наличие новых спортивных объектов и действующих объектов, приведенных в соответствие с современным требованиям в совокупности будет способствовать созданию сети спортивных клубов по месту жительства, сможет повысить интерес различных категорий граждан к занятиям физической культурой и спортом, будет способствовать развитию массового спорта, спартакиадного движения, увеличению двигательной активности населения, увеличения количества занимающихся среди инвалидов и соответственно позволит обеспечить рост показателей отрасли.</w:t>
      </w:r>
      <w:proofErr w:type="gramEnd"/>
    </w:p>
    <w:p w:rsidR="005A052E" w:rsidRPr="006D0C1D" w:rsidRDefault="005A052E" w:rsidP="002A14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0C1D">
        <w:rPr>
          <w:rFonts w:ascii="Times New Roman" w:hAnsi="Times New Roman"/>
          <w:sz w:val="24"/>
          <w:szCs w:val="24"/>
        </w:rPr>
        <w:t>В результате реализации мероприятий муниципальной программы на 2017-2021 годы планируется строительство новых спортивных объектов и реконструкция (ремонт) имеющихся спортивных сооружений, что будет способствовать созданию временных рабочих мест в процессе строительства объектов, а по окончанию строительства при сдаче объектов повлечет за собой создание новых рабочих мест, как для специалистов сферы физической культуры и спорта, так и обслуживающего персонала по обслуживанию объектов</w:t>
      </w:r>
      <w:proofErr w:type="gramEnd"/>
      <w:r w:rsidRPr="006D0C1D">
        <w:rPr>
          <w:rFonts w:ascii="Times New Roman" w:hAnsi="Times New Roman"/>
          <w:sz w:val="24"/>
          <w:szCs w:val="24"/>
        </w:rPr>
        <w:t xml:space="preserve">, проведению занятий с населением. </w:t>
      </w:r>
    </w:p>
    <w:p w:rsidR="002A28F7" w:rsidRPr="0057480B" w:rsidRDefault="002A28F7" w:rsidP="002A28F7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480B">
        <w:rPr>
          <w:rFonts w:ascii="Times New Roman" w:hAnsi="Times New Roman"/>
          <w:sz w:val="24"/>
          <w:szCs w:val="24"/>
        </w:rPr>
        <w:t xml:space="preserve">Количество спортивных сооружений </w:t>
      </w:r>
      <w:r w:rsidR="00922F18">
        <w:rPr>
          <w:rFonts w:ascii="Times New Roman" w:hAnsi="Times New Roman"/>
          <w:sz w:val="24"/>
          <w:szCs w:val="24"/>
        </w:rPr>
        <w:t>в прогнозном периоде</w:t>
      </w:r>
      <w:r w:rsidR="00922F18" w:rsidRPr="0057480B">
        <w:rPr>
          <w:rFonts w:ascii="Times New Roman" w:hAnsi="Times New Roman"/>
          <w:sz w:val="24"/>
          <w:szCs w:val="24"/>
        </w:rPr>
        <w:t xml:space="preserve"> </w:t>
      </w:r>
      <w:r w:rsidRPr="0057480B">
        <w:rPr>
          <w:rFonts w:ascii="Times New Roman" w:hAnsi="Times New Roman"/>
          <w:sz w:val="24"/>
          <w:szCs w:val="24"/>
        </w:rPr>
        <w:t xml:space="preserve">будет расти и к концу 2020 года может составить – </w:t>
      </w:r>
      <w:r w:rsidRPr="001F6782">
        <w:rPr>
          <w:rFonts w:ascii="Times New Roman" w:hAnsi="Times New Roman"/>
          <w:sz w:val="24"/>
          <w:szCs w:val="24"/>
        </w:rPr>
        <w:t>784 ед</w:t>
      </w:r>
      <w:r w:rsidRPr="0057480B">
        <w:rPr>
          <w:rFonts w:ascii="Times New Roman" w:hAnsi="Times New Roman"/>
          <w:sz w:val="24"/>
          <w:szCs w:val="24"/>
        </w:rPr>
        <w:t xml:space="preserve">. по первому варианту и </w:t>
      </w:r>
      <w:r>
        <w:rPr>
          <w:rFonts w:ascii="Times New Roman" w:hAnsi="Times New Roman"/>
          <w:sz w:val="24"/>
          <w:szCs w:val="24"/>
        </w:rPr>
        <w:t xml:space="preserve">796 </w:t>
      </w:r>
      <w:r w:rsidRPr="0057480B">
        <w:rPr>
          <w:rFonts w:ascii="Times New Roman" w:hAnsi="Times New Roman"/>
          <w:sz w:val="24"/>
          <w:szCs w:val="24"/>
        </w:rPr>
        <w:t>ед. – по второму.</w:t>
      </w:r>
    </w:p>
    <w:p w:rsidR="000A58F0" w:rsidRDefault="000A58F0" w:rsidP="002528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2845" w:rsidRPr="00422394" w:rsidRDefault="00252845" w:rsidP="002528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2394">
        <w:rPr>
          <w:rFonts w:ascii="Times New Roman" w:hAnsi="Times New Roman"/>
          <w:b/>
          <w:sz w:val="24"/>
          <w:szCs w:val="24"/>
        </w:rPr>
        <w:t>Потребительский рынок товаров и услуг</w:t>
      </w:r>
    </w:p>
    <w:p w:rsidR="00252845" w:rsidRPr="00422394" w:rsidRDefault="00252845" w:rsidP="002528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C9B" w:rsidRDefault="00271C9B" w:rsidP="00271C9B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2394">
        <w:rPr>
          <w:rFonts w:ascii="Times New Roman" w:hAnsi="Times New Roman"/>
          <w:sz w:val="24"/>
          <w:szCs w:val="24"/>
        </w:rPr>
        <w:t xml:space="preserve">В прогнозном периоде </w:t>
      </w:r>
      <w:r>
        <w:rPr>
          <w:rFonts w:ascii="Times New Roman" w:hAnsi="Times New Roman"/>
          <w:sz w:val="24"/>
          <w:szCs w:val="24"/>
        </w:rPr>
        <w:t xml:space="preserve">предполагается стабилизация социально-экономической ситуации </w:t>
      </w:r>
      <w:r w:rsidRPr="00422394">
        <w:rPr>
          <w:rFonts w:ascii="Times New Roman" w:hAnsi="Times New Roman"/>
          <w:sz w:val="24"/>
          <w:szCs w:val="24"/>
        </w:rPr>
        <w:t>в городском округе Тольятти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071FA">
        <w:rPr>
          <w:rFonts w:ascii="Times New Roman" w:hAnsi="Times New Roman"/>
          <w:sz w:val="24"/>
          <w:szCs w:val="24"/>
        </w:rPr>
        <w:t>ожидается восстановление потребительского спроса со стороны домашних хозяйств, основанное на положительной динамике роста заработной платы и доходов населения, сохранении инфляции на достаточно низком уровне, оживлении потребительского кредитования.</w:t>
      </w:r>
    </w:p>
    <w:p w:rsidR="00271C9B" w:rsidRPr="00F94050" w:rsidRDefault="00271C9B" w:rsidP="00271C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94050">
        <w:rPr>
          <w:rFonts w:ascii="Times New Roman" w:hAnsi="Times New Roman"/>
          <w:sz w:val="24"/>
          <w:szCs w:val="24"/>
        </w:rPr>
        <w:lastRenderedPageBreak/>
        <w:t xml:space="preserve">По первому варианту прогноза, в 2018 – 2019 годах оборот розничной торговли </w:t>
      </w:r>
      <w:r>
        <w:rPr>
          <w:rFonts w:ascii="Times New Roman" w:hAnsi="Times New Roman"/>
          <w:sz w:val="24"/>
          <w:szCs w:val="24"/>
        </w:rPr>
        <w:t>увеличиться на 2,</w:t>
      </w:r>
      <w:r w:rsidRPr="00E92112">
        <w:rPr>
          <w:rFonts w:ascii="Times New Roman" w:hAnsi="Times New Roman"/>
          <w:sz w:val="24"/>
          <w:szCs w:val="24"/>
        </w:rPr>
        <w:t>8 % и 3,8 %</w:t>
      </w:r>
      <w:r>
        <w:rPr>
          <w:rFonts w:ascii="Times New Roman" w:hAnsi="Times New Roman"/>
          <w:sz w:val="24"/>
          <w:szCs w:val="24"/>
        </w:rPr>
        <w:t xml:space="preserve"> к предыдущему году </w:t>
      </w:r>
      <w:r w:rsidRPr="00F94050">
        <w:rPr>
          <w:rFonts w:ascii="Times New Roman" w:hAnsi="Times New Roman"/>
          <w:sz w:val="24"/>
          <w:szCs w:val="24"/>
        </w:rPr>
        <w:t>соответственно</w:t>
      </w:r>
      <w:r>
        <w:rPr>
          <w:rFonts w:ascii="Times New Roman" w:hAnsi="Times New Roman"/>
          <w:sz w:val="24"/>
          <w:szCs w:val="24"/>
        </w:rPr>
        <w:t xml:space="preserve"> (в сопоставимых ценах снизится </w:t>
      </w:r>
      <w:r w:rsidRPr="00F94050">
        <w:rPr>
          <w:rFonts w:ascii="Times New Roman" w:hAnsi="Times New Roman"/>
          <w:sz w:val="24"/>
          <w:szCs w:val="24"/>
        </w:rPr>
        <w:t>на 1,2 % и 0,1 %</w:t>
      </w:r>
      <w:r>
        <w:rPr>
          <w:rFonts w:ascii="Times New Roman" w:hAnsi="Times New Roman"/>
          <w:sz w:val="24"/>
          <w:szCs w:val="24"/>
        </w:rPr>
        <w:t>)</w:t>
      </w:r>
      <w:r w:rsidRPr="00F9405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94050">
        <w:rPr>
          <w:rFonts w:ascii="Times New Roman" w:hAnsi="Times New Roman"/>
          <w:sz w:val="24"/>
          <w:szCs w:val="24"/>
        </w:rPr>
        <w:t>В 2020 году на фоне умеренного р</w:t>
      </w:r>
      <w:r>
        <w:rPr>
          <w:rFonts w:ascii="Times New Roman" w:hAnsi="Times New Roman"/>
          <w:sz w:val="24"/>
          <w:szCs w:val="24"/>
        </w:rPr>
        <w:t xml:space="preserve">оста реальной заработной платы </w:t>
      </w:r>
      <w:r w:rsidRPr="00F94050">
        <w:rPr>
          <w:rFonts w:ascii="Times New Roman" w:hAnsi="Times New Roman"/>
          <w:sz w:val="24"/>
          <w:szCs w:val="24"/>
        </w:rPr>
        <w:t xml:space="preserve">ожидается постепенный переход населения от сберегательной модели поведения к потребительской, что ускорит динамику оборота розничной торговли на </w:t>
      </w:r>
      <w:r>
        <w:rPr>
          <w:rFonts w:ascii="Times New Roman" w:hAnsi="Times New Roman"/>
          <w:sz w:val="24"/>
          <w:szCs w:val="24"/>
        </w:rPr>
        <w:t xml:space="preserve">4,0 % в действующих ценах </w:t>
      </w:r>
      <w:r w:rsidRPr="00F94050">
        <w:rPr>
          <w:rFonts w:ascii="Times New Roman" w:hAnsi="Times New Roman"/>
          <w:sz w:val="24"/>
          <w:szCs w:val="24"/>
        </w:rPr>
        <w:t>к предыдущему году</w:t>
      </w:r>
      <w:r>
        <w:rPr>
          <w:rFonts w:ascii="Times New Roman" w:hAnsi="Times New Roman"/>
          <w:sz w:val="24"/>
          <w:szCs w:val="24"/>
        </w:rPr>
        <w:t xml:space="preserve"> (на </w:t>
      </w:r>
      <w:r w:rsidRPr="00F94050">
        <w:rPr>
          <w:rFonts w:ascii="Times New Roman" w:hAnsi="Times New Roman"/>
          <w:sz w:val="24"/>
          <w:szCs w:val="24"/>
        </w:rPr>
        <w:t>0,1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4050">
        <w:rPr>
          <w:rFonts w:ascii="Times New Roman" w:hAnsi="Times New Roman"/>
          <w:sz w:val="24"/>
          <w:szCs w:val="24"/>
        </w:rPr>
        <w:t>% в сопоставимых ценах</w:t>
      </w:r>
      <w:r>
        <w:rPr>
          <w:rFonts w:ascii="Times New Roman" w:hAnsi="Times New Roman"/>
          <w:sz w:val="24"/>
          <w:szCs w:val="24"/>
        </w:rPr>
        <w:t>)</w:t>
      </w:r>
      <w:r w:rsidRPr="00F94050">
        <w:rPr>
          <w:rFonts w:ascii="Times New Roman" w:hAnsi="Times New Roman"/>
          <w:sz w:val="24"/>
          <w:szCs w:val="24"/>
        </w:rPr>
        <w:t>.</w:t>
      </w:r>
      <w:proofErr w:type="gramEnd"/>
    </w:p>
    <w:p w:rsidR="00271C9B" w:rsidRDefault="00271C9B" w:rsidP="00271C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4050">
        <w:rPr>
          <w:rFonts w:ascii="Times New Roman" w:hAnsi="Times New Roman"/>
          <w:sz w:val="24"/>
          <w:szCs w:val="24"/>
        </w:rPr>
        <w:t>По второму варианту прогноза, расширение потребительского кредитования и постепенное снижение нормы сбережения будут способствовать повышению потребительской уверенности населения</w:t>
      </w:r>
      <w:r>
        <w:rPr>
          <w:rFonts w:ascii="Times New Roman" w:hAnsi="Times New Roman"/>
          <w:sz w:val="24"/>
          <w:szCs w:val="24"/>
        </w:rPr>
        <w:t xml:space="preserve">: на протяжении всего прогнозного периода </w:t>
      </w:r>
      <w:r w:rsidRPr="00F94050">
        <w:rPr>
          <w:rFonts w:ascii="Times New Roman" w:hAnsi="Times New Roman"/>
          <w:sz w:val="24"/>
          <w:szCs w:val="24"/>
        </w:rPr>
        <w:t xml:space="preserve">оборот розничной торговли </w:t>
      </w:r>
      <w:r w:rsidRPr="00E92112">
        <w:rPr>
          <w:rFonts w:ascii="Times New Roman" w:hAnsi="Times New Roman"/>
          <w:sz w:val="24"/>
          <w:szCs w:val="24"/>
        </w:rPr>
        <w:t>продемонстрирует более высокие темпы роста в действующих ценах относительно уровня предыдущего года – на 3,8 %</w:t>
      </w:r>
      <w:r>
        <w:rPr>
          <w:rFonts w:ascii="Times New Roman" w:hAnsi="Times New Roman"/>
          <w:sz w:val="24"/>
          <w:szCs w:val="24"/>
        </w:rPr>
        <w:t xml:space="preserve"> и 3,9 % в 2018 и 2019 годах соответственно</w:t>
      </w:r>
      <w:r w:rsidRPr="00E92112">
        <w:rPr>
          <w:rFonts w:ascii="Times New Roman" w:hAnsi="Times New Roman"/>
          <w:sz w:val="24"/>
          <w:szCs w:val="24"/>
        </w:rPr>
        <w:t xml:space="preserve"> (на 0,1 % в сопоставимых ценах</w:t>
      </w:r>
      <w:r>
        <w:rPr>
          <w:rFonts w:ascii="Times New Roman" w:hAnsi="Times New Roman"/>
          <w:sz w:val="24"/>
          <w:szCs w:val="24"/>
        </w:rPr>
        <w:t>), и на 4,0 % в 2020 году (на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0,2 % в сопоставимых ценах)</w:t>
      </w:r>
      <w:r w:rsidRPr="00F94050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252845" w:rsidRPr="00F94050" w:rsidRDefault="00252845" w:rsidP="00252845">
      <w:pPr>
        <w:spacing w:after="0"/>
        <w:ind w:right="-1"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F94050">
        <w:rPr>
          <w:rFonts w:ascii="Times New Roman" w:hAnsi="Times New Roman"/>
          <w:sz w:val="24"/>
          <w:szCs w:val="24"/>
        </w:rPr>
        <w:t>В прогнозном периоде реализация мероприятий в сфере потребительского рынка будет осуществляться в рамках муниципальной программы «Развитие потребительского рынка в городском округе Тольятти на 2017–2021 гг.», утвержденной постановлением мэрии от 21.10.2016 № 3307-п/1. В рамках данной Программы предусмотрено проведение мониторинга мелкорозничной торговли, размещенной на территории городского округа Тольятти, организация работы по вывозу незаконно размещенных объектов потребительского рынка и др.</w:t>
      </w:r>
    </w:p>
    <w:p w:rsidR="00252845" w:rsidRPr="00F94050" w:rsidRDefault="00252845" w:rsidP="002A1449">
      <w:pPr>
        <w:spacing w:after="0"/>
        <w:ind w:right="-1"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proofErr w:type="gramStart"/>
      <w:r w:rsidRPr="00F94050">
        <w:rPr>
          <w:rFonts w:ascii="Times New Roman" w:hAnsi="Times New Roman"/>
          <w:sz w:val="24"/>
          <w:szCs w:val="24"/>
        </w:rPr>
        <w:t>Кроме того, в целях развития потребительского рынка, поддержки местных товаропроизводителей, конкурентной среды, а также снижения и стабилизации цен на товары и услуги в прогнозном периоде планируется реализация следующих мероприятий: определение обеспеченности жителей городского округа Тольятти торговыми площадями, посадочными местами предприятий общественного питания и рабочими местами предприятий бытового обслуживания;</w:t>
      </w:r>
      <w:proofErr w:type="gramEnd"/>
      <w:r w:rsidRPr="00F94050">
        <w:rPr>
          <w:rFonts w:ascii="Times New Roman" w:hAnsi="Times New Roman"/>
          <w:sz w:val="24"/>
          <w:szCs w:val="24"/>
        </w:rPr>
        <w:t xml:space="preserve"> мониторинг цен на отдельные виды социально значимых товаров;  развитие локальных сетей розничной торговли шаговой доступности и др. Также, с целью реализации продукции местных товаропроизводителей, в прогнозном периоде будет осуществляться ярмарочная торговля. </w:t>
      </w:r>
    </w:p>
    <w:p w:rsidR="002A1449" w:rsidRDefault="002A1449" w:rsidP="00533B55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65A6A" w:rsidRPr="00065A6A" w:rsidRDefault="00065A6A" w:rsidP="00533B55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5A6A">
        <w:rPr>
          <w:rFonts w:ascii="Times New Roman" w:hAnsi="Times New Roman"/>
          <w:b/>
          <w:sz w:val="24"/>
          <w:szCs w:val="24"/>
        </w:rPr>
        <w:t>Охрана окружающей среды</w:t>
      </w:r>
    </w:p>
    <w:p w:rsidR="00065A6A" w:rsidRPr="00065A6A" w:rsidRDefault="00065A6A" w:rsidP="00065A6A">
      <w:pPr>
        <w:widowControl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65A6A" w:rsidRPr="00065A6A" w:rsidRDefault="00065A6A" w:rsidP="00065A6A">
      <w:pPr>
        <w:widowControl w:val="0"/>
        <w:spacing w:after="0"/>
        <w:ind w:firstLine="720"/>
        <w:jc w:val="both"/>
        <w:textAlignment w:val="top"/>
        <w:rPr>
          <w:rFonts w:ascii="Times New Roman" w:hAnsi="Times New Roman"/>
          <w:sz w:val="24"/>
          <w:szCs w:val="24"/>
        </w:rPr>
      </w:pPr>
      <w:r w:rsidRPr="00065A6A">
        <w:rPr>
          <w:rFonts w:ascii="Times New Roman" w:hAnsi="Times New Roman"/>
          <w:sz w:val="24"/>
          <w:szCs w:val="24"/>
        </w:rPr>
        <w:t>В 2018 - 2020 годы экологическая обстановка, сложившаяся в городском округе Тольятти, по-прежнему</w:t>
      </w:r>
      <w:r w:rsidR="002A28F7">
        <w:rPr>
          <w:rFonts w:ascii="Times New Roman" w:hAnsi="Times New Roman"/>
          <w:sz w:val="24"/>
          <w:szCs w:val="24"/>
        </w:rPr>
        <w:t>,</w:t>
      </w:r>
      <w:r w:rsidRPr="00065A6A">
        <w:rPr>
          <w:rFonts w:ascii="Times New Roman" w:hAnsi="Times New Roman"/>
          <w:sz w:val="24"/>
          <w:szCs w:val="24"/>
        </w:rPr>
        <w:t xml:space="preserve"> будет определяться характером и масштабами воздействия на окружающую природную среду предприятий промышленности, автомобильного транспорта, коммунального хозяйства, а также эффективностью от реализованных ими природоохранных мероприятий.</w:t>
      </w:r>
    </w:p>
    <w:p w:rsidR="00065A6A" w:rsidRPr="00065A6A" w:rsidRDefault="00065A6A" w:rsidP="00065A6A">
      <w:pPr>
        <w:widowControl w:val="0"/>
        <w:spacing w:after="0"/>
        <w:ind w:firstLine="720"/>
        <w:jc w:val="both"/>
        <w:textAlignment w:val="top"/>
        <w:rPr>
          <w:rFonts w:ascii="Times New Roman" w:hAnsi="Times New Roman"/>
          <w:sz w:val="24"/>
          <w:szCs w:val="24"/>
        </w:rPr>
      </w:pPr>
      <w:r w:rsidRPr="00065A6A">
        <w:rPr>
          <w:rFonts w:ascii="Times New Roman" w:hAnsi="Times New Roman"/>
          <w:sz w:val="24"/>
          <w:szCs w:val="24"/>
        </w:rPr>
        <w:t xml:space="preserve">При условии реализации первого варианта прогноза, вследствие внедрения крупными промышленными предприятиями технологий и проектов, направленных на снижение негативного воздействия на окружающую среду, в 2018 - 2020 годах прогнозируется тенденция снижения объемов вредных веществ, выбрасываемых в атмосферный воздух стационарными источниками загрязнения, по сравнению с 2016 годом.  </w:t>
      </w:r>
    </w:p>
    <w:p w:rsidR="00065A6A" w:rsidRPr="00065A6A" w:rsidRDefault="00065A6A" w:rsidP="00065A6A">
      <w:pPr>
        <w:widowControl w:val="0"/>
        <w:spacing w:after="0"/>
        <w:ind w:firstLine="720"/>
        <w:jc w:val="both"/>
        <w:textAlignment w:val="top"/>
        <w:rPr>
          <w:rFonts w:ascii="Times New Roman" w:hAnsi="Times New Roman"/>
          <w:sz w:val="24"/>
          <w:szCs w:val="24"/>
        </w:rPr>
      </w:pPr>
      <w:r w:rsidRPr="00065A6A">
        <w:rPr>
          <w:rFonts w:ascii="Times New Roman" w:hAnsi="Times New Roman"/>
          <w:sz w:val="24"/>
          <w:szCs w:val="24"/>
        </w:rPr>
        <w:t>В целом в 2020 году относительно 2017 года данный показатель предположительно снизится на 0,4 % до 25,6 тыс. тонн.</w:t>
      </w:r>
    </w:p>
    <w:p w:rsidR="00065A6A" w:rsidRPr="00065A6A" w:rsidRDefault="00065A6A" w:rsidP="00065A6A">
      <w:pPr>
        <w:widowControl w:val="0"/>
        <w:spacing w:after="0"/>
        <w:ind w:firstLine="720"/>
        <w:jc w:val="both"/>
        <w:textAlignment w:val="top"/>
        <w:rPr>
          <w:rFonts w:ascii="Times New Roman" w:hAnsi="Times New Roman"/>
          <w:sz w:val="24"/>
          <w:szCs w:val="24"/>
        </w:rPr>
      </w:pPr>
      <w:r w:rsidRPr="00065A6A">
        <w:rPr>
          <w:rFonts w:ascii="Times New Roman" w:hAnsi="Times New Roman"/>
          <w:sz w:val="24"/>
          <w:szCs w:val="24"/>
        </w:rPr>
        <w:lastRenderedPageBreak/>
        <w:t>Объем сброса загрязненных сточных вод в поверхностные водные объекты в 2020 году уменьшится к уровню 2017 года по первому варианту прогноза на 1,1 % и составит 133,8 млн.м3.</w:t>
      </w:r>
    </w:p>
    <w:p w:rsidR="00065A6A" w:rsidRPr="00065A6A" w:rsidRDefault="00065A6A" w:rsidP="00065A6A">
      <w:pPr>
        <w:widowControl w:val="0"/>
        <w:spacing w:after="0"/>
        <w:ind w:firstLine="720"/>
        <w:jc w:val="both"/>
        <w:textAlignment w:val="top"/>
        <w:rPr>
          <w:rFonts w:ascii="Times New Roman" w:hAnsi="Times New Roman"/>
          <w:sz w:val="24"/>
          <w:szCs w:val="24"/>
        </w:rPr>
      </w:pPr>
      <w:proofErr w:type="gramStart"/>
      <w:r w:rsidRPr="00065A6A">
        <w:rPr>
          <w:rFonts w:ascii="Times New Roman" w:hAnsi="Times New Roman"/>
          <w:sz w:val="24"/>
          <w:szCs w:val="24"/>
        </w:rPr>
        <w:t xml:space="preserve">В случае реализации предприятиями городского округа Тольятти экологических обязательств по внедрению современных </w:t>
      </w:r>
      <w:proofErr w:type="spellStart"/>
      <w:r w:rsidRPr="00065A6A">
        <w:rPr>
          <w:rFonts w:ascii="Times New Roman" w:hAnsi="Times New Roman"/>
          <w:sz w:val="24"/>
          <w:szCs w:val="24"/>
        </w:rPr>
        <w:t>воздухоочистных</w:t>
      </w:r>
      <w:proofErr w:type="spellEnd"/>
      <w:r w:rsidRPr="00065A6A">
        <w:rPr>
          <w:rFonts w:ascii="Times New Roman" w:hAnsi="Times New Roman"/>
          <w:sz w:val="24"/>
          <w:szCs w:val="24"/>
        </w:rPr>
        <w:t xml:space="preserve"> технологий, более совершенного оборудования газоочистки и мероприятий по внедрению новых технологий в 2020 году объем вредных веществ, выбрасываемых в атмосферный воздух стационарными источниками загрязнения, по второму варианту прогноза снизится относительно 2017 года на 2,7 % и составит 25,0 тыс. тонн. </w:t>
      </w:r>
      <w:proofErr w:type="gramEnd"/>
    </w:p>
    <w:p w:rsidR="00065A6A" w:rsidRPr="00C20A17" w:rsidRDefault="00065A6A" w:rsidP="00065A6A">
      <w:pPr>
        <w:widowControl w:val="0"/>
        <w:spacing w:after="0"/>
        <w:ind w:firstLine="720"/>
        <w:jc w:val="both"/>
        <w:textAlignment w:val="top"/>
        <w:rPr>
          <w:rFonts w:ascii="Times New Roman" w:hAnsi="Times New Roman"/>
          <w:sz w:val="24"/>
          <w:szCs w:val="24"/>
        </w:rPr>
      </w:pPr>
      <w:r w:rsidRPr="00065A6A">
        <w:rPr>
          <w:rFonts w:ascii="Times New Roman" w:hAnsi="Times New Roman"/>
          <w:sz w:val="24"/>
          <w:szCs w:val="24"/>
        </w:rPr>
        <w:t>Объем сброса загрязненных сточных вод в поверхностные водные объекты снизится в 2020 году к 2017 году на 2,5 % и составит по второму варианту 132,0 млн.м3.</w:t>
      </w:r>
      <w:r w:rsidRPr="00C20A17">
        <w:rPr>
          <w:rFonts w:ascii="Times New Roman" w:hAnsi="Times New Roman"/>
          <w:sz w:val="24"/>
          <w:szCs w:val="24"/>
        </w:rPr>
        <w:t xml:space="preserve"> </w:t>
      </w:r>
    </w:p>
    <w:p w:rsidR="0024525F" w:rsidRPr="00E22255" w:rsidRDefault="0024525F" w:rsidP="005B0C8A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0" w:type="auto"/>
        <w:tblLook w:val="00A0"/>
      </w:tblPr>
      <w:tblGrid>
        <w:gridCol w:w="2518"/>
        <w:gridCol w:w="6946"/>
      </w:tblGrid>
      <w:tr w:rsidR="0024525F" w:rsidRPr="004E7891" w:rsidTr="004E7891">
        <w:tc>
          <w:tcPr>
            <w:tcW w:w="2518" w:type="dxa"/>
          </w:tcPr>
          <w:p w:rsidR="00533B55" w:rsidRDefault="00533B55" w:rsidP="004E7891">
            <w:pPr>
              <w:pStyle w:val="a8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25F" w:rsidRPr="00807D3F" w:rsidRDefault="0024525F" w:rsidP="004E7891">
            <w:pPr>
              <w:pStyle w:val="a8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Приложение:</w:t>
            </w:r>
          </w:p>
        </w:tc>
        <w:tc>
          <w:tcPr>
            <w:tcW w:w="6946" w:type="dxa"/>
          </w:tcPr>
          <w:p w:rsidR="00533B55" w:rsidRDefault="00533B55" w:rsidP="00CF5FF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24525F" w:rsidRPr="00807D3F" w:rsidRDefault="0024525F" w:rsidP="00CF5FF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807D3F">
              <w:rPr>
                <w:rFonts w:ascii="Times New Roman" w:hAnsi="Times New Roman"/>
                <w:sz w:val="24"/>
                <w:szCs w:val="24"/>
              </w:rPr>
              <w:t xml:space="preserve">Изменение основных показателей </w:t>
            </w:r>
            <w:r w:rsidR="00712688" w:rsidRPr="00807D3F">
              <w:rPr>
                <w:rFonts w:ascii="Times New Roman" w:hAnsi="Times New Roman"/>
                <w:sz w:val="24"/>
                <w:szCs w:val="24"/>
              </w:rPr>
              <w:t>1</w:t>
            </w:r>
            <w:r w:rsidRPr="00807D3F">
              <w:rPr>
                <w:rFonts w:ascii="Times New Roman" w:hAnsi="Times New Roman"/>
                <w:sz w:val="24"/>
                <w:szCs w:val="24"/>
              </w:rPr>
              <w:t xml:space="preserve"> варианта прогноза социально-экономического развития городского округа Тольятти на 201</w:t>
            </w:r>
            <w:r w:rsidR="00807D3F" w:rsidRPr="00807D3F">
              <w:rPr>
                <w:rFonts w:ascii="Times New Roman" w:hAnsi="Times New Roman"/>
                <w:sz w:val="24"/>
                <w:szCs w:val="24"/>
              </w:rPr>
              <w:t>7</w:t>
            </w:r>
            <w:r w:rsidRPr="00807D3F">
              <w:rPr>
                <w:rFonts w:ascii="Times New Roman" w:hAnsi="Times New Roman"/>
                <w:sz w:val="24"/>
                <w:szCs w:val="24"/>
              </w:rPr>
              <w:t>-201</w:t>
            </w:r>
            <w:r w:rsidR="00807D3F" w:rsidRPr="00807D3F">
              <w:rPr>
                <w:rFonts w:ascii="Times New Roman" w:hAnsi="Times New Roman"/>
                <w:sz w:val="24"/>
                <w:szCs w:val="24"/>
              </w:rPr>
              <w:t>9</w:t>
            </w:r>
            <w:r w:rsidRPr="00807D3F">
              <w:rPr>
                <w:rFonts w:ascii="Times New Roman" w:hAnsi="Times New Roman"/>
                <w:sz w:val="24"/>
                <w:szCs w:val="24"/>
              </w:rPr>
              <w:t xml:space="preserve"> годы с пояснениями – на 4 л. в 1 экз.</w:t>
            </w:r>
          </w:p>
          <w:p w:rsidR="00712688" w:rsidRPr="00807D3F" w:rsidRDefault="00712688" w:rsidP="00CF5FF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712688" w:rsidRPr="00807D3F" w:rsidRDefault="00712688" w:rsidP="00CF5FF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D123EB" w:rsidRPr="00807D3F" w:rsidRDefault="00D123EB" w:rsidP="00CF5FF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712688" w:rsidRPr="00807D3F" w:rsidRDefault="00712688" w:rsidP="00CF5FF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712688" w:rsidRPr="00807D3F" w:rsidRDefault="00712688" w:rsidP="00CF5FF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712688" w:rsidRPr="00807D3F" w:rsidRDefault="00712688" w:rsidP="00CF5FF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24525F" w:rsidRPr="00807D3F" w:rsidRDefault="0024525F" w:rsidP="004E7891">
            <w:pPr>
              <w:pStyle w:val="a8"/>
              <w:spacing w:line="276" w:lineRule="auto"/>
              <w:ind w:firstLine="72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525F" w:rsidRPr="00415835" w:rsidRDefault="000A58F0" w:rsidP="005B0C8A">
      <w:pPr>
        <w:suppressAutoHyphens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р</w:t>
      </w:r>
      <w:r w:rsidR="0024525F" w:rsidRPr="00415835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я</w:t>
      </w:r>
      <w:r w:rsidR="00E34674">
        <w:rPr>
          <w:rFonts w:ascii="Times New Roman" w:hAnsi="Times New Roman"/>
          <w:sz w:val="24"/>
          <w:szCs w:val="24"/>
        </w:rPr>
        <w:t xml:space="preserve"> </w:t>
      </w:r>
      <w:r w:rsidR="0024525F" w:rsidRPr="00415835">
        <w:rPr>
          <w:rFonts w:ascii="Times New Roman" w:hAnsi="Times New Roman"/>
          <w:sz w:val="24"/>
          <w:szCs w:val="24"/>
        </w:rPr>
        <w:t xml:space="preserve">департамента  </w:t>
      </w:r>
    </w:p>
    <w:p w:rsidR="0024525F" w:rsidRPr="00415835" w:rsidRDefault="0024525F" w:rsidP="005B0C8A">
      <w:pPr>
        <w:suppressAutoHyphens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415835">
        <w:rPr>
          <w:rFonts w:ascii="Times New Roman" w:hAnsi="Times New Roman"/>
          <w:sz w:val="24"/>
          <w:szCs w:val="24"/>
        </w:rPr>
        <w:t>экономического развития</w:t>
      </w:r>
      <w:r w:rsidRPr="00415835">
        <w:rPr>
          <w:rFonts w:ascii="Times New Roman" w:hAnsi="Times New Roman"/>
          <w:sz w:val="24"/>
          <w:szCs w:val="24"/>
        </w:rPr>
        <w:tab/>
      </w:r>
      <w:r w:rsidRPr="00415835">
        <w:rPr>
          <w:rFonts w:ascii="Times New Roman" w:hAnsi="Times New Roman"/>
          <w:sz w:val="24"/>
          <w:szCs w:val="24"/>
        </w:rPr>
        <w:tab/>
      </w:r>
      <w:r w:rsidRPr="00415835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="000A58F0">
        <w:rPr>
          <w:rFonts w:ascii="Times New Roman" w:hAnsi="Times New Roman"/>
          <w:sz w:val="24"/>
          <w:szCs w:val="24"/>
        </w:rPr>
        <w:t xml:space="preserve">                    Е.В. Демидова</w:t>
      </w:r>
      <w:r w:rsidRPr="0041583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71268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5835">
        <w:rPr>
          <w:rFonts w:ascii="Times New Roman" w:hAnsi="Times New Roman"/>
          <w:sz w:val="24"/>
          <w:szCs w:val="24"/>
        </w:rPr>
        <w:t xml:space="preserve"> </w:t>
      </w:r>
    </w:p>
    <w:p w:rsidR="0024525F" w:rsidRDefault="0024525F" w:rsidP="005B0C8A">
      <w:pPr>
        <w:suppressAutoHyphens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12688" w:rsidRDefault="00712688" w:rsidP="005B0C8A">
      <w:pPr>
        <w:suppressAutoHyphens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12688" w:rsidRDefault="00712688" w:rsidP="005B0C8A">
      <w:pPr>
        <w:suppressAutoHyphens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12688" w:rsidRDefault="00712688" w:rsidP="005B0C8A">
      <w:pPr>
        <w:suppressAutoHyphens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123EB" w:rsidRPr="00415835" w:rsidRDefault="00D123EB" w:rsidP="005B0C8A">
      <w:pPr>
        <w:suppressAutoHyphens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D123EB" w:rsidRPr="00415835" w:rsidSect="00986F9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F18" w:rsidRDefault="00922F18" w:rsidP="006A2B6C">
      <w:pPr>
        <w:spacing w:after="0" w:line="240" w:lineRule="auto"/>
      </w:pPr>
      <w:r>
        <w:separator/>
      </w:r>
    </w:p>
  </w:endnote>
  <w:endnote w:type="continuationSeparator" w:id="0">
    <w:p w:rsidR="00922F18" w:rsidRDefault="00922F18" w:rsidP="006A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F18" w:rsidRDefault="00922F18" w:rsidP="006A2B6C">
      <w:pPr>
        <w:spacing w:after="0" w:line="240" w:lineRule="auto"/>
      </w:pPr>
      <w:r>
        <w:separator/>
      </w:r>
    </w:p>
  </w:footnote>
  <w:footnote w:type="continuationSeparator" w:id="0">
    <w:p w:rsidR="00922F18" w:rsidRDefault="00922F18" w:rsidP="006A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F18" w:rsidRDefault="00B34200">
    <w:pPr>
      <w:pStyle w:val="ab"/>
      <w:jc w:val="center"/>
    </w:pPr>
    <w:fldSimple w:instr=" PAGE   \* MERGEFORMAT ">
      <w:r w:rsidR="00462603">
        <w:rPr>
          <w:noProof/>
        </w:rPr>
        <w:t>18</w:t>
      </w:r>
    </w:fldSimple>
  </w:p>
  <w:p w:rsidR="00462603" w:rsidRDefault="0046260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E0B9A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5">
    <w:nsid w:val="060D4A64"/>
    <w:multiLevelType w:val="hybridMultilevel"/>
    <w:tmpl w:val="712C0DB0"/>
    <w:lvl w:ilvl="0" w:tplc="25E0736C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9466CD"/>
    <w:multiLevelType w:val="multilevel"/>
    <w:tmpl w:val="3942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5135C3"/>
    <w:multiLevelType w:val="hybridMultilevel"/>
    <w:tmpl w:val="D1FEA7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E50AC0"/>
    <w:multiLevelType w:val="hybridMultilevel"/>
    <w:tmpl w:val="75245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892534"/>
    <w:multiLevelType w:val="multilevel"/>
    <w:tmpl w:val="E230C6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021A3C"/>
    <w:multiLevelType w:val="hybridMultilevel"/>
    <w:tmpl w:val="39FC001E"/>
    <w:lvl w:ilvl="0" w:tplc="FBBAD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90A6A"/>
    <w:multiLevelType w:val="hybridMultilevel"/>
    <w:tmpl w:val="77321C6E"/>
    <w:lvl w:ilvl="0" w:tplc="25E0736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11"/>
  </w:num>
  <w:num w:numId="9">
    <w:abstractNumId w:val="5"/>
  </w:num>
  <w:num w:numId="10">
    <w:abstractNumId w:val="8"/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CCC"/>
    <w:rsid w:val="00000706"/>
    <w:rsid w:val="00000731"/>
    <w:rsid w:val="00000D0A"/>
    <w:rsid w:val="00010311"/>
    <w:rsid w:val="00010C3F"/>
    <w:rsid w:val="0001321B"/>
    <w:rsid w:val="00014071"/>
    <w:rsid w:val="00014A04"/>
    <w:rsid w:val="00014F6F"/>
    <w:rsid w:val="000167FA"/>
    <w:rsid w:val="00016C04"/>
    <w:rsid w:val="00020589"/>
    <w:rsid w:val="00023055"/>
    <w:rsid w:val="00030141"/>
    <w:rsid w:val="00032E66"/>
    <w:rsid w:val="00033143"/>
    <w:rsid w:val="000333BE"/>
    <w:rsid w:val="00033497"/>
    <w:rsid w:val="00034F15"/>
    <w:rsid w:val="00035910"/>
    <w:rsid w:val="0003614B"/>
    <w:rsid w:val="000362FD"/>
    <w:rsid w:val="00036FE9"/>
    <w:rsid w:val="00040D71"/>
    <w:rsid w:val="000410A0"/>
    <w:rsid w:val="000419B3"/>
    <w:rsid w:val="00045B43"/>
    <w:rsid w:val="00050F25"/>
    <w:rsid w:val="00054BAC"/>
    <w:rsid w:val="00056511"/>
    <w:rsid w:val="000578A8"/>
    <w:rsid w:val="00057D39"/>
    <w:rsid w:val="000600C4"/>
    <w:rsid w:val="00065A6A"/>
    <w:rsid w:val="0006782A"/>
    <w:rsid w:val="00070B7B"/>
    <w:rsid w:val="00074382"/>
    <w:rsid w:val="00074C58"/>
    <w:rsid w:val="00076B52"/>
    <w:rsid w:val="00080481"/>
    <w:rsid w:val="000816D2"/>
    <w:rsid w:val="00081727"/>
    <w:rsid w:val="00084365"/>
    <w:rsid w:val="0008482D"/>
    <w:rsid w:val="000859C5"/>
    <w:rsid w:val="00087919"/>
    <w:rsid w:val="000947CA"/>
    <w:rsid w:val="000958AF"/>
    <w:rsid w:val="000A0CD3"/>
    <w:rsid w:val="000A1F9F"/>
    <w:rsid w:val="000A2D0C"/>
    <w:rsid w:val="000A40EA"/>
    <w:rsid w:val="000A58F0"/>
    <w:rsid w:val="000A61B4"/>
    <w:rsid w:val="000B2870"/>
    <w:rsid w:val="000B6A0B"/>
    <w:rsid w:val="000C4212"/>
    <w:rsid w:val="000C6BBA"/>
    <w:rsid w:val="000C71B4"/>
    <w:rsid w:val="000D3F3D"/>
    <w:rsid w:val="000D42FC"/>
    <w:rsid w:val="000D464B"/>
    <w:rsid w:val="000D4D5C"/>
    <w:rsid w:val="000D7C91"/>
    <w:rsid w:val="000E7440"/>
    <w:rsid w:val="000F4009"/>
    <w:rsid w:val="000F6D2C"/>
    <w:rsid w:val="000F750F"/>
    <w:rsid w:val="000F7FD4"/>
    <w:rsid w:val="00101DD9"/>
    <w:rsid w:val="0010607D"/>
    <w:rsid w:val="00106C1E"/>
    <w:rsid w:val="00112CAB"/>
    <w:rsid w:val="00115B9C"/>
    <w:rsid w:val="00116FB6"/>
    <w:rsid w:val="001223D0"/>
    <w:rsid w:val="001236DA"/>
    <w:rsid w:val="0012611C"/>
    <w:rsid w:val="00132ACF"/>
    <w:rsid w:val="0014020B"/>
    <w:rsid w:val="00141853"/>
    <w:rsid w:val="00145CB2"/>
    <w:rsid w:val="00147EE7"/>
    <w:rsid w:val="001560F0"/>
    <w:rsid w:val="001615AB"/>
    <w:rsid w:val="001634A9"/>
    <w:rsid w:val="001640F5"/>
    <w:rsid w:val="00164A8A"/>
    <w:rsid w:val="00165567"/>
    <w:rsid w:val="001657ED"/>
    <w:rsid w:val="00166F3E"/>
    <w:rsid w:val="00172C5A"/>
    <w:rsid w:val="00177568"/>
    <w:rsid w:val="00180FCD"/>
    <w:rsid w:val="00181D4B"/>
    <w:rsid w:val="0018367D"/>
    <w:rsid w:val="001854E1"/>
    <w:rsid w:val="00190DE2"/>
    <w:rsid w:val="00190FF7"/>
    <w:rsid w:val="00191521"/>
    <w:rsid w:val="001A0FC9"/>
    <w:rsid w:val="001A22AE"/>
    <w:rsid w:val="001A71CC"/>
    <w:rsid w:val="001B59A3"/>
    <w:rsid w:val="001B6E44"/>
    <w:rsid w:val="001B6F61"/>
    <w:rsid w:val="001B7108"/>
    <w:rsid w:val="001B723B"/>
    <w:rsid w:val="001C4E9F"/>
    <w:rsid w:val="001D4299"/>
    <w:rsid w:val="001E0E07"/>
    <w:rsid w:val="001E40D0"/>
    <w:rsid w:val="001F0DED"/>
    <w:rsid w:val="001F6782"/>
    <w:rsid w:val="0021011E"/>
    <w:rsid w:val="00212024"/>
    <w:rsid w:val="0021447B"/>
    <w:rsid w:val="00222B01"/>
    <w:rsid w:val="00223087"/>
    <w:rsid w:val="0022478E"/>
    <w:rsid w:val="00225096"/>
    <w:rsid w:val="002251FC"/>
    <w:rsid w:val="00226CBF"/>
    <w:rsid w:val="00234A20"/>
    <w:rsid w:val="0023672B"/>
    <w:rsid w:val="002376F6"/>
    <w:rsid w:val="00237810"/>
    <w:rsid w:val="00240A72"/>
    <w:rsid w:val="00241D05"/>
    <w:rsid w:val="0024525F"/>
    <w:rsid w:val="00245C62"/>
    <w:rsid w:val="00246187"/>
    <w:rsid w:val="0024728E"/>
    <w:rsid w:val="00251837"/>
    <w:rsid w:val="002520A8"/>
    <w:rsid w:val="00252845"/>
    <w:rsid w:val="00252EA7"/>
    <w:rsid w:val="00253A3F"/>
    <w:rsid w:val="00254406"/>
    <w:rsid w:val="00261348"/>
    <w:rsid w:val="0026348F"/>
    <w:rsid w:val="002636A8"/>
    <w:rsid w:val="00271C9B"/>
    <w:rsid w:val="00273F98"/>
    <w:rsid w:val="00276E9D"/>
    <w:rsid w:val="00285A48"/>
    <w:rsid w:val="00285FE4"/>
    <w:rsid w:val="00286325"/>
    <w:rsid w:val="002868BA"/>
    <w:rsid w:val="00290483"/>
    <w:rsid w:val="00291038"/>
    <w:rsid w:val="0029415A"/>
    <w:rsid w:val="00294B83"/>
    <w:rsid w:val="00295A22"/>
    <w:rsid w:val="002969CA"/>
    <w:rsid w:val="002A1449"/>
    <w:rsid w:val="002A2818"/>
    <w:rsid w:val="002A28F7"/>
    <w:rsid w:val="002A41DA"/>
    <w:rsid w:val="002B07F2"/>
    <w:rsid w:val="002B0F1F"/>
    <w:rsid w:val="002B71DF"/>
    <w:rsid w:val="002C1C8C"/>
    <w:rsid w:val="002C1F51"/>
    <w:rsid w:val="002C4851"/>
    <w:rsid w:val="002C52D6"/>
    <w:rsid w:val="002C6321"/>
    <w:rsid w:val="002D5FE4"/>
    <w:rsid w:val="002E4D89"/>
    <w:rsid w:val="002F1921"/>
    <w:rsid w:val="002F44E3"/>
    <w:rsid w:val="002F4C09"/>
    <w:rsid w:val="003016D7"/>
    <w:rsid w:val="0030548E"/>
    <w:rsid w:val="00305CBB"/>
    <w:rsid w:val="0030726C"/>
    <w:rsid w:val="00307C91"/>
    <w:rsid w:val="0031233D"/>
    <w:rsid w:val="0031243F"/>
    <w:rsid w:val="003129EE"/>
    <w:rsid w:val="00313A2A"/>
    <w:rsid w:val="00315A34"/>
    <w:rsid w:val="00315B0C"/>
    <w:rsid w:val="00320D4C"/>
    <w:rsid w:val="00321E65"/>
    <w:rsid w:val="003269B2"/>
    <w:rsid w:val="00333C33"/>
    <w:rsid w:val="00336F0B"/>
    <w:rsid w:val="003375AD"/>
    <w:rsid w:val="00337B99"/>
    <w:rsid w:val="00337EFA"/>
    <w:rsid w:val="00343217"/>
    <w:rsid w:val="00347B6E"/>
    <w:rsid w:val="00351831"/>
    <w:rsid w:val="00351F7D"/>
    <w:rsid w:val="00354DCD"/>
    <w:rsid w:val="0037720F"/>
    <w:rsid w:val="00381D2B"/>
    <w:rsid w:val="00383C2D"/>
    <w:rsid w:val="00385C0B"/>
    <w:rsid w:val="00387FA5"/>
    <w:rsid w:val="003923BE"/>
    <w:rsid w:val="003928DA"/>
    <w:rsid w:val="00392FC5"/>
    <w:rsid w:val="003935A6"/>
    <w:rsid w:val="003A07EE"/>
    <w:rsid w:val="003A0DA7"/>
    <w:rsid w:val="003A1850"/>
    <w:rsid w:val="003A3C59"/>
    <w:rsid w:val="003A6894"/>
    <w:rsid w:val="003A6978"/>
    <w:rsid w:val="003A725F"/>
    <w:rsid w:val="003B0655"/>
    <w:rsid w:val="003B26A8"/>
    <w:rsid w:val="003B2D82"/>
    <w:rsid w:val="003B43D3"/>
    <w:rsid w:val="003B5792"/>
    <w:rsid w:val="003B6B61"/>
    <w:rsid w:val="003C088D"/>
    <w:rsid w:val="003C0BBE"/>
    <w:rsid w:val="003C0F13"/>
    <w:rsid w:val="003C2D1F"/>
    <w:rsid w:val="003C4FB1"/>
    <w:rsid w:val="003C7CBE"/>
    <w:rsid w:val="003D0E44"/>
    <w:rsid w:val="003D3198"/>
    <w:rsid w:val="003D516D"/>
    <w:rsid w:val="003D7120"/>
    <w:rsid w:val="003D7603"/>
    <w:rsid w:val="003E0469"/>
    <w:rsid w:val="003E086B"/>
    <w:rsid w:val="003E1BBB"/>
    <w:rsid w:val="003E1E4B"/>
    <w:rsid w:val="003E507E"/>
    <w:rsid w:val="003E6FF9"/>
    <w:rsid w:val="003F17E7"/>
    <w:rsid w:val="003F2086"/>
    <w:rsid w:val="003F3209"/>
    <w:rsid w:val="003F5855"/>
    <w:rsid w:val="00400763"/>
    <w:rsid w:val="004007CE"/>
    <w:rsid w:val="004069B4"/>
    <w:rsid w:val="004137F0"/>
    <w:rsid w:val="00415835"/>
    <w:rsid w:val="004158F0"/>
    <w:rsid w:val="00415947"/>
    <w:rsid w:val="00421297"/>
    <w:rsid w:val="00432232"/>
    <w:rsid w:val="0043454E"/>
    <w:rsid w:val="00436911"/>
    <w:rsid w:val="004418F8"/>
    <w:rsid w:val="00442DC6"/>
    <w:rsid w:val="00444943"/>
    <w:rsid w:val="00444E3C"/>
    <w:rsid w:val="00446E24"/>
    <w:rsid w:val="00451A21"/>
    <w:rsid w:val="00461D48"/>
    <w:rsid w:val="00462603"/>
    <w:rsid w:val="00470F7E"/>
    <w:rsid w:val="00473F0A"/>
    <w:rsid w:val="00475D1C"/>
    <w:rsid w:val="004802DC"/>
    <w:rsid w:val="00480608"/>
    <w:rsid w:val="00480886"/>
    <w:rsid w:val="0048791D"/>
    <w:rsid w:val="004934A5"/>
    <w:rsid w:val="00493BF2"/>
    <w:rsid w:val="00495B23"/>
    <w:rsid w:val="004A44CC"/>
    <w:rsid w:val="004A7097"/>
    <w:rsid w:val="004A71C5"/>
    <w:rsid w:val="004B0DFC"/>
    <w:rsid w:val="004B3000"/>
    <w:rsid w:val="004B5BCA"/>
    <w:rsid w:val="004D1A99"/>
    <w:rsid w:val="004D267B"/>
    <w:rsid w:val="004D2D61"/>
    <w:rsid w:val="004D3B1B"/>
    <w:rsid w:val="004D6020"/>
    <w:rsid w:val="004E2233"/>
    <w:rsid w:val="004E50F3"/>
    <w:rsid w:val="004E6999"/>
    <w:rsid w:val="004E7891"/>
    <w:rsid w:val="004F6493"/>
    <w:rsid w:val="00501038"/>
    <w:rsid w:val="00503932"/>
    <w:rsid w:val="00506A8D"/>
    <w:rsid w:val="005103C5"/>
    <w:rsid w:val="0051162C"/>
    <w:rsid w:val="0051294B"/>
    <w:rsid w:val="00514F79"/>
    <w:rsid w:val="00516669"/>
    <w:rsid w:val="0051667B"/>
    <w:rsid w:val="005246A5"/>
    <w:rsid w:val="0053388C"/>
    <w:rsid w:val="00533A5C"/>
    <w:rsid w:val="00533AA4"/>
    <w:rsid w:val="00533B55"/>
    <w:rsid w:val="00535C97"/>
    <w:rsid w:val="005365B8"/>
    <w:rsid w:val="0053678F"/>
    <w:rsid w:val="005401B9"/>
    <w:rsid w:val="005407A5"/>
    <w:rsid w:val="00540F2D"/>
    <w:rsid w:val="005411E7"/>
    <w:rsid w:val="005442CE"/>
    <w:rsid w:val="005443F7"/>
    <w:rsid w:val="0054497E"/>
    <w:rsid w:val="00544D4F"/>
    <w:rsid w:val="00546B46"/>
    <w:rsid w:val="00551475"/>
    <w:rsid w:val="0055705E"/>
    <w:rsid w:val="00560422"/>
    <w:rsid w:val="005628B5"/>
    <w:rsid w:val="00562AE7"/>
    <w:rsid w:val="005654CE"/>
    <w:rsid w:val="00567884"/>
    <w:rsid w:val="005705FF"/>
    <w:rsid w:val="005732A6"/>
    <w:rsid w:val="00577CE3"/>
    <w:rsid w:val="00582BBA"/>
    <w:rsid w:val="00585212"/>
    <w:rsid w:val="00593040"/>
    <w:rsid w:val="0059357B"/>
    <w:rsid w:val="0059413E"/>
    <w:rsid w:val="005A052E"/>
    <w:rsid w:val="005A0F67"/>
    <w:rsid w:val="005A2C56"/>
    <w:rsid w:val="005A3158"/>
    <w:rsid w:val="005A6B4F"/>
    <w:rsid w:val="005A76C9"/>
    <w:rsid w:val="005B04D5"/>
    <w:rsid w:val="005B0C8A"/>
    <w:rsid w:val="005B1807"/>
    <w:rsid w:val="005C3A5C"/>
    <w:rsid w:val="005C3DCC"/>
    <w:rsid w:val="005C574C"/>
    <w:rsid w:val="005D0E8F"/>
    <w:rsid w:val="005D120E"/>
    <w:rsid w:val="005D12E1"/>
    <w:rsid w:val="005D1F98"/>
    <w:rsid w:val="005D226F"/>
    <w:rsid w:val="005D4697"/>
    <w:rsid w:val="005D5503"/>
    <w:rsid w:val="005E12A9"/>
    <w:rsid w:val="005E34A0"/>
    <w:rsid w:val="005E62A7"/>
    <w:rsid w:val="005E6F22"/>
    <w:rsid w:val="005E72A3"/>
    <w:rsid w:val="005F053C"/>
    <w:rsid w:val="005F19ED"/>
    <w:rsid w:val="005F25EA"/>
    <w:rsid w:val="005F2FBC"/>
    <w:rsid w:val="005F4740"/>
    <w:rsid w:val="005F48B6"/>
    <w:rsid w:val="005F7A3F"/>
    <w:rsid w:val="00601FD1"/>
    <w:rsid w:val="00603A53"/>
    <w:rsid w:val="00604385"/>
    <w:rsid w:val="00607417"/>
    <w:rsid w:val="00607621"/>
    <w:rsid w:val="0062084E"/>
    <w:rsid w:val="0062585C"/>
    <w:rsid w:val="00626B20"/>
    <w:rsid w:val="00627312"/>
    <w:rsid w:val="00630BE5"/>
    <w:rsid w:val="00631054"/>
    <w:rsid w:val="00632B5F"/>
    <w:rsid w:val="006341DE"/>
    <w:rsid w:val="00634FC4"/>
    <w:rsid w:val="00635EA5"/>
    <w:rsid w:val="006366C5"/>
    <w:rsid w:val="00640BB3"/>
    <w:rsid w:val="00641DCF"/>
    <w:rsid w:val="00642C11"/>
    <w:rsid w:val="006449DF"/>
    <w:rsid w:val="00651FDF"/>
    <w:rsid w:val="006524E3"/>
    <w:rsid w:val="00654927"/>
    <w:rsid w:val="0066186E"/>
    <w:rsid w:val="0066193F"/>
    <w:rsid w:val="006676B7"/>
    <w:rsid w:val="0067031C"/>
    <w:rsid w:val="00672C13"/>
    <w:rsid w:val="00675DBC"/>
    <w:rsid w:val="00676613"/>
    <w:rsid w:val="0068063A"/>
    <w:rsid w:val="006814B1"/>
    <w:rsid w:val="006829EB"/>
    <w:rsid w:val="00690EAC"/>
    <w:rsid w:val="00692975"/>
    <w:rsid w:val="00696F98"/>
    <w:rsid w:val="00697473"/>
    <w:rsid w:val="006974A3"/>
    <w:rsid w:val="006A1E2F"/>
    <w:rsid w:val="006A2B6C"/>
    <w:rsid w:val="006A4659"/>
    <w:rsid w:val="006A4A7A"/>
    <w:rsid w:val="006A5DED"/>
    <w:rsid w:val="006B12A3"/>
    <w:rsid w:val="006B1949"/>
    <w:rsid w:val="006C1DD9"/>
    <w:rsid w:val="006C2640"/>
    <w:rsid w:val="006C2C16"/>
    <w:rsid w:val="006C417B"/>
    <w:rsid w:val="006C5B03"/>
    <w:rsid w:val="006C61A9"/>
    <w:rsid w:val="006D03E3"/>
    <w:rsid w:val="006D51AC"/>
    <w:rsid w:val="006D60DB"/>
    <w:rsid w:val="006E0092"/>
    <w:rsid w:val="006F1450"/>
    <w:rsid w:val="006F35BD"/>
    <w:rsid w:val="006F60B3"/>
    <w:rsid w:val="00705CD7"/>
    <w:rsid w:val="00712688"/>
    <w:rsid w:val="00723E27"/>
    <w:rsid w:val="0072697B"/>
    <w:rsid w:val="0073046F"/>
    <w:rsid w:val="00731516"/>
    <w:rsid w:val="007337C5"/>
    <w:rsid w:val="00736EAF"/>
    <w:rsid w:val="00737025"/>
    <w:rsid w:val="00740BF6"/>
    <w:rsid w:val="0074314B"/>
    <w:rsid w:val="00743556"/>
    <w:rsid w:val="00744A4C"/>
    <w:rsid w:val="00744C9F"/>
    <w:rsid w:val="00750F84"/>
    <w:rsid w:val="007515B7"/>
    <w:rsid w:val="007521BA"/>
    <w:rsid w:val="007530CB"/>
    <w:rsid w:val="0075606D"/>
    <w:rsid w:val="00756937"/>
    <w:rsid w:val="00756FB0"/>
    <w:rsid w:val="00762CFA"/>
    <w:rsid w:val="00764992"/>
    <w:rsid w:val="00764AE4"/>
    <w:rsid w:val="00767931"/>
    <w:rsid w:val="00772870"/>
    <w:rsid w:val="007750DD"/>
    <w:rsid w:val="0077736D"/>
    <w:rsid w:val="00780E68"/>
    <w:rsid w:val="0078249B"/>
    <w:rsid w:val="00783278"/>
    <w:rsid w:val="00785774"/>
    <w:rsid w:val="00787E67"/>
    <w:rsid w:val="00793E3C"/>
    <w:rsid w:val="00794A68"/>
    <w:rsid w:val="007A103A"/>
    <w:rsid w:val="007A1901"/>
    <w:rsid w:val="007A246D"/>
    <w:rsid w:val="007A2DE6"/>
    <w:rsid w:val="007A6F0C"/>
    <w:rsid w:val="007B09D6"/>
    <w:rsid w:val="007B1D4E"/>
    <w:rsid w:val="007B5FDE"/>
    <w:rsid w:val="007B645A"/>
    <w:rsid w:val="007B6BE5"/>
    <w:rsid w:val="007C0608"/>
    <w:rsid w:val="007C2212"/>
    <w:rsid w:val="007C34DE"/>
    <w:rsid w:val="007C54E2"/>
    <w:rsid w:val="007D0DFE"/>
    <w:rsid w:val="007E3F05"/>
    <w:rsid w:val="007F061B"/>
    <w:rsid w:val="007F21F1"/>
    <w:rsid w:val="007F36E8"/>
    <w:rsid w:val="00801AC5"/>
    <w:rsid w:val="0080770F"/>
    <w:rsid w:val="00807B31"/>
    <w:rsid w:val="00807D3F"/>
    <w:rsid w:val="00814216"/>
    <w:rsid w:val="00831256"/>
    <w:rsid w:val="00832BFD"/>
    <w:rsid w:val="008333F5"/>
    <w:rsid w:val="00837244"/>
    <w:rsid w:val="00837DD4"/>
    <w:rsid w:val="0084030B"/>
    <w:rsid w:val="00841776"/>
    <w:rsid w:val="00844F74"/>
    <w:rsid w:val="00846672"/>
    <w:rsid w:val="0085114C"/>
    <w:rsid w:val="0085118A"/>
    <w:rsid w:val="00852A87"/>
    <w:rsid w:val="008530B5"/>
    <w:rsid w:val="00853BB8"/>
    <w:rsid w:val="00857217"/>
    <w:rsid w:val="00861140"/>
    <w:rsid w:val="008619F6"/>
    <w:rsid w:val="00862390"/>
    <w:rsid w:val="00862692"/>
    <w:rsid w:val="00862AC8"/>
    <w:rsid w:val="00864BE7"/>
    <w:rsid w:val="008679C4"/>
    <w:rsid w:val="008722CE"/>
    <w:rsid w:val="00873656"/>
    <w:rsid w:val="008801CA"/>
    <w:rsid w:val="00880930"/>
    <w:rsid w:val="00880F51"/>
    <w:rsid w:val="00881183"/>
    <w:rsid w:val="00881423"/>
    <w:rsid w:val="008815CC"/>
    <w:rsid w:val="00884DDE"/>
    <w:rsid w:val="00891823"/>
    <w:rsid w:val="00892CF6"/>
    <w:rsid w:val="008A2E77"/>
    <w:rsid w:val="008A7B75"/>
    <w:rsid w:val="008B0895"/>
    <w:rsid w:val="008B1891"/>
    <w:rsid w:val="008B21A3"/>
    <w:rsid w:val="008B2315"/>
    <w:rsid w:val="008B3D0B"/>
    <w:rsid w:val="008B7788"/>
    <w:rsid w:val="008C0990"/>
    <w:rsid w:val="008C6376"/>
    <w:rsid w:val="008D0A73"/>
    <w:rsid w:val="008D117D"/>
    <w:rsid w:val="008D22E5"/>
    <w:rsid w:val="008E0250"/>
    <w:rsid w:val="008E1DC4"/>
    <w:rsid w:val="008E39CF"/>
    <w:rsid w:val="008E4172"/>
    <w:rsid w:val="008E4180"/>
    <w:rsid w:val="008E7F7A"/>
    <w:rsid w:val="008F0502"/>
    <w:rsid w:val="008F5832"/>
    <w:rsid w:val="00900AD6"/>
    <w:rsid w:val="00903662"/>
    <w:rsid w:val="009038C1"/>
    <w:rsid w:val="00903988"/>
    <w:rsid w:val="00906AC9"/>
    <w:rsid w:val="00907815"/>
    <w:rsid w:val="009104E6"/>
    <w:rsid w:val="00910A9F"/>
    <w:rsid w:val="009154B8"/>
    <w:rsid w:val="00915FFC"/>
    <w:rsid w:val="00916EB2"/>
    <w:rsid w:val="00917F07"/>
    <w:rsid w:val="00920489"/>
    <w:rsid w:val="009215F5"/>
    <w:rsid w:val="00922F18"/>
    <w:rsid w:val="00923514"/>
    <w:rsid w:val="009235A6"/>
    <w:rsid w:val="0092503B"/>
    <w:rsid w:val="0092640E"/>
    <w:rsid w:val="00926583"/>
    <w:rsid w:val="00926BFD"/>
    <w:rsid w:val="0093063D"/>
    <w:rsid w:val="00932050"/>
    <w:rsid w:val="009325A3"/>
    <w:rsid w:val="009334E3"/>
    <w:rsid w:val="0093424D"/>
    <w:rsid w:val="00941D25"/>
    <w:rsid w:val="009447B8"/>
    <w:rsid w:val="00953150"/>
    <w:rsid w:val="00953C91"/>
    <w:rsid w:val="00957642"/>
    <w:rsid w:val="009614A2"/>
    <w:rsid w:val="00963737"/>
    <w:rsid w:val="00966BC2"/>
    <w:rsid w:val="00966C83"/>
    <w:rsid w:val="009670A3"/>
    <w:rsid w:val="00970066"/>
    <w:rsid w:val="0097242C"/>
    <w:rsid w:val="009726C3"/>
    <w:rsid w:val="00986F93"/>
    <w:rsid w:val="0098717C"/>
    <w:rsid w:val="00987F07"/>
    <w:rsid w:val="009926D3"/>
    <w:rsid w:val="00994E70"/>
    <w:rsid w:val="009955B3"/>
    <w:rsid w:val="009960A3"/>
    <w:rsid w:val="00996C41"/>
    <w:rsid w:val="009A4F3B"/>
    <w:rsid w:val="009A6958"/>
    <w:rsid w:val="009B1165"/>
    <w:rsid w:val="009B16F6"/>
    <w:rsid w:val="009C43E8"/>
    <w:rsid w:val="009D515F"/>
    <w:rsid w:val="009D5C0B"/>
    <w:rsid w:val="009D6364"/>
    <w:rsid w:val="009E0C0F"/>
    <w:rsid w:val="009E2E5D"/>
    <w:rsid w:val="009E5751"/>
    <w:rsid w:val="009E6774"/>
    <w:rsid w:val="009F0003"/>
    <w:rsid w:val="009F3FFD"/>
    <w:rsid w:val="00A00CE8"/>
    <w:rsid w:val="00A02466"/>
    <w:rsid w:val="00A02846"/>
    <w:rsid w:val="00A048CE"/>
    <w:rsid w:val="00A11A7D"/>
    <w:rsid w:val="00A13A79"/>
    <w:rsid w:val="00A21D32"/>
    <w:rsid w:val="00A22C48"/>
    <w:rsid w:val="00A230A0"/>
    <w:rsid w:val="00A25775"/>
    <w:rsid w:val="00A27758"/>
    <w:rsid w:val="00A32FB8"/>
    <w:rsid w:val="00A339A1"/>
    <w:rsid w:val="00A33F07"/>
    <w:rsid w:val="00A34A08"/>
    <w:rsid w:val="00A35A66"/>
    <w:rsid w:val="00A36ACF"/>
    <w:rsid w:val="00A42CE3"/>
    <w:rsid w:val="00A44A1E"/>
    <w:rsid w:val="00A458E2"/>
    <w:rsid w:val="00A45BEC"/>
    <w:rsid w:val="00A45CF9"/>
    <w:rsid w:val="00A503C4"/>
    <w:rsid w:val="00A50BA1"/>
    <w:rsid w:val="00A51234"/>
    <w:rsid w:val="00A52ECA"/>
    <w:rsid w:val="00A54AFF"/>
    <w:rsid w:val="00A56915"/>
    <w:rsid w:val="00A62F48"/>
    <w:rsid w:val="00A704CC"/>
    <w:rsid w:val="00A743F2"/>
    <w:rsid w:val="00A75737"/>
    <w:rsid w:val="00A77011"/>
    <w:rsid w:val="00A773D5"/>
    <w:rsid w:val="00A81B2A"/>
    <w:rsid w:val="00A82837"/>
    <w:rsid w:val="00A8386A"/>
    <w:rsid w:val="00A84226"/>
    <w:rsid w:val="00A84723"/>
    <w:rsid w:val="00A847E3"/>
    <w:rsid w:val="00A85C70"/>
    <w:rsid w:val="00A85F71"/>
    <w:rsid w:val="00A86B29"/>
    <w:rsid w:val="00A90800"/>
    <w:rsid w:val="00A90A09"/>
    <w:rsid w:val="00A921F9"/>
    <w:rsid w:val="00A95307"/>
    <w:rsid w:val="00A96555"/>
    <w:rsid w:val="00AA687A"/>
    <w:rsid w:val="00AB25C5"/>
    <w:rsid w:val="00AB3BC9"/>
    <w:rsid w:val="00AB7EFF"/>
    <w:rsid w:val="00AC06D9"/>
    <w:rsid w:val="00AC0A76"/>
    <w:rsid w:val="00AC40C5"/>
    <w:rsid w:val="00AD0CFB"/>
    <w:rsid w:val="00AE5C17"/>
    <w:rsid w:val="00AF0A66"/>
    <w:rsid w:val="00AF6D41"/>
    <w:rsid w:val="00B05919"/>
    <w:rsid w:val="00B06765"/>
    <w:rsid w:val="00B07424"/>
    <w:rsid w:val="00B07681"/>
    <w:rsid w:val="00B1101F"/>
    <w:rsid w:val="00B11F29"/>
    <w:rsid w:val="00B1386F"/>
    <w:rsid w:val="00B144C2"/>
    <w:rsid w:val="00B16DD1"/>
    <w:rsid w:val="00B17409"/>
    <w:rsid w:val="00B2013C"/>
    <w:rsid w:val="00B2167F"/>
    <w:rsid w:val="00B22BD3"/>
    <w:rsid w:val="00B23096"/>
    <w:rsid w:val="00B23509"/>
    <w:rsid w:val="00B235BE"/>
    <w:rsid w:val="00B25F2B"/>
    <w:rsid w:val="00B3084C"/>
    <w:rsid w:val="00B314D3"/>
    <w:rsid w:val="00B31A94"/>
    <w:rsid w:val="00B332B6"/>
    <w:rsid w:val="00B34200"/>
    <w:rsid w:val="00B350D9"/>
    <w:rsid w:val="00B35559"/>
    <w:rsid w:val="00B36E07"/>
    <w:rsid w:val="00B40085"/>
    <w:rsid w:val="00B42F13"/>
    <w:rsid w:val="00B44CC6"/>
    <w:rsid w:val="00B46F22"/>
    <w:rsid w:val="00B47B99"/>
    <w:rsid w:val="00B52692"/>
    <w:rsid w:val="00B529C9"/>
    <w:rsid w:val="00B52D73"/>
    <w:rsid w:val="00B5489C"/>
    <w:rsid w:val="00B56959"/>
    <w:rsid w:val="00B57F88"/>
    <w:rsid w:val="00B60381"/>
    <w:rsid w:val="00B62443"/>
    <w:rsid w:val="00B6495F"/>
    <w:rsid w:val="00B6582A"/>
    <w:rsid w:val="00B71173"/>
    <w:rsid w:val="00B71559"/>
    <w:rsid w:val="00B71953"/>
    <w:rsid w:val="00B7266A"/>
    <w:rsid w:val="00B76931"/>
    <w:rsid w:val="00B777DE"/>
    <w:rsid w:val="00B8166D"/>
    <w:rsid w:val="00B82165"/>
    <w:rsid w:val="00B84232"/>
    <w:rsid w:val="00B92250"/>
    <w:rsid w:val="00B92B60"/>
    <w:rsid w:val="00B936C5"/>
    <w:rsid w:val="00B976A8"/>
    <w:rsid w:val="00BA02E3"/>
    <w:rsid w:val="00BA28BA"/>
    <w:rsid w:val="00BA3EAC"/>
    <w:rsid w:val="00BA47E8"/>
    <w:rsid w:val="00BA7EB1"/>
    <w:rsid w:val="00BB316A"/>
    <w:rsid w:val="00BB787D"/>
    <w:rsid w:val="00BC11D7"/>
    <w:rsid w:val="00BC559F"/>
    <w:rsid w:val="00BC6731"/>
    <w:rsid w:val="00BD03C5"/>
    <w:rsid w:val="00BD0543"/>
    <w:rsid w:val="00BD16B2"/>
    <w:rsid w:val="00BD3046"/>
    <w:rsid w:val="00BD6607"/>
    <w:rsid w:val="00BE12CF"/>
    <w:rsid w:val="00BE1FAF"/>
    <w:rsid w:val="00BE33E5"/>
    <w:rsid w:val="00BE3743"/>
    <w:rsid w:val="00BE4220"/>
    <w:rsid w:val="00BE65AE"/>
    <w:rsid w:val="00BF255B"/>
    <w:rsid w:val="00BF38CA"/>
    <w:rsid w:val="00BF4C89"/>
    <w:rsid w:val="00BF7275"/>
    <w:rsid w:val="00C0086A"/>
    <w:rsid w:val="00C02477"/>
    <w:rsid w:val="00C03143"/>
    <w:rsid w:val="00C038C0"/>
    <w:rsid w:val="00C04058"/>
    <w:rsid w:val="00C04D13"/>
    <w:rsid w:val="00C068BE"/>
    <w:rsid w:val="00C10AAD"/>
    <w:rsid w:val="00C11F15"/>
    <w:rsid w:val="00C12EC7"/>
    <w:rsid w:val="00C1327D"/>
    <w:rsid w:val="00C14043"/>
    <w:rsid w:val="00C1784C"/>
    <w:rsid w:val="00C17E8F"/>
    <w:rsid w:val="00C20A17"/>
    <w:rsid w:val="00C20DF0"/>
    <w:rsid w:val="00C2166A"/>
    <w:rsid w:val="00C21E40"/>
    <w:rsid w:val="00C24EE7"/>
    <w:rsid w:val="00C27671"/>
    <w:rsid w:val="00C31315"/>
    <w:rsid w:val="00C342FA"/>
    <w:rsid w:val="00C35AA9"/>
    <w:rsid w:val="00C421F2"/>
    <w:rsid w:val="00C42CCA"/>
    <w:rsid w:val="00C4764F"/>
    <w:rsid w:val="00C507C7"/>
    <w:rsid w:val="00C555FA"/>
    <w:rsid w:val="00C56CE4"/>
    <w:rsid w:val="00C60A16"/>
    <w:rsid w:val="00C612D1"/>
    <w:rsid w:val="00C61F1E"/>
    <w:rsid w:val="00C63283"/>
    <w:rsid w:val="00C641C0"/>
    <w:rsid w:val="00C64FF7"/>
    <w:rsid w:val="00C66C0E"/>
    <w:rsid w:val="00C70534"/>
    <w:rsid w:val="00C70742"/>
    <w:rsid w:val="00C70932"/>
    <w:rsid w:val="00C709F7"/>
    <w:rsid w:val="00C71B31"/>
    <w:rsid w:val="00C72BD9"/>
    <w:rsid w:val="00C80F5E"/>
    <w:rsid w:val="00C81E86"/>
    <w:rsid w:val="00C82277"/>
    <w:rsid w:val="00C84655"/>
    <w:rsid w:val="00C8576C"/>
    <w:rsid w:val="00C87BE0"/>
    <w:rsid w:val="00C933FA"/>
    <w:rsid w:val="00CA082A"/>
    <w:rsid w:val="00CA0ABC"/>
    <w:rsid w:val="00CA12FB"/>
    <w:rsid w:val="00CA2752"/>
    <w:rsid w:val="00CA2EC9"/>
    <w:rsid w:val="00CA5563"/>
    <w:rsid w:val="00CB453B"/>
    <w:rsid w:val="00CB4E15"/>
    <w:rsid w:val="00CC3B31"/>
    <w:rsid w:val="00CC7C11"/>
    <w:rsid w:val="00CD0D41"/>
    <w:rsid w:val="00CD6796"/>
    <w:rsid w:val="00CD6D5C"/>
    <w:rsid w:val="00CD744E"/>
    <w:rsid w:val="00CE07F3"/>
    <w:rsid w:val="00CE1AA6"/>
    <w:rsid w:val="00CE511E"/>
    <w:rsid w:val="00CE5243"/>
    <w:rsid w:val="00CE6300"/>
    <w:rsid w:val="00CE69CF"/>
    <w:rsid w:val="00CF0E73"/>
    <w:rsid w:val="00CF3BB3"/>
    <w:rsid w:val="00CF41E6"/>
    <w:rsid w:val="00CF5FFC"/>
    <w:rsid w:val="00CF6D46"/>
    <w:rsid w:val="00CF6DF1"/>
    <w:rsid w:val="00D018D3"/>
    <w:rsid w:val="00D02F55"/>
    <w:rsid w:val="00D038AA"/>
    <w:rsid w:val="00D04941"/>
    <w:rsid w:val="00D049C4"/>
    <w:rsid w:val="00D07CCC"/>
    <w:rsid w:val="00D10D09"/>
    <w:rsid w:val="00D123EB"/>
    <w:rsid w:val="00D12F8A"/>
    <w:rsid w:val="00D1478D"/>
    <w:rsid w:val="00D14A98"/>
    <w:rsid w:val="00D14DDD"/>
    <w:rsid w:val="00D17AFA"/>
    <w:rsid w:val="00D17D80"/>
    <w:rsid w:val="00D22770"/>
    <w:rsid w:val="00D2478E"/>
    <w:rsid w:val="00D24EE9"/>
    <w:rsid w:val="00D25470"/>
    <w:rsid w:val="00D255F4"/>
    <w:rsid w:val="00D26457"/>
    <w:rsid w:val="00D26CFE"/>
    <w:rsid w:val="00D3468D"/>
    <w:rsid w:val="00D36605"/>
    <w:rsid w:val="00D37702"/>
    <w:rsid w:val="00D50088"/>
    <w:rsid w:val="00D52506"/>
    <w:rsid w:val="00D52DB8"/>
    <w:rsid w:val="00D53F9A"/>
    <w:rsid w:val="00D54478"/>
    <w:rsid w:val="00D56A6B"/>
    <w:rsid w:val="00D5735B"/>
    <w:rsid w:val="00D57476"/>
    <w:rsid w:val="00D57B4C"/>
    <w:rsid w:val="00D63851"/>
    <w:rsid w:val="00D650B2"/>
    <w:rsid w:val="00D66DC1"/>
    <w:rsid w:val="00D66F15"/>
    <w:rsid w:val="00D67741"/>
    <w:rsid w:val="00D73958"/>
    <w:rsid w:val="00D74157"/>
    <w:rsid w:val="00D74774"/>
    <w:rsid w:val="00D75954"/>
    <w:rsid w:val="00D7787D"/>
    <w:rsid w:val="00D85205"/>
    <w:rsid w:val="00D85ABC"/>
    <w:rsid w:val="00D87AD7"/>
    <w:rsid w:val="00D916FF"/>
    <w:rsid w:val="00D97946"/>
    <w:rsid w:val="00DA01EB"/>
    <w:rsid w:val="00DA3F17"/>
    <w:rsid w:val="00DA49F2"/>
    <w:rsid w:val="00DA5CEF"/>
    <w:rsid w:val="00DA6188"/>
    <w:rsid w:val="00DA6B09"/>
    <w:rsid w:val="00DA7751"/>
    <w:rsid w:val="00DB1CC8"/>
    <w:rsid w:val="00DB248F"/>
    <w:rsid w:val="00DB6D6C"/>
    <w:rsid w:val="00DC4B2E"/>
    <w:rsid w:val="00DC55C7"/>
    <w:rsid w:val="00DD189C"/>
    <w:rsid w:val="00DD1DC8"/>
    <w:rsid w:val="00DD60C8"/>
    <w:rsid w:val="00DE4E69"/>
    <w:rsid w:val="00DF224A"/>
    <w:rsid w:val="00DF3A08"/>
    <w:rsid w:val="00DF54BF"/>
    <w:rsid w:val="00DF6001"/>
    <w:rsid w:val="00E025A6"/>
    <w:rsid w:val="00E02A7A"/>
    <w:rsid w:val="00E133DB"/>
    <w:rsid w:val="00E157A5"/>
    <w:rsid w:val="00E22255"/>
    <w:rsid w:val="00E24C5F"/>
    <w:rsid w:val="00E24C8A"/>
    <w:rsid w:val="00E2518D"/>
    <w:rsid w:val="00E26E57"/>
    <w:rsid w:val="00E27FE7"/>
    <w:rsid w:val="00E3155C"/>
    <w:rsid w:val="00E31C58"/>
    <w:rsid w:val="00E3330A"/>
    <w:rsid w:val="00E34674"/>
    <w:rsid w:val="00E36903"/>
    <w:rsid w:val="00E37F20"/>
    <w:rsid w:val="00E4177C"/>
    <w:rsid w:val="00E4300F"/>
    <w:rsid w:val="00E444D2"/>
    <w:rsid w:val="00E45F5C"/>
    <w:rsid w:val="00E4738E"/>
    <w:rsid w:val="00E52E41"/>
    <w:rsid w:val="00E554E0"/>
    <w:rsid w:val="00E555C3"/>
    <w:rsid w:val="00E55783"/>
    <w:rsid w:val="00E56F20"/>
    <w:rsid w:val="00E600BE"/>
    <w:rsid w:val="00E61DAB"/>
    <w:rsid w:val="00E66637"/>
    <w:rsid w:val="00E6762F"/>
    <w:rsid w:val="00E700E1"/>
    <w:rsid w:val="00E712C7"/>
    <w:rsid w:val="00E72E8F"/>
    <w:rsid w:val="00E7343C"/>
    <w:rsid w:val="00E837EC"/>
    <w:rsid w:val="00E84755"/>
    <w:rsid w:val="00E85D03"/>
    <w:rsid w:val="00E85FEC"/>
    <w:rsid w:val="00E8762E"/>
    <w:rsid w:val="00E90A0F"/>
    <w:rsid w:val="00E94405"/>
    <w:rsid w:val="00EA4C06"/>
    <w:rsid w:val="00EB2915"/>
    <w:rsid w:val="00EB30ED"/>
    <w:rsid w:val="00EB36C5"/>
    <w:rsid w:val="00EB3958"/>
    <w:rsid w:val="00EB3A1A"/>
    <w:rsid w:val="00EB4953"/>
    <w:rsid w:val="00EC1FEF"/>
    <w:rsid w:val="00EC200C"/>
    <w:rsid w:val="00EC32BB"/>
    <w:rsid w:val="00EC35FA"/>
    <w:rsid w:val="00EC36A5"/>
    <w:rsid w:val="00EC647A"/>
    <w:rsid w:val="00EC6586"/>
    <w:rsid w:val="00ED1702"/>
    <w:rsid w:val="00ED6727"/>
    <w:rsid w:val="00ED6815"/>
    <w:rsid w:val="00ED7897"/>
    <w:rsid w:val="00EE08FE"/>
    <w:rsid w:val="00EE4D95"/>
    <w:rsid w:val="00EF3663"/>
    <w:rsid w:val="00F0251F"/>
    <w:rsid w:val="00F02E07"/>
    <w:rsid w:val="00F0587E"/>
    <w:rsid w:val="00F05C1F"/>
    <w:rsid w:val="00F11D11"/>
    <w:rsid w:val="00F14BB0"/>
    <w:rsid w:val="00F202B4"/>
    <w:rsid w:val="00F261FC"/>
    <w:rsid w:val="00F3134B"/>
    <w:rsid w:val="00F3202E"/>
    <w:rsid w:val="00F35C53"/>
    <w:rsid w:val="00F454FD"/>
    <w:rsid w:val="00F464E5"/>
    <w:rsid w:val="00F47BC4"/>
    <w:rsid w:val="00F516FB"/>
    <w:rsid w:val="00F618C8"/>
    <w:rsid w:val="00F67A68"/>
    <w:rsid w:val="00F72351"/>
    <w:rsid w:val="00F74D4F"/>
    <w:rsid w:val="00F752CB"/>
    <w:rsid w:val="00F76935"/>
    <w:rsid w:val="00F76D07"/>
    <w:rsid w:val="00F77E00"/>
    <w:rsid w:val="00F81CD6"/>
    <w:rsid w:val="00F84196"/>
    <w:rsid w:val="00F8420F"/>
    <w:rsid w:val="00F8448C"/>
    <w:rsid w:val="00F86843"/>
    <w:rsid w:val="00F903B9"/>
    <w:rsid w:val="00F91070"/>
    <w:rsid w:val="00F9186D"/>
    <w:rsid w:val="00F94BE7"/>
    <w:rsid w:val="00F967EE"/>
    <w:rsid w:val="00F96AD1"/>
    <w:rsid w:val="00F96D62"/>
    <w:rsid w:val="00F96F3B"/>
    <w:rsid w:val="00F978BE"/>
    <w:rsid w:val="00FA28F6"/>
    <w:rsid w:val="00FA363C"/>
    <w:rsid w:val="00FA3A56"/>
    <w:rsid w:val="00FA4C1D"/>
    <w:rsid w:val="00FB178B"/>
    <w:rsid w:val="00FB396B"/>
    <w:rsid w:val="00FB52A5"/>
    <w:rsid w:val="00FC1121"/>
    <w:rsid w:val="00FC4716"/>
    <w:rsid w:val="00FC7924"/>
    <w:rsid w:val="00FD05FC"/>
    <w:rsid w:val="00FD38DF"/>
    <w:rsid w:val="00FD4E13"/>
    <w:rsid w:val="00FE5583"/>
    <w:rsid w:val="00FF0E84"/>
    <w:rsid w:val="00FF153F"/>
    <w:rsid w:val="00FF3D8C"/>
    <w:rsid w:val="00FF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D07CC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D07CCC"/>
    <w:rPr>
      <w:rFonts w:ascii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A52ECA"/>
    <w:rPr>
      <w:rFonts w:cs="Times New Roman"/>
      <w:b/>
      <w:bCs/>
    </w:rPr>
  </w:style>
  <w:style w:type="paragraph" w:styleId="a6">
    <w:name w:val="Body Text"/>
    <w:basedOn w:val="a"/>
    <w:link w:val="a7"/>
    <w:uiPriority w:val="99"/>
    <w:rsid w:val="00A52ECA"/>
    <w:pPr>
      <w:suppressAutoHyphens/>
      <w:spacing w:after="120"/>
    </w:pPr>
    <w:rPr>
      <w:rFonts w:cs="Calibri"/>
      <w:lang w:eastAsia="ar-SA"/>
    </w:rPr>
  </w:style>
  <w:style w:type="character" w:customStyle="1" w:styleId="a7">
    <w:name w:val="Основной текст Знак"/>
    <w:basedOn w:val="a0"/>
    <w:link w:val="a6"/>
    <w:uiPriority w:val="99"/>
    <w:locked/>
    <w:rsid w:val="00A52ECA"/>
    <w:rPr>
      <w:rFonts w:ascii="Calibri" w:hAnsi="Calibri" w:cs="Calibri"/>
      <w:lang w:eastAsia="ar-SA" w:bidi="ar-SA"/>
    </w:rPr>
  </w:style>
  <w:style w:type="paragraph" w:styleId="a8">
    <w:name w:val="No Spacing"/>
    <w:link w:val="a9"/>
    <w:qFormat/>
    <w:rsid w:val="00A52ECA"/>
    <w:pPr>
      <w:suppressAutoHyphens/>
    </w:pPr>
    <w:rPr>
      <w:rFonts w:cs="Calibri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iPriority w:val="99"/>
    <w:rsid w:val="00A52EC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52EC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52ECA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note">
    <w:name w:val="note"/>
    <w:basedOn w:val="a"/>
    <w:uiPriority w:val="99"/>
    <w:rsid w:val="00A52EC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6A2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A2B6C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6A2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6A2B6C"/>
    <w:rPr>
      <w:rFonts w:cs="Times New Roman"/>
    </w:rPr>
  </w:style>
  <w:style w:type="paragraph" w:customStyle="1" w:styleId="1">
    <w:name w:val="Текст1"/>
    <w:basedOn w:val="a"/>
    <w:uiPriority w:val="99"/>
    <w:rsid w:val="00D66F15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801A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List Paragraph"/>
    <w:basedOn w:val="a"/>
    <w:link w:val="af0"/>
    <w:uiPriority w:val="99"/>
    <w:qFormat/>
    <w:rsid w:val="00801AC5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22">
    <w:name w:val="Основной текст 22"/>
    <w:basedOn w:val="a"/>
    <w:uiPriority w:val="99"/>
    <w:rsid w:val="005C574C"/>
    <w:pPr>
      <w:suppressAutoHyphens/>
      <w:autoSpaceDE w:val="0"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af1">
    <w:name w:val="Последний абзац"/>
    <w:basedOn w:val="22"/>
    <w:link w:val="af2"/>
    <w:uiPriority w:val="99"/>
    <w:qFormat/>
    <w:rsid w:val="005C574C"/>
    <w:pPr>
      <w:widowControl w:val="0"/>
      <w:spacing w:after="0" w:line="360" w:lineRule="auto"/>
      <w:ind w:firstLine="709"/>
      <w:jc w:val="both"/>
    </w:pPr>
  </w:style>
  <w:style w:type="paragraph" w:styleId="3">
    <w:name w:val="Body Text Indent 3"/>
    <w:basedOn w:val="a"/>
    <w:link w:val="30"/>
    <w:uiPriority w:val="99"/>
    <w:semiHidden/>
    <w:rsid w:val="005C57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C574C"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semiHidden/>
    <w:rsid w:val="005C57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C574C"/>
    <w:rPr>
      <w:rFonts w:cs="Times New Roman"/>
    </w:rPr>
  </w:style>
  <w:style w:type="character" w:customStyle="1" w:styleId="a9">
    <w:name w:val="Без интервала Знак"/>
    <w:basedOn w:val="a0"/>
    <w:link w:val="a8"/>
    <w:locked/>
    <w:rsid w:val="00B23509"/>
    <w:rPr>
      <w:rFonts w:cs="Calibri"/>
      <w:sz w:val="22"/>
      <w:szCs w:val="22"/>
      <w:lang w:val="ru-RU" w:eastAsia="ar-SA" w:bidi="ar-SA"/>
    </w:rPr>
  </w:style>
  <w:style w:type="paragraph" w:styleId="23">
    <w:name w:val="Body Text Indent 2"/>
    <w:basedOn w:val="a"/>
    <w:link w:val="24"/>
    <w:uiPriority w:val="99"/>
    <w:rsid w:val="00B2350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B2350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15A34"/>
    <w:rPr>
      <w:rFonts w:cs="Times New Roman"/>
    </w:rPr>
  </w:style>
  <w:style w:type="character" w:styleId="af3">
    <w:name w:val="Hyperlink"/>
    <w:basedOn w:val="a0"/>
    <w:uiPriority w:val="99"/>
    <w:semiHidden/>
    <w:rsid w:val="00315A34"/>
    <w:rPr>
      <w:rFonts w:cs="Times New Roman"/>
      <w:color w:val="0000FF"/>
      <w:u w:val="single"/>
    </w:rPr>
  </w:style>
  <w:style w:type="character" w:styleId="af4">
    <w:name w:val="Emphasis"/>
    <w:basedOn w:val="a0"/>
    <w:uiPriority w:val="99"/>
    <w:qFormat/>
    <w:rsid w:val="000B6A0B"/>
    <w:rPr>
      <w:rFonts w:cs="Times New Roman"/>
      <w:i/>
      <w:iCs/>
    </w:rPr>
  </w:style>
  <w:style w:type="table" w:styleId="af5">
    <w:name w:val="Table Grid"/>
    <w:basedOn w:val="a1"/>
    <w:uiPriority w:val="99"/>
    <w:rsid w:val="00C709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C555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Последний абзац Знак"/>
    <w:link w:val="af1"/>
    <w:uiPriority w:val="99"/>
    <w:locked/>
    <w:rsid w:val="00F14BB0"/>
    <w:rPr>
      <w:rFonts w:ascii="Times New Roman" w:hAnsi="Times New Roman"/>
      <w:sz w:val="20"/>
      <w:lang w:eastAsia="ar-SA" w:bidi="ar-SA"/>
    </w:rPr>
  </w:style>
  <w:style w:type="paragraph" w:customStyle="1" w:styleId="10">
    <w:name w:val="Без интервала1"/>
    <w:link w:val="NoSpacingChar"/>
    <w:uiPriority w:val="99"/>
    <w:rsid w:val="003016D7"/>
    <w:pPr>
      <w:suppressAutoHyphens/>
    </w:pPr>
    <w:rPr>
      <w:rFonts w:cs="Calibri"/>
      <w:lang w:eastAsia="ar-SA"/>
    </w:rPr>
  </w:style>
  <w:style w:type="character" w:customStyle="1" w:styleId="NoSpacingChar">
    <w:name w:val="No Spacing Char"/>
    <w:basedOn w:val="a0"/>
    <w:link w:val="10"/>
    <w:uiPriority w:val="99"/>
    <w:locked/>
    <w:rsid w:val="003016D7"/>
    <w:rPr>
      <w:rFonts w:cs="Calibri"/>
      <w:sz w:val="22"/>
      <w:szCs w:val="22"/>
      <w:lang w:val="ru-RU" w:eastAsia="ar-SA" w:bidi="ar-SA"/>
    </w:rPr>
  </w:style>
  <w:style w:type="paragraph" w:customStyle="1" w:styleId="ConsPlusNonformat">
    <w:name w:val="ConsPlusNonformat"/>
    <w:uiPriority w:val="99"/>
    <w:rsid w:val="003269B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default0">
    <w:name w:val="default"/>
    <w:basedOn w:val="a"/>
    <w:rsid w:val="0012611C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11">
    <w:name w:val="1"/>
    <w:basedOn w:val="a"/>
    <w:rsid w:val="0012611C"/>
    <w:pPr>
      <w:spacing w:after="0" w:line="240" w:lineRule="auto"/>
    </w:pPr>
    <w:rPr>
      <w:rFonts w:eastAsiaTheme="minorHAnsi"/>
    </w:rPr>
  </w:style>
  <w:style w:type="character" w:customStyle="1" w:styleId="af0">
    <w:name w:val="Абзац списка Знак"/>
    <w:link w:val="af"/>
    <w:uiPriority w:val="34"/>
    <w:locked/>
    <w:rsid w:val="0053388C"/>
    <w:rPr>
      <w:rFonts w:ascii="Times New Roman" w:hAnsi="Times New Roman"/>
      <w:sz w:val="28"/>
      <w:szCs w:val="28"/>
    </w:rPr>
  </w:style>
  <w:style w:type="paragraph" w:customStyle="1" w:styleId="headertext">
    <w:name w:val="headertext"/>
    <w:basedOn w:val="a"/>
    <w:rsid w:val="00DD18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Block Text"/>
    <w:basedOn w:val="a"/>
    <w:rsid w:val="00C66C0E"/>
    <w:pPr>
      <w:widowControl w:val="0"/>
      <w:spacing w:before="120" w:after="0" w:line="320" w:lineRule="exact"/>
      <w:ind w:left="1540" w:right="1500"/>
      <w:jc w:val="center"/>
    </w:pPr>
    <w:rPr>
      <w:rFonts w:ascii="Times New Roman" w:hAnsi="Times New Roman"/>
      <w:sz w:val="28"/>
      <w:szCs w:val="20"/>
    </w:rPr>
  </w:style>
  <w:style w:type="paragraph" w:styleId="af7">
    <w:name w:val="Plain Text"/>
    <w:basedOn w:val="a"/>
    <w:link w:val="af8"/>
    <w:uiPriority w:val="99"/>
    <w:unhideWhenUsed/>
    <w:rsid w:val="002C6321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rsid w:val="002C6321"/>
    <w:rPr>
      <w:rFonts w:eastAsia="Calibr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77E9D4BFA25AB72D192E4ECBACD4BADEE712106275641A8FE2831279T0S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74EAF-CB36-4344-934A-5EAF0C8C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27</Pages>
  <Words>9833</Words>
  <Characters>68200</Characters>
  <Application>Microsoft Office Word</Application>
  <DocSecurity>0</DocSecurity>
  <Lines>568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77878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</dc:creator>
  <cp:lastModifiedBy>пользователь</cp:lastModifiedBy>
  <cp:revision>27</cp:revision>
  <cp:lastPrinted>2017-10-24T05:00:00Z</cp:lastPrinted>
  <dcterms:created xsi:type="dcterms:W3CDTF">2017-10-04T03:48:00Z</dcterms:created>
  <dcterms:modified xsi:type="dcterms:W3CDTF">2017-10-24T05:08:00Z</dcterms:modified>
</cp:coreProperties>
</file>