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92" w:rsidRPr="00326BC8" w:rsidRDefault="002D5B92" w:rsidP="002D5B9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реализации национальных проектов </w:t>
      </w:r>
      <w:r w:rsidRPr="00B675B8">
        <w:rPr>
          <w:rFonts w:ascii="Times New Roman" w:hAnsi="Times New Roman"/>
          <w:b/>
          <w:sz w:val="28"/>
          <w:szCs w:val="28"/>
        </w:rPr>
        <w:t xml:space="preserve">на </w:t>
      </w:r>
      <w:r w:rsidR="00381D46">
        <w:rPr>
          <w:rFonts w:ascii="Times New Roman" w:hAnsi="Times New Roman"/>
          <w:b/>
          <w:sz w:val="28"/>
          <w:szCs w:val="28"/>
        </w:rPr>
        <w:t>01</w:t>
      </w:r>
      <w:r w:rsidRPr="00B675B8">
        <w:rPr>
          <w:rFonts w:ascii="Times New Roman" w:hAnsi="Times New Roman"/>
          <w:b/>
          <w:sz w:val="28"/>
          <w:szCs w:val="28"/>
        </w:rPr>
        <w:t>.</w:t>
      </w:r>
      <w:r w:rsidR="00381D46">
        <w:rPr>
          <w:rFonts w:ascii="Times New Roman" w:hAnsi="Times New Roman"/>
          <w:b/>
          <w:sz w:val="28"/>
          <w:szCs w:val="28"/>
        </w:rPr>
        <w:t>10</w:t>
      </w:r>
      <w:r w:rsidRPr="00B675B8">
        <w:rPr>
          <w:rFonts w:ascii="Times New Roman" w:hAnsi="Times New Roman"/>
          <w:b/>
          <w:sz w:val="28"/>
          <w:szCs w:val="28"/>
        </w:rPr>
        <w:t>.202</w:t>
      </w:r>
      <w:r w:rsidR="00686E97">
        <w:rPr>
          <w:rFonts w:ascii="Times New Roman" w:hAnsi="Times New Roman"/>
          <w:b/>
          <w:sz w:val="28"/>
          <w:szCs w:val="28"/>
        </w:rPr>
        <w:t>2</w:t>
      </w:r>
    </w:p>
    <w:p w:rsidR="002D5B92" w:rsidRDefault="002D5B92" w:rsidP="002D5B9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Национальный проект </w:t>
      </w:r>
    </w:p>
    <w:p w:rsidR="002D5B92" w:rsidRDefault="002D5B92" w:rsidP="002D5B9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«Культура»</w:t>
      </w:r>
    </w:p>
    <w:p w:rsidR="002D5B92" w:rsidRDefault="002D5B92" w:rsidP="002D5B9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B92" w:rsidRDefault="002D5B92" w:rsidP="002D5B9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Федеральный  проект «Культурная среда»,</w:t>
      </w:r>
    </w:p>
    <w:p w:rsidR="002D5B92" w:rsidRDefault="002D5B92" w:rsidP="002D5B9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Целевой показатель - «Число посещений культурных мероприятий» </w:t>
      </w:r>
    </w:p>
    <w:p w:rsidR="00514E3F" w:rsidRDefault="00514E3F" w:rsidP="002D5B9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B92" w:rsidRDefault="002D5B92" w:rsidP="00514E3F">
      <w:pPr>
        <w:pStyle w:val="aa"/>
        <w:spacing w:after="0" w:line="240" w:lineRule="auto"/>
        <w:ind w:left="2138"/>
        <w:rPr>
          <w:rFonts w:ascii="Times New Roman" w:hAnsi="Times New Roman"/>
          <w:b/>
          <w:sz w:val="24"/>
          <w:szCs w:val="24"/>
        </w:rPr>
      </w:pPr>
      <w:r w:rsidRPr="0065624E">
        <w:rPr>
          <w:rFonts w:ascii="Times New Roman" w:hAnsi="Times New Roman"/>
          <w:b/>
          <w:sz w:val="24"/>
          <w:szCs w:val="24"/>
        </w:rPr>
        <w:t>Анализ достижения целевых показателей конечного результата</w:t>
      </w:r>
    </w:p>
    <w:tbl>
      <w:tblPr>
        <w:tblStyle w:val="ac"/>
        <w:tblW w:w="515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72"/>
        <w:gridCol w:w="1965"/>
        <w:gridCol w:w="1213"/>
        <w:gridCol w:w="1518"/>
        <w:gridCol w:w="1813"/>
        <w:gridCol w:w="3331"/>
      </w:tblGrid>
      <w:tr w:rsidR="00E44C9A" w:rsidRPr="00A66371" w:rsidTr="00E44C9A">
        <w:trPr>
          <w:trHeight w:val="909"/>
        </w:trPr>
        <w:tc>
          <w:tcPr>
            <w:tcW w:w="229" w:type="pct"/>
          </w:tcPr>
          <w:p w:rsidR="00E44C9A" w:rsidRPr="00A66371" w:rsidRDefault="00E44C9A" w:rsidP="00E44C9A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66371">
              <w:rPr>
                <w:rFonts w:ascii="Times New Roman" w:eastAsia="Calibri" w:hAnsi="Times New Roman"/>
                <w:lang w:eastAsia="en-US"/>
              </w:rPr>
              <w:t>№п/п</w:t>
            </w:r>
          </w:p>
        </w:tc>
        <w:tc>
          <w:tcPr>
            <w:tcW w:w="953" w:type="pct"/>
          </w:tcPr>
          <w:p w:rsidR="00E44C9A" w:rsidRPr="00A66371" w:rsidRDefault="00E44C9A" w:rsidP="00E44C9A">
            <w:pPr>
              <w:pStyle w:val="aa"/>
              <w:spacing w:after="0"/>
              <w:ind w:left="0" w:right="3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66371">
              <w:rPr>
                <w:rFonts w:ascii="Times New Roman" w:eastAsia="Calibri" w:hAnsi="Times New Roman"/>
                <w:lang w:eastAsia="en-US"/>
              </w:rPr>
              <w:t>Наименование показателя</w:t>
            </w:r>
          </w:p>
        </w:tc>
        <w:tc>
          <w:tcPr>
            <w:tcW w:w="588" w:type="pct"/>
          </w:tcPr>
          <w:p w:rsidR="00E44C9A" w:rsidRPr="00A66371" w:rsidRDefault="00E44C9A" w:rsidP="00E44C9A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A66371">
              <w:rPr>
                <w:rFonts w:ascii="Times New Roman" w:eastAsia="Calibri" w:hAnsi="Times New Roman"/>
              </w:rPr>
              <w:t>План на</w:t>
            </w:r>
          </w:p>
          <w:p w:rsidR="00E44C9A" w:rsidRPr="00A66371" w:rsidRDefault="00E44C9A" w:rsidP="00E44C9A">
            <w:pPr>
              <w:spacing w:after="0"/>
              <w:jc w:val="center"/>
              <w:rPr>
                <w:rFonts w:ascii="Times New Roman" w:hAnsi="Times New Roman"/>
              </w:rPr>
            </w:pPr>
            <w:r w:rsidRPr="00A66371">
              <w:rPr>
                <w:rFonts w:ascii="Times New Roman" w:eastAsia="Calibri" w:hAnsi="Times New Roman"/>
              </w:rPr>
              <w:t>2022г.</w:t>
            </w:r>
          </w:p>
        </w:tc>
        <w:tc>
          <w:tcPr>
            <w:tcW w:w="736" w:type="pct"/>
          </w:tcPr>
          <w:p w:rsidR="00E44C9A" w:rsidRPr="00A66371" w:rsidRDefault="0015355C" w:rsidP="003411E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Выполнение на </w:t>
            </w:r>
            <w:r w:rsidR="00381D46">
              <w:rPr>
                <w:rFonts w:ascii="Times New Roman" w:eastAsia="Calibri" w:hAnsi="Times New Roman"/>
              </w:rPr>
              <w:t>01.10</w:t>
            </w:r>
            <w:r w:rsidR="00E44C9A" w:rsidRPr="00A66371">
              <w:rPr>
                <w:rFonts w:ascii="Times New Roman" w:eastAsia="Calibri" w:hAnsi="Times New Roman"/>
              </w:rPr>
              <w:t>.2022</w:t>
            </w:r>
          </w:p>
        </w:tc>
        <w:tc>
          <w:tcPr>
            <w:tcW w:w="879" w:type="pct"/>
          </w:tcPr>
          <w:p w:rsidR="00E44C9A" w:rsidRPr="00A66371" w:rsidRDefault="00E44C9A" w:rsidP="00E44C9A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A66371">
              <w:rPr>
                <w:rFonts w:ascii="Times New Roman" w:eastAsia="Calibri" w:hAnsi="Times New Roman"/>
              </w:rPr>
              <w:t>% выполнения от годового плана</w:t>
            </w:r>
          </w:p>
        </w:tc>
        <w:tc>
          <w:tcPr>
            <w:tcW w:w="1616" w:type="pct"/>
          </w:tcPr>
          <w:p w:rsidR="00E44C9A" w:rsidRPr="00A66371" w:rsidRDefault="00E44C9A" w:rsidP="00E44C9A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A66371">
              <w:rPr>
                <w:rFonts w:ascii="Times New Roman" w:eastAsia="Calibri" w:hAnsi="Times New Roman"/>
              </w:rPr>
              <w:t>Примечание</w:t>
            </w:r>
          </w:p>
        </w:tc>
      </w:tr>
      <w:tr w:rsidR="00E44C9A" w:rsidRPr="00A66371" w:rsidTr="00E44C9A">
        <w:trPr>
          <w:trHeight w:val="1264"/>
        </w:trPr>
        <w:tc>
          <w:tcPr>
            <w:tcW w:w="229" w:type="pct"/>
          </w:tcPr>
          <w:p w:rsidR="00E44C9A" w:rsidRPr="00A66371" w:rsidRDefault="00E44C9A" w:rsidP="00E44C9A">
            <w:pPr>
              <w:pStyle w:val="aa"/>
              <w:spacing w:after="0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66371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53" w:type="pct"/>
          </w:tcPr>
          <w:p w:rsidR="00E44C9A" w:rsidRPr="00A66371" w:rsidRDefault="00E44C9A" w:rsidP="0015355C">
            <w:pPr>
              <w:pStyle w:val="aa"/>
              <w:spacing w:after="0"/>
              <w:ind w:left="0" w:right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66371">
              <w:rPr>
                <w:rFonts w:ascii="Times New Roman" w:hAnsi="Times New Roman"/>
                <w:b/>
                <w:bCs/>
              </w:rPr>
              <w:t>Число посещений культурных мероприятий</w:t>
            </w:r>
            <w:r w:rsidR="001E39A0" w:rsidRPr="00A66371">
              <w:rPr>
                <w:rFonts w:ascii="Times New Roman" w:hAnsi="Times New Roman"/>
                <w:b/>
                <w:bCs/>
              </w:rPr>
              <w:t xml:space="preserve">, </w:t>
            </w:r>
            <w:r w:rsidR="0015355C">
              <w:rPr>
                <w:rFonts w:ascii="Times New Roman" w:hAnsi="Times New Roman"/>
                <w:b/>
                <w:bCs/>
              </w:rPr>
              <w:t xml:space="preserve">тыс.ед. </w:t>
            </w:r>
          </w:p>
        </w:tc>
        <w:tc>
          <w:tcPr>
            <w:tcW w:w="588" w:type="pct"/>
          </w:tcPr>
          <w:p w:rsidR="00E44C9A" w:rsidRPr="007F3D5B" w:rsidRDefault="00E44C9A" w:rsidP="00E44C9A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7F3D5B">
              <w:rPr>
                <w:rFonts w:ascii="Times New Roman" w:eastAsia="Calibri" w:hAnsi="Times New Roman"/>
              </w:rPr>
              <w:t>4002,592</w:t>
            </w:r>
          </w:p>
        </w:tc>
        <w:tc>
          <w:tcPr>
            <w:tcW w:w="736" w:type="pct"/>
          </w:tcPr>
          <w:p w:rsidR="00E44C9A" w:rsidRPr="00381D46" w:rsidRDefault="00381D46" w:rsidP="00ED536C">
            <w:pPr>
              <w:spacing w:after="0"/>
              <w:jc w:val="center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3 783,903</w:t>
            </w:r>
          </w:p>
        </w:tc>
        <w:tc>
          <w:tcPr>
            <w:tcW w:w="879" w:type="pct"/>
          </w:tcPr>
          <w:p w:rsidR="00E44C9A" w:rsidRPr="007F3D5B" w:rsidRDefault="00381D46" w:rsidP="00ED536C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94,54%</w:t>
            </w:r>
            <w:bookmarkStart w:id="0" w:name="_GoBack"/>
            <w:bookmarkEnd w:id="0"/>
          </w:p>
        </w:tc>
        <w:tc>
          <w:tcPr>
            <w:tcW w:w="1616" w:type="pct"/>
          </w:tcPr>
          <w:p w:rsidR="00E44C9A" w:rsidRPr="00A66371" w:rsidRDefault="00E44C9A" w:rsidP="00E44C9A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A66371">
              <w:rPr>
                <w:rFonts w:ascii="Times New Roman" w:hAnsi="Times New Roman"/>
                <w:bCs/>
              </w:rPr>
              <w:t>Деятельность муниципальных учреждений ведется в соответствии с рекомендациями Роспотребнадзора (по каждому типу учреждения)</w:t>
            </w:r>
          </w:p>
        </w:tc>
      </w:tr>
    </w:tbl>
    <w:p w:rsidR="00F02654" w:rsidRPr="00A66371" w:rsidRDefault="00F02654" w:rsidP="00640D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3C5B" w:rsidRPr="00D73C5B" w:rsidRDefault="006A2132" w:rsidP="00D73C5B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371">
        <w:rPr>
          <w:rFonts w:ascii="Times New Roman" w:hAnsi="Times New Roman"/>
          <w:sz w:val="24"/>
          <w:szCs w:val="24"/>
        </w:rPr>
        <w:t>В рамках реализации Национального</w:t>
      </w:r>
      <w:r w:rsidRPr="00D73C5B">
        <w:rPr>
          <w:rFonts w:ascii="Times New Roman" w:hAnsi="Times New Roman"/>
          <w:sz w:val="24"/>
          <w:szCs w:val="24"/>
        </w:rPr>
        <w:t xml:space="preserve"> проекта «Культура» </w:t>
      </w:r>
      <w:r w:rsidR="00D73C5B" w:rsidRPr="00D73C5B">
        <w:rPr>
          <w:rFonts w:ascii="Times New Roman" w:hAnsi="Times New Roman"/>
          <w:sz w:val="24"/>
          <w:szCs w:val="24"/>
        </w:rPr>
        <w:t xml:space="preserve">по соглашению, заключенному между министерством промышленности и торговли Российской Федерации и министерством культуры Самарской области, </w:t>
      </w:r>
      <w:r w:rsidR="00FE7DD4" w:rsidRPr="00D73C5B">
        <w:rPr>
          <w:rFonts w:ascii="Times New Roman" w:hAnsi="Times New Roman"/>
          <w:sz w:val="24"/>
          <w:szCs w:val="24"/>
        </w:rPr>
        <w:t>в марте 2022г</w:t>
      </w:r>
      <w:r w:rsidR="00D73C5B" w:rsidRPr="00D73C5B">
        <w:rPr>
          <w:rFonts w:ascii="Times New Roman" w:hAnsi="Times New Roman"/>
          <w:sz w:val="24"/>
          <w:szCs w:val="24"/>
        </w:rPr>
        <w:t>ода,</w:t>
      </w:r>
      <w:r w:rsidR="00D73C5B" w:rsidRPr="00D73C5B">
        <w:rPr>
          <w:rFonts w:ascii="Times New Roman" w:hAnsi="Times New Roman"/>
          <w:sz w:val="24"/>
          <w:szCs w:val="24"/>
          <w:shd w:val="clear" w:color="auto" w:fill="FFFFFF"/>
        </w:rPr>
        <w:t xml:space="preserve"> две Тольяттинские школы искусств получили наборы барабанов:  МБУ ДО детская школа искусств имени М.А. Балакирева и  МБУ ДО «Детская школа искусств Центрального района».</w:t>
      </w:r>
    </w:p>
    <w:p w:rsidR="006A2132" w:rsidRDefault="006A2132" w:rsidP="00640D1D">
      <w:pPr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</w:p>
    <w:p w:rsidR="002D5B92" w:rsidRDefault="002D5B92" w:rsidP="00640D1D">
      <w:pPr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Федеральный </w:t>
      </w:r>
      <w:r w:rsidRPr="00C860F9">
        <w:rPr>
          <w:rFonts w:ascii="Times New Roman" w:hAnsi="Times New Roman"/>
          <w:b/>
          <w:sz w:val="24"/>
          <w:szCs w:val="24"/>
        </w:rPr>
        <w:t xml:space="preserve">проект «ТВОРЧЕСКИЕ ЛЮДИ» </w:t>
      </w:r>
    </w:p>
    <w:p w:rsidR="00806B1A" w:rsidRPr="00640D1D" w:rsidRDefault="00806B1A" w:rsidP="00640D1D">
      <w:pPr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</w:p>
    <w:p w:rsidR="00DF6DE1" w:rsidRPr="00F64B0A" w:rsidRDefault="00DF6DE1" w:rsidP="00DF6DE1">
      <w:pPr>
        <w:pStyle w:val="Default"/>
        <w:ind w:firstLine="567"/>
        <w:jc w:val="both"/>
        <w:rPr>
          <w:b/>
          <w:bCs/>
          <w:color w:val="FF0000"/>
          <w:u w:val="single"/>
          <w:lang w:eastAsia="en-US"/>
        </w:rPr>
      </w:pPr>
      <w:r>
        <w:rPr>
          <w:bCs/>
          <w:color w:val="auto"/>
          <w:lang w:eastAsia="en-US"/>
        </w:rPr>
        <w:t>Мероприятие</w:t>
      </w:r>
      <w:r>
        <w:rPr>
          <w:color w:val="auto"/>
          <w:lang w:eastAsia="en-US"/>
        </w:rPr>
        <w:t xml:space="preserve"> «Подготовка кадров для отрасли культуры» планируется обучени</w:t>
      </w:r>
      <w:r w:rsidR="00C75993">
        <w:rPr>
          <w:color w:val="auto"/>
          <w:lang w:eastAsia="en-US"/>
        </w:rPr>
        <w:t>е 3</w:t>
      </w:r>
      <w:r w:rsidR="00E45F0C">
        <w:rPr>
          <w:color w:val="auto"/>
          <w:lang w:eastAsia="en-US"/>
        </w:rPr>
        <w:t xml:space="preserve">8 человек. По состоянию на </w:t>
      </w:r>
      <w:r w:rsidR="00381D46">
        <w:rPr>
          <w:color w:val="auto"/>
          <w:lang w:eastAsia="en-US"/>
        </w:rPr>
        <w:t>01.10</w:t>
      </w:r>
      <w:r w:rsidR="009227E6">
        <w:rPr>
          <w:color w:val="auto"/>
          <w:lang w:eastAsia="en-US"/>
        </w:rPr>
        <w:t>.2022</w:t>
      </w:r>
      <w:r w:rsidR="00ED536C">
        <w:rPr>
          <w:color w:val="auto"/>
          <w:lang w:eastAsia="en-US"/>
        </w:rPr>
        <w:t xml:space="preserve"> </w:t>
      </w:r>
      <w:r>
        <w:t>обучение прошли</w:t>
      </w:r>
      <w:r w:rsidR="00ED536C">
        <w:t xml:space="preserve"> </w:t>
      </w:r>
      <w:r w:rsidR="00E73E68">
        <w:rPr>
          <w:b/>
        </w:rPr>
        <w:t>36</w:t>
      </w:r>
      <w:r w:rsidRPr="00E05E28">
        <w:t> человек</w:t>
      </w:r>
      <w:r w:rsidR="0082555A">
        <w:t>а</w:t>
      </w:r>
      <w:r w:rsidRPr="00E05E28">
        <w:rPr>
          <w:color w:val="auto"/>
        </w:rPr>
        <w:t>.</w:t>
      </w:r>
    </w:p>
    <w:p w:rsidR="00DF6DE1" w:rsidRPr="00F64B0A" w:rsidRDefault="00DF6DE1" w:rsidP="00D73C5B">
      <w:pPr>
        <w:pStyle w:val="Default"/>
        <w:spacing w:line="276" w:lineRule="auto"/>
        <w:ind w:right="-1" w:firstLine="284"/>
        <w:jc w:val="both"/>
        <w:rPr>
          <w:b/>
          <w:bCs/>
          <w:color w:val="FF0000"/>
          <w:u w:val="single"/>
          <w:lang w:eastAsia="en-US"/>
        </w:rPr>
      </w:pPr>
    </w:p>
    <w:p w:rsidR="008229CA" w:rsidRDefault="008229CA" w:rsidP="002D5B92">
      <w:pPr>
        <w:pStyle w:val="Default"/>
        <w:jc w:val="center"/>
        <w:rPr>
          <w:b/>
          <w:color w:val="auto"/>
        </w:rPr>
      </w:pPr>
    </w:p>
    <w:p w:rsidR="002D5B92" w:rsidRDefault="002D5B92" w:rsidP="002D5B9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Федеральный проект «КУЛЬТУРНАЯ СРЕДА»</w:t>
      </w:r>
    </w:p>
    <w:p w:rsidR="006A2132" w:rsidRDefault="006A2132" w:rsidP="002D5B92">
      <w:pPr>
        <w:pStyle w:val="Default"/>
        <w:jc w:val="center"/>
        <w:rPr>
          <w:b/>
          <w:color w:val="auto"/>
        </w:rPr>
      </w:pPr>
    </w:p>
    <w:p w:rsidR="006A2132" w:rsidRPr="006A2132" w:rsidRDefault="006A2132" w:rsidP="006A2132">
      <w:pPr>
        <w:pStyle w:val="Default"/>
        <w:jc w:val="center"/>
        <w:rPr>
          <w:b/>
        </w:rPr>
      </w:pPr>
      <w:r w:rsidRPr="006A2132">
        <w:rPr>
          <w:b/>
        </w:rPr>
        <w:t>Выделение финансирования на реализацию мероприятий: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500"/>
        <w:gridCol w:w="1649"/>
        <w:gridCol w:w="1350"/>
        <w:gridCol w:w="1950"/>
        <w:gridCol w:w="1199"/>
      </w:tblGrid>
      <w:tr w:rsidR="00E44C9A" w:rsidRPr="00AC1135" w:rsidTr="00A66371">
        <w:trPr>
          <w:trHeight w:val="508"/>
        </w:trPr>
        <w:tc>
          <w:tcPr>
            <w:tcW w:w="2730" w:type="dxa"/>
            <w:vMerge w:val="restart"/>
            <w:shd w:val="clear" w:color="auto" w:fill="auto"/>
          </w:tcPr>
          <w:p w:rsidR="00E44C9A" w:rsidRPr="00AC1135" w:rsidRDefault="00E44C9A" w:rsidP="00D50B6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C1135">
              <w:rPr>
                <w:rFonts w:eastAsia="Times New Roman"/>
                <w:color w:val="auto"/>
              </w:rPr>
              <w:t xml:space="preserve">Наименование мероприятия 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E44C9A" w:rsidRPr="00AC1135" w:rsidRDefault="00E44C9A" w:rsidP="00D50B6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C1135">
              <w:rPr>
                <w:rFonts w:eastAsia="Times New Roman"/>
                <w:color w:val="auto"/>
              </w:rPr>
              <w:t>Всего (тыс.руб.)</w:t>
            </w:r>
          </w:p>
        </w:tc>
        <w:tc>
          <w:tcPr>
            <w:tcW w:w="4949" w:type="dxa"/>
            <w:gridSpan w:val="3"/>
            <w:shd w:val="clear" w:color="auto" w:fill="auto"/>
          </w:tcPr>
          <w:p w:rsidR="00E44C9A" w:rsidRPr="00AC1135" w:rsidRDefault="00E44C9A" w:rsidP="00D50B6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AC1135">
              <w:rPr>
                <w:rFonts w:eastAsia="Times New Roman"/>
                <w:color w:val="auto"/>
              </w:rPr>
              <w:t>В том числе</w:t>
            </w:r>
          </w:p>
          <w:p w:rsidR="00E44C9A" w:rsidRPr="00AC1135" w:rsidRDefault="00E44C9A" w:rsidP="00D50B6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AC1135">
              <w:rPr>
                <w:rFonts w:eastAsia="Times New Roman"/>
                <w:color w:val="auto"/>
              </w:rPr>
              <w:t>по источникам финансирования: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E44C9A" w:rsidRPr="00AC1135" w:rsidRDefault="00E44C9A" w:rsidP="00D50B6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C1135">
              <w:rPr>
                <w:rFonts w:eastAsia="Times New Roman"/>
                <w:color w:val="auto"/>
              </w:rPr>
              <w:t>Освоено всего (тыс.руб</w:t>
            </w:r>
            <w:r>
              <w:rPr>
                <w:rFonts w:eastAsia="Times New Roman"/>
                <w:color w:val="auto"/>
              </w:rPr>
              <w:t>.</w:t>
            </w:r>
            <w:r w:rsidRPr="00AC1135">
              <w:rPr>
                <w:rFonts w:eastAsia="Times New Roman"/>
                <w:color w:val="auto"/>
              </w:rPr>
              <w:t>)</w:t>
            </w:r>
          </w:p>
        </w:tc>
      </w:tr>
      <w:tr w:rsidR="00E44C9A" w:rsidRPr="00AC1135" w:rsidTr="00A66371">
        <w:trPr>
          <w:trHeight w:val="790"/>
        </w:trPr>
        <w:tc>
          <w:tcPr>
            <w:tcW w:w="2730" w:type="dxa"/>
            <w:vMerge/>
            <w:shd w:val="clear" w:color="auto" w:fill="auto"/>
          </w:tcPr>
          <w:p w:rsidR="00E44C9A" w:rsidRPr="00AC1135" w:rsidRDefault="00E44C9A" w:rsidP="00D50B65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E44C9A" w:rsidRPr="00AC1135" w:rsidRDefault="00E44C9A" w:rsidP="00D50B65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649" w:type="dxa"/>
            <w:shd w:val="clear" w:color="auto" w:fill="auto"/>
          </w:tcPr>
          <w:p w:rsidR="00E44C9A" w:rsidRPr="00AC1135" w:rsidRDefault="00E44C9A" w:rsidP="00D50B65">
            <w:pPr>
              <w:pStyle w:val="Default"/>
              <w:jc w:val="both"/>
              <w:rPr>
                <w:rFonts w:eastAsia="Times New Roman"/>
                <w:color w:val="auto"/>
              </w:rPr>
            </w:pPr>
            <w:proofErr w:type="spellStart"/>
            <w:r w:rsidRPr="00AC1135">
              <w:rPr>
                <w:rFonts w:eastAsia="Times New Roman"/>
                <w:color w:val="auto"/>
              </w:rPr>
              <w:t>Фед</w:t>
            </w:r>
            <w:proofErr w:type="spellEnd"/>
            <w:r w:rsidRPr="00AC1135">
              <w:rPr>
                <w:rFonts w:eastAsia="Times New Roman"/>
                <w:color w:val="auto"/>
              </w:rPr>
              <w:t>. бюджет (тыс.руб.)</w:t>
            </w:r>
          </w:p>
        </w:tc>
        <w:tc>
          <w:tcPr>
            <w:tcW w:w="1350" w:type="dxa"/>
            <w:shd w:val="clear" w:color="auto" w:fill="auto"/>
          </w:tcPr>
          <w:p w:rsidR="00E44C9A" w:rsidRPr="00AC1135" w:rsidRDefault="00E44C9A" w:rsidP="00D50B6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C1135">
              <w:rPr>
                <w:rFonts w:eastAsia="Times New Roman"/>
                <w:color w:val="auto"/>
              </w:rPr>
              <w:t>Обл. бюджет (тыс.руб.)</w:t>
            </w:r>
          </w:p>
        </w:tc>
        <w:tc>
          <w:tcPr>
            <w:tcW w:w="1950" w:type="dxa"/>
            <w:shd w:val="clear" w:color="auto" w:fill="auto"/>
          </w:tcPr>
          <w:p w:rsidR="00E44C9A" w:rsidRPr="00AC1135" w:rsidRDefault="00E44C9A" w:rsidP="00D50B6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C1135">
              <w:rPr>
                <w:rFonts w:eastAsia="Times New Roman"/>
                <w:color w:val="auto"/>
              </w:rPr>
              <w:t>Бюджет г.о.Тольятти (тыс.руб.)</w:t>
            </w:r>
          </w:p>
        </w:tc>
        <w:tc>
          <w:tcPr>
            <w:tcW w:w="1199" w:type="dxa"/>
            <w:vMerge/>
            <w:shd w:val="clear" w:color="auto" w:fill="auto"/>
          </w:tcPr>
          <w:p w:rsidR="00E44C9A" w:rsidRPr="00AC1135" w:rsidRDefault="00E44C9A" w:rsidP="00D50B65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</w:tr>
      <w:tr w:rsidR="00E44C9A" w:rsidRPr="00AC1135" w:rsidTr="00A66371">
        <w:trPr>
          <w:trHeight w:val="587"/>
        </w:trPr>
        <w:tc>
          <w:tcPr>
            <w:tcW w:w="2730" w:type="dxa"/>
            <w:shd w:val="clear" w:color="auto" w:fill="auto"/>
          </w:tcPr>
          <w:p w:rsidR="00E44C9A" w:rsidRPr="00AC1135" w:rsidRDefault="00E44C9A" w:rsidP="00D50B6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13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C1135">
              <w:rPr>
                <w:rFonts w:ascii="Times New Roman" w:hAnsi="Times New Roman"/>
                <w:sz w:val="24"/>
                <w:szCs w:val="24"/>
              </w:rPr>
              <w:t>оздание модельной муниципальной библиотеки</w:t>
            </w:r>
          </w:p>
        </w:tc>
        <w:tc>
          <w:tcPr>
            <w:tcW w:w="1500" w:type="dxa"/>
            <w:shd w:val="clear" w:color="auto" w:fill="auto"/>
          </w:tcPr>
          <w:p w:rsidR="00E44C9A" w:rsidRPr="00AC1135" w:rsidRDefault="00E44C9A" w:rsidP="00D50B65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AC1135">
              <w:rPr>
                <w:rFonts w:eastAsia="Times New Roman"/>
                <w:b/>
                <w:color w:val="auto"/>
              </w:rPr>
              <w:t>5 000,00</w:t>
            </w:r>
          </w:p>
          <w:p w:rsidR="00E44C9A" w:rsidRPr="00AC1135" w:rsidRDefault="00E44C9A" w:rsidP="00D50B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E44C9A" w:rsidRPr="00AC1135" w:rsidRDefault="00E44C9A" w:rsidP="00D50B65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AC1135">
              <w:rPr>
                <w:rFonts w:eastAsia="Times New Roman"/>
                <w:b/>
                <w:color w:val="auto"/>
              </w:rPr>
              <w:t>5 000,00</w:t>
            </w:r>
          </w:p>
        </w:tc>
        <w:tc>
          <w:tcPr>
            <w:tcW w:w="1350" w:type="dxa"/>
            <w:shd w:val="clear" w:color="auto" w:fill="auto"/>
          </w:tcPr>
          <w:p w:rsidR="00E44C9A" w:rsidRPr="00AC1135" w:rsidRDefault="00E44C9A" w:rsidP="00D50B65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113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E44C9A" w:rsidRPr="00AC1135" w:rsidRDefault="00E44C9A" w:rsidP="00D50B65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AC1135">
              <w:rPr>
                <w:rFonts w:eastAsia="Times New Roman"/>
                <w:b/>
                <w:color w:val="auto"/>
              </w:rPr>
              <w:t>0</w:t>
            </w:r>
          </w:p>
        </w:tc>
        <w:tc>
          <w:tcPr>
            <w:tcW w:w="1199" w:type="dxa"/>
            <w:shd w:val="clear" w:color="auto" w:fill="auto"/>
          </w:tcPr>
          <w:p w:rsidR="00E44C9A" w:rsidRPr="00EA4967" w:rsidRDefault="00E93312" w:rsidP="00E93312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E9331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E93312">
              <w:rPr>
                <w:b/>
              </w:rPr>
              <w:t>694</w:t>
            </w:r>
            <w:r>
              <w:rPr>
                <w:b/>
              </w:rPr>
              <w:t>,6</w:t>
            </w:r>
          </w:p>
        </w:tc>
      </w:tr>
      <w:tr w:rsidR="00E44C9A" w:rsidRPr="00AC1135" w:rsidTr="00A66371">
        <w:trPr>
          <w:trHeight w:val="2331"/>
        </w:trPr>
        <w:tc>
          <w:tcPr>
            <w:tcW w:w="2730" w:type="dxa"/>
            <w:shd w:val="clear" w:color="auto" w:fill="auto"/>
          </w:tcPr>
          <w:p w:rsidR="00E44C9A" w:rsidRPr="00AC1135" w:rsidRDefault="00E44C9A" w:rsidP="00D50B6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135">
              <w:rPr>
                <w:rFonts w:ascii="Times New Roman" w:hAnsi="Times New Roman"/>
                <w:bCs/>
                <w:sz w:val="24"/>
                <w:szCs w:val="24"/>
              </w:rPr>
              <w:t xml:space="preserve"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материалами.     </w:t>
            </w:r>
          </w:p>
        </w:tc>
        <w:tc>
          <w:tcPr>
            <w:tcW w:w="1500" w:type="dxa"/>
            <w:shd w:val="clear" w:color="auto" w:fill="auto"/>
          </w:tcPr>
          <w:p w:rsidR="00E44C9A" w:rsidRPr="00AC1135" w:rsidRDefault="00E44C9A" w:rsidP="00D50B65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AC1135">
              <w:rPr>
                <w:rFonts w:eastAsia="Times New Roman"/>
                <w:b/>
                <w:color w:val="auto"/>
              </w:rPr>
              <w:t>5 735,33</w:t>
            </w:r>
          </w:p>
        </w:tc>
        <w:tc>
          <w:tcPr>
            <w:tcW w:w="1649" w:type="dxa"/>
            <w:shd w:val="clear" w:color="auto" w:fill="auto"/>
          </w:tcPr>
          <w:p w:rsidR="00E44C9A" w:rsidRPr="00AC1135" w:rsidRDefault="00E44C9A" w:rsidP="00D50B65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AC1135">
              <w:rPr>
                <w:rFonts w:eastAsia="Times New Roman"/>
                <w:b/>
                <w:color w:val="auto"/>
              </w:rPr>
              <w:t>4 439,14</w:t>
            </w:r>
          </w:p>
        </w:tc>
        <w:tc>
          <w:tcPr>
            <w:tcW w:w="1350" w:type="dxa"/>
            <w:shd w:val="clear" w:color="auto" w:fill="auto"/>
          </w:tcPr>
          <w:p w:rsidR="00E44C9A" w:rsidRPr="00AC1135" w:rsidRDefault="00E44C9A" w:rsidP="00D50B65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1135">
              <w:rPr>
                <w:rFonts w:ascii="Times New Roman" w:eastAsia="Times New Roman" w:hAnsi="Times New Roman"/>
                <w:b/>
                <w:sz w:val="24"/>
                <w:szCs w:val="24"/>
              </w:rPr>
              <w:t>722,65</w:t>
            </w:r>
          </w:p>
        </w:tc>
        <w:tc>
          <w:tcPr>
            <w:tcW w:w="1950" w:type="dxa"/>
            <w:shd w:val="clear" w:color="auto" w:fill="auto"/>
          </w:tcPr>
          <w:p w:rsidR="00E44C9A" w:rsidRPr="00AC1135" w:rsidRDefault="00E44C9A" w:rsidP="00D50B65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AC1135">
              <w:rPr>
                <w:rFonts w:eastAsia="Times New Roman"/>
                <w:b/>
                <w:color w:val="auto"/>
              </w:rPr>
              <w:t>573,53</w:t>
            </w:r>
          </w:p>
        </w:tc>
        <w:tc>
          <w:tcPr>
            <w:tcW w:w="1199" w:type="dxa"/>
            <w:shd w:val="clear" w:color="auto" w:fill="auto"/>
          </w:tcPr>
          <w:p w:rsidR="00E44C9A" w:rsidRPr="00AC1135" w:rsidRDefault="00560E96" w:rsidP="00E93312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5 3</w:t>
            </w:r>
            <w:r w:rsidR="00E93312">
              <w:rPr>
                <w:rFonts w:eastAsia="Times New Roman"/>
                <w:b/>
                <w:color w:val="auto"/>
              </w:rPr>
              <w:t>78</w:t>
            </w:r>
            <w:r w:rsidR="00E44C9A" w:rsidRPr="00AC1135">
              <w:rPr>
                <w:rFonts w:eastAsia="Times New Roman"/>
                <w:b/>
                <w:color w:val="auto"/>
              </w:rPr>
              <w:t>,5</w:t>
            </w:r>
          </w:p>
        </w:tc>
      </w:tr>
      <w:tr w:rsidR="00E44C9A" w:rsidRPr="00AC1135" w:rsidTr="00A66371">
        <w:trPr>
          <w:trHeight w:val="522"/>
        </w:trPr>
        <w:tc>
          <w:tcPr>
            <w:tcW w:w="2730" w:type="dxa"/>
            <w:shd w:val="clear" w:color="auto" w:fill="auto"/>
          </w:tcPr>
          <w:p w:rsidR="00E44C9A" w:rsidRPr="00AC1135" w:rsidRDefault="00E44C9A" w:rsidP="00D50B6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135">
              <w:rPr>
                <w:rFonts w:ascii="Times New Roman" w:hAnsi="Times New Roman"/>
                <w:bCs/>
                <w:sz w:val="24"/>
                <w:szCs w:val="24"/>
              </w:rPr>
              <w:t>Техническое оснащение муниципальных музеев.</w:t>
            </w:r>
          </w:p>
        </w:tc>
        <w:tc>
          <w:tcPr>
            <w:tcW w:w="1500" w:type="dxa"/>
            <w:shd w:val="clear" w:color="auto" w:fill="auto"/>
          </w:tcPr>
          <w:p w:rsidR="00E44C9A" w:rsidRPr="00AC1135" w:rsidRDefault="00E44C9A" w:rsidP="00D50B65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AC1135">
              <w:rPr>
                <w:rFonts w:eastAsia="Times New Roman"/>
                <w:b/>
                <w:color w:val="auto"/>
              </w:rPr>
              <w:t>2 216,06</w:t>
            </w:r>
          </w:p>
        </w:tc>
        <w:tc>
          <w:tcPr>
            <w:tcW w:w="1649" w:type="dxa"/>
            <w:shd w:val="clear" w:color="auto" w:fill="auto"/>
          </w:tcPr>
          <w:p w:rsidR="00E44C9A" w:rsidRPr="00AC1135" w:rsidRDefault="00E44C9A" w:rsidP="00D50B65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AC1135">
              <w:rPr>
                <w:rFonts w:eastAsia="Times New Roman"/>
                <w:b/>
                <w:color w:val="auto"/>
              </w:rPr>
              <w:t>2 000,00</w:t>
            </w:r>
          </w:p>
        </w:tc>
        <w:tc>
          <w:tcPr>
            <w:tcW w:w="1350" w:type="dxa"/>
            <w:shd w:val="clear" w:color="auto" w:fill="auto"/>
          </w:tcPr>
          <w:p w:rsidR="00E44C9A" w:rsidRPr="00AC1135" w:rsidRDefault="00E44C9A" w:rsidP="00D50B65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1135">
              <w:rPr>
                <w:rFonts w:ascii="Times New Roman" w:eastAsia="Times New Roman" w:hAnsi="Times New Roman"/>
                <w:b/>
                <w:sz w:val="24"/>
                <w:szCs w:val="24"/>
              </w:rPr>
              <w:t>105,26</w:t>
            </w:r>
          </w:p>
        </w:tc>
        <w:tc>
          <w:tcPr>
            <w:tcW w:w="1950" w:type="dxa"/>
            <w:shd w:val="clear" w:color="auto" w:fill="auto"/>
          </w:tcPr>
          <w:p w:rsidR="00E44C9A" w:rsidRPr="00AC1135" w:rsidRDefault="00E44C9A" w:rsidP="00D50B65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AC1135">
              <w:rPr>
                <w:rFonts w:eastAsia="Times New Roman"/>
                <w:b/>
                <w:color w:val="auto"/>
              </w:rPr>
              <w:t>110,80</w:t>
            </w:r>
          </w:p>
        </w:tc>
        <w:tc>
          <w:tcPr>
            <w:tcW w:w="1199" w:type="dxa"/>
            <w:shd w:val="clear" w:color="auto" w:fill="auto"/>
          </w:tcPr>
          <w:p w:rsidR="00E44C9A" w:rsidRPr="00AC1135" w:rsidRDefault="00E93312" w:rsidP="00195B7B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b/>
                <w:bCs/>
              </w:rPr>
              <w:t>1 690,4</w:t>
            </w:r>
            <w:r w:rsidR="00195B7B" w:rsidRPr="00195B7B">
              <w:rPr>
                <w:b/>
                <w:bCs/>
              </w:rPr>
              <w:t xml:space="preserve"> </w:t>
            </w:r>
          </w:p>
        </w:tc>
      </w:tr>
      <w:tr w:rsidR="00E44C9A" w:rsidRPr="00AC1135" w:rsidTr="00A66371">
        <w:trPr>
          <w:trHeight w:val="253"/>
        </w:trPr>
        <w:tc>
          <w:tcPr>
            <w:tcW w:w="2730" w:type="dxa"/>
            <w:shd w:val="clear" w:color="auto" w:fill="auto"/>
          </w:tcPr>
          <w:p w:rsidR="00E44C9A" w:rsidRPr="00AC1135" w:rsidRDefault="00E44C9A" w:rsidP="00D50B65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1135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00" w:type="dxa"/>
            <w:shd w:val="clear" w:color="auto" w:fill="auto"/>
          </w:tcPr>
          <w:p w:rsidR="00E44C9A" w:rsidRPr="00AC1135" w:rsidRDefault="00E44C9A" w:rsidP="00D50B65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AC1135">
              <w:rPr>
                <w:rFonts w:eastAsia="Times New Roman"/>
                <w:b/>
                <w:color w:val="auto"/>
              </w:rPr>
              <w:t>12 951,39</w:t>
            </w:r>
          </w:p>
        </w:tc>
        <w:tc>
          <w:tcPr>
            <w:tcW w:w="1649" w:type="dxa"/>
            <w:shd w:val="clear" w:color="auto" w:fill="auto"/>
          </w:tcPr>
          <w:p w:rsidR="00E44C9A" w:rsidRPr="00AC1135" w:rsidRDefault="00E44C9A" w:rsidP="00D50B65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AC1135">
              <w:rPr>
                <w:rFonts w:eastAsia="Times New Roman"/>
                <w:b/>
                <w:color w:val="auto"/>
              </w:rPr>
              <w:t>11 439,14</w:t>
            </w:r>
          </w:p>
        </w:tc>
        <w:tc>
          <w:tcPr>
            <w:tcW w:w="1350" w:type="dxa"/>
            <w:shd w:val="clear" w:color="auto" w:fill="auto"/>
          </w:tcPr>
          <w:p w:rsidR="00E44C9A" w:rsidRPr="00AC1135" w:rsidRDefault="00E44C9A" w:rsidP="00D50B65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1135">
              <w:rPr>
                <w:rFonts w:ascii="Times New Roman" w:eastAsia="Times New Roman" w:hAnsi="Times New Roman"/>
                <w:b/>
                <w:sz w:val="24"/>
                <w:szCs w:val="24"/>
              </w:rPr>
              <w:t>827,91</w:t>
            </w:r>
          </w:p>
        </w:tc>
        <w:tc>
          <w:tcPr>
            <w:tcW w:w="1950" w:type="dxa"/>
            <w:shd w:val="clear" w:color="auto" w:fill="auto"/>
          </w:tcPr>
          <w:p w:rsidR="00E44C9A" w:rsidRPr="00AC1135" w:rsidRDefault="00E44C9A" w:rsidP="00D50B65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AC1135">
              <w:rPr>
                <w:rFonts w:eastAsia="Times New Roman"/>
                <w:b/>
                <w:color w:val="auto"/>
              </w:rPr>
              <w:t>684,34</w:t>
            </w:r>
          </w:p>
        </w:tc>
        <w:tc>
          <w:tcPr>
            <w:tcW w:w="1199" w:type="dxa"/>
            <w:shd w:val="clear" w:color="auto" w:fill="auto"/>
          </w:tcPr>
          <w:p w:rsidR="00E44C9A" w:rsidRPr="00AC1135" w:rsidRDefault="00560E96" w:rsidP="00E93312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 xml:space="preserve">11 </w:t>
            </w:r>
            <w:r w:rsidR="00E93312">
              <w:rPr>
                <w:rFonts w:eastAsia="Times New Roman"/>
                <w:b/>
                <w:color w:val="auto"/>
              </w:rPr>
              <w:t>763</w:t>
            </w:r>
            <w:r w:rsidR="00EA4967">
              <w:rPr>
                <w:rFonts w:eastAsia="Times New Roman"/>
                <w:b/>
                <w:color w:val="auto"/>
              </w:rPr>
              <w:t>,</w:t>
            </w:r>
            <w:r w:rsidR="00E93312">
              <w:rPr>
                <w:rFonts w:eastAsia="Times New Roman"/>
                <w:b/>
                <w:color w:val="auto"/>
              </w:rPr>
              <w:t>5</w:t>
            </w:r>
          </w:p>
        </w:tc>
      </w:tr>
    </w:tbl>
    <w:p w:rsidR="006A2132" w:rsidRDefault="006A2132" w:rsidP="002D5B92">
      <w:pPr>
        <w:pStyle w:val="Default"/>
        <w:jc w:val="center"/>
        <w:rPr>
          <w:b/>
          <w:color w:val="auto"/>
        </w:rPr>
      </w:pPr>
    </w:p>
    <w:p w:rsidR="006E60CB" w:rsidRPr="00A66371" w:rsidRDefault="00870F7F" w:rsidP="009A3DCD">
      <w:pPr>
        <w:autoSpaceDE w:val="0"/>
        <w:autoSpaceDN w:val="0"/>
        <w:adjustRightInd w:val="0"/>
        <w:ind w:right="-1" w:firstLine="283"/>
        <w:jc w:val="both"/>
        <w:rPr>
          <w:rFonts w:ascii="Times New Roman" w:hAnsi="Times New Roman"/>
          <w:sz w:val="24"/>
          <w:szCs w:val="24"/>
        </w:rPr>
      </w:pPr>
      <w:r w:rsidRPr="00BB471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775533" w:rsidRPr="00BB4710">
        <w:rPr>
          <w:rFonts w:ascii="Times New Roman" w:hAnsi="Times New Roman"/>
          <w:b/>
          <w:bCs/>
          <w:sz w:val="24"/>
          <w:szCs w:val="24"/>
        </w:rPr>
        <w:t>Мероприятие</w:t>
      </w:r>
      <w:r w:rsidR="003D41B2" w:rsidRPr="00BB4710">
        <w:rPr>
          <w:rFonts w:ascii="Times New Roman" w:hAnsi="Times New Roman"/>
          <w:b/>
          <w:bCs/>
          <w:sz w:val="24"/>
          <w:szCs w:val="24"/>
        </w:rPr>
        <w:t xml:space="preserve"> «С</w:t>
      </w:r>
      <w:r w:rsidR="003D41B2" w:rsidRPr="00BB4710">
        <w:rPr>
          <w:rFonts w:ascii="Times New Roman" w:hAnsi="Times New Roman"/>
          <w:b/>
          <w:sz w:val="24"/>
          <w:szCs w:val="24"/>
        </w:rPr>
        <w:t>оздание моде</w:t>
      </w:r>
      <w:r w:rsidRPr="00BB4710">
        <w:rPr>
          <w:rFonts w:ascii="Times New Roman" w:hAnsi="Times New Roman"/>
          <w:b/>
          <w:sz w:val="24"/>
          <w:szCs w:val="24"/>
        </w:rPr>
        <w:t>льной муниципальной библиотеки».</w:t>
      </w:r>
      <w:r w:rsidR="0015355C" w:rsidRPr="00BB4710">
        <w:rPr>
          <w:rFonts w:ascii="Times New Roman" w:hAnsi="Times New Roman"/>
          <w:b/>
          <w:sz w:val="24"/>
          <w:szCs w:val="24"/>
        </w:rPr>
        <w:t xml:space="preserve"> </w:t>
      </w:r>
      <w:r w:rsidR="0015355C">
        <w:rPr>
          <w:rFonts w:ascii="Times New Roman" w:hAnsi="Times New Roman"/>
          <w:sz w:val="24"/>
          <w:szCs w:val="24"/>
        </w:rPr>
        <w:t xml:space="preserve">Библиотека № 18 «Фолиант» муниципального бюджетного учреждения культуры г.о. Тольятти «Библиотеки </w:t>
      </w:r>
      <w:r w:rsidR="0015355C">
        <w:rPr>
          <w:rFonts w:ascii="Times New Roman" w:hAnsi="Times New Roman"/>
          <w:sz w:val="24"/>
          <w:szCs w:val="24"/>
        </w:rPr>
        <w:lastRenderedPageBreak/>
        <w:t>Тольятти» по адресу</w:t>
      </w:r>
      <w:r w:rsidR="0015355C" w:rsidRPr="0015355C">
        <w:rPr>
          <w:rFonts w:ascii="Times New Roman" w:hAnsi="Times New Roman"/>
          <w:sz w:val="24"/>
          <w:szCs w:val="24"/>
        </w:rPr>
        <w:t>:</w:t>
      </w:r>
      <w:r w:rsidR="0015355C">
        <w:rPr>
          <w:rFonts w:ascii="Times New Roman" w:hAnsi="Times New Roman"/>
          <w:sz w:val="24"/>
          <w:szCs w:val="24"/>
        </w:rPr>
        <w:t xml:space="preserve"> 445039, г. Тольятти, ул. 40 Лет Победы,114. </w:t>
      </w:r>
      <w:r w:rsidRPr="00F92012">
        <w:rPr>
          <w:rFonts w:ascii="Times New Roman" w:hAnsi="Times New Roman"/>
          <w:sz w:val="24"/>
          <w:szCs w:val="24"/>
        </w:rPr>
        <w:t>З</w:t>
      </w:r>
      <w:r w:rsidR="003D41B2" w:rsidRPr="00F92012">
        <w:rPr>
          <w:rFonts w:ascii="Times New Roman" w:hAnsi="Times New Roman"/>
          <w:bCs/>
          <w:sz w:val="24"/>
          <w:szCs w:val="24"/>
        </w:rPr>
        <w:t xml:space="preserve">аключено соглашение с министерством культуры Самарской области </w:t>
      </w:r>
      <w:r w:rsidRPr="00F92012">
        <w:rPr>
          <w:rFonts w:ascii="Times New Roman" w:hAnsi="Times New Roman"/>
          <w:bCs/>
          <w:sz w:val="24"/>
          <w:szCs w:val="24"/>
        </w:rPr>
        <w:t xml:space="preserve">о </w:t>
      </w:r>
      <w:r w:rsidRPr="00F92012">
        <w:rPr>
          <w:rFonts w:ascii="Times New Roman" w:hAnsi="Times New Roman"/>
          <w:sz w:val="24"/>
          <w:szCs w:val="24"/>
          <w:lang w:eastAsia="ru-RU"/>
        </w:rPr>
        <w:t>предоставлении из бюджетаСамарской области в 2022 году бюджету городского округа Тольятти иногомежбюджетного</w:t>
      </w:r>
      <w:r w:rsidRPr="00A66371">
        <w:rPr>
          <w:rFonts w:ascii="Times New Roman" w:hAnsi="Times New Roman"/>
          <w:sz w:val="24"/>
          <w:szCs w:val="24"/>
          <w:lang w:eastAsia="ru-RU"/>
        </w:rPr>
        <w:t xml:space="preserve"> трансферта, имеющего целевое назначение на создание модельныхмуниципальных библиотек в целях реализации национального проекта "Культура"</w:t>
      </w:r>
      <w:r w:rsidR="00775533" w:rsidRPr="00A66371">
        <w:rPr>
          <w:rFonts w:ascii="Times New Roman" w:hAnsi="Times New Roman"/>
          <w:sz w:val="24"/>
          <w:szCs w:val="24"/>
        </w:rPr>
        <w:t xml:space="preserve">№ 36740000-1-2022-013 </w:t>
      </w:r>
      <w:r w:rsidR="00775533" w:rsidRPr="00A66371">
        <w:rPr>
          <w:rFonts w:ascii="Times New Roman" w:hAnsi="Times New Roman"/>
          <w:bCs/>
          <w:sz w:val="24"/>
          <w:szCs w:val="24"/>
        </w:rPr>
        <w:t>от 02</w:t>
      </w:r>
      <w:r w:rsidR="00F02E69">
        <w:rPr>
          <w:rFonts w:ascii="Times New Roman" w:hAnsi="Times New Roman"/>
          <w:bCs/>
          <w:sz w:val="24"/>
          <w:szCs w:val="24"/>
        </w:rPr>
        <w:t xml:space="preserve"> </w:t>
      </w:r>
      <w:r w:rsidR="00775533" w:rsidRPr="00A66371">
        <w:rPr>
          <w:rFonts w:ascii="Times New Roman" w:hAnsi="Times New Roman"/>
          <w:bCs/>
          <w:sz w:val="24"/>
          <w:szCs w:val="24"/>
        </w:rPr>
        <w:t>февраля</w:t>
      </w:r>
      <w:r w:rsidR="003D41B2" w:rsidRPr="00A66371">
        <w:rPr>
          <w:rFonts w:ascii="Times New Roman" w:hAnsi="Times New Roman"/>
          <w:bCs/>
          <w:sz w:val="24"/>
          <w:szCs w:val="24"/>
        </w:rPr>
        <w:t xml:space="preserve"> 202</w:t>
      </w:r>
      <w:r w:rsidR="00775533" w:rsidRPr="00A66371">
        <w:rPr>
          <w:rFonts w:ascii="Times New Roman" w:hAnsi="Times New Roman"/>
          <w:bCs/>
          <w:sz w:val="24"/>
          <w:szCs w:val="24"/>
        </w:rPr>
        <w:t>2</w:t>
      </w:r>
      <w:r w:rsidR="003D41B2" w:rsidRPr="00A66371">
        <w:rPr>
          <w:rFonts w:ascii="Times New Roman" w:hAnsi="Times New Roman"/>
          <w:bCs/>
          <w:sz w:val="24"/>
          <w:szCs w:val="24"/>
        </w:rPr>
        <w:t xml:space="preserve"> года. В соответствии с Соглашением </w:t>
      </w:r>
      <w:r w:rsidRPr="00A66371">
        <w:rPr>
          <w:rFonts w:ascii="Times New Roman" w:hAnsi="Times New Roman"/>
          <w:bCs/>
          <w:sz w:val="24"/>
          <w:szCs w:val="24"/>
        </w:rPr>
        <w:t>финансовое обеспечение составляет</w:t>
      </w:r>
      <w:r w:rsidR="00F02E69">
        <w:rPr>
          <w:rFonts w:ascii="Times New Roman" w:hAnsi="Times New Roman"/>
          <w:bCs/>
          <w:sz w:val="24"/>
          <w:szCs w:val="24"/>
        </w:rPr>
        <w:t xml:space="preserve"> </w:t>
      </w:r>
      <w:r w:rsidR="00775533" w:rsidRPr="00A66371">
        <w:rPr>
          <w:rFonts w:ascii="Times New Roman" w:hAnsi="Times New Roman"/>
          <w:sz w:val="24"/>
          <w:szCs w:val="24"/>
        </w:rPr>
        <w:t>5</w:t>
      </w:r>
      <w:r w:rsidR="003D41B2" w:rsidRPr="00A66371">
        <w:rPr>
          <w:rFonts w:ascii="Times New Roman" w:hAnsi="Times New Roman"/>
          <w:sz w:val="24"/>
          <w:szCs w:val="24"/>
        </w:rPr>
        <w:t xml:space="preserve"> 000 000,00 руб. </w:t>
      </w:r>
    </w:p>
    <w:p w:rsidR="00143B55" w:rsidRPr="00A66371" w:rsidRDefault="00143B55" w:rsidP="00143B55">
      <w:pPr>
        <w:autoSpaceDE w:val="0"/>
        <w:autoSpaceDN w:val="0"/>
        <w:adjustRightInd w:val="0"/>
        <w:ind w:right="-1" w:firstLine="283"/>
        <w:jc w:val="both"/>
        <w:rPr>
          <w:rFonts w:ascii="Times New Roman" w:hAnsi="Times New Roman"/>
          <w:sz w:val="24"/>
          <w:szCs w:val="24"/>
        </w:rPr>
      </w:pPr>
      <w:r w:rsidRPr="00A66371">
        <w:rPr>
          <w:rFonts w:ascii="Times New Roman" w:hAnsi="Times New Roman"/>
          <w:bCs/>
          <w:sz w:val="24"/>
          <w:szCs w:val="24"/>
        </w:rPr>
        <w:t>В соответствии с Соглашением финансовое обеспечение составляет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6371">
        <w:rPr>
          <w:rFonts w:ascii="Times New Roman" w:hAnsi="Times New Roman"/>
          <w:sz w:val="24"/>
          <w:szCs w:val="24"/>
        </w:rPr>
        <w:t xml:space="preserve">5 000 000,00 руб. </w:t>
      </w:r>
    </w:p>
    <w:p w:rsidR="00143B55" w:rsidRPr="00143B55" w:rsidRDefault="00143B55" w:rsidP="00143B55">
      <w:pPr>
        <w:pStyle w:val="1"/>
        <w:spacing w:line="276" w:lineRule="auto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 w:rsidRPr="00143B55">
        <w:rPr>
          <w:rFonts w:ascii="Times New Roman" w:hAnsi="Times New Roman"/>
          <w:sz w:val="24"/>
          <w:szCs w:val="24"/>
          <w:u w:val="single"/>
        </w:rPr>
        <w:t xml:space="preserve">С единственным поставщиком: </w:t>
      </w:r>
    </w:p>
    <w:p w:rsidR="00143B55" w:rsidRPr="00143B55" w:rsidRDefault="00143B55" w:rsidP="00143B55">
      <w:pPr>
        <w:pStyle w:val="1"/>
        <w:spacing w:before="12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3B55">
        <w:rPr>
          <w:rFonts w:ascii="Times New Roman" w:hAnsi="Times New Roman"/>
          <w:sz w:val="24"/>
          <w:szCs w:val="24"/>
        </w:rPr>
        <w:t>Заключено 27 договоров на сумму 3 943,33 тыс. руб., в том числе на средства экономии на поставку оргтехники, проекционного оборудования, интерактивной панели, настольных игр, мебели, библиотечного фонда, информационных баз данных, на повышение квалификации сотрудников,   приобретение тактильных табличек и мнемосхемы (тактильная табличка, выполненная рельефно-точечным шрифтом Брайля, информационная мнемосхема (тактильная схема движения), точечным шрифтом Брайля, Табличка "Кнопка вызова персонала" со звонком), выполнение</w:t>
      </w:r>
      <w:proofErr w:type="gramEnd"/>
      <w:r w:rsidRPr="00143B55">
        <w:rPr>
          <w:rFonts w:ascii="Times New Roman" w:hAnsi="Times New Roman"/>
          <w:sz w:val="24"/>
          <w:szCs w:val="24"/>
        </w:rPr>
        <w:t xml:space="preserve"> ремонтных работ (замена унитаза, замена противопожарных дверей, установка защитных жалюзи-</w:t>
      </w:r>
      <w:proofErr w:type="spellStart"/>
      <w:r w:rsidRPr="00143B55">
        <w:rPr>
          <w:rFonts w:ascii="Times New Roman" w:hAnsi="Times New Roman"/>
          <w:sz w:val="24"/>
          <w:szCs w:val="24"/>
        </w:rPr>
        <w:t>ролставен</w:t>
      </w:r>
      <w:proofErr w:type="spellEnd"/>
      <w:r w:rsidRPr="00143B55">
        <w:rPr>
          <w:rFonts w:ascii="Times New Roman" w:hAnsi="Times New Roman"/>
          <w:sz w:val="24"/>
          <w:szCs w:val="24"/>
        </w:rPr>
        <w:t xml:space="preserve">, замена двери в санузел, покраска </w:t>
      </w:r>
      <w:proofErr w:type="spellStart"/>
      <w:r w:rsidRPr="00143B55">
        <w:rPr>
          <w:rFonts w:ascii="Times New Roman" w:hAnsi="Times New Roman"/>
          <w:sz w:val="24"/>
          <w:szCs w:val="24"/>
        </w:rPr>
        <w:t>элементовфасада</w:t>
      </w:r>
      <w:proofErr w:type="spellEnd"/>
      <w:r w:rsidRPr="00143B55">
        <w:rPr>
          <w:rFonts w:ascii="Times New Roman" w:hAnsi="Times New Roman"/>
          <w:sz w:val="24"/>
          <w:szCs w:val="24"/>
        </w:rPr>
        <w:t>)</w:t>
      </w:r>
    </w:p>
    <w:p w:rsidR="00143B55" w:rsidRPr="00143B55" w:rsidRDefault="00143B55" w:rsidP="00143B55">
      <w:pPr>
        <w:pStyle w:val="1"/>
        <w:spacing w:before="120" w:line="276" w:lineRule="auto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 w:rsidRPr="00143B55">
        <w:rPr>
          <w:rFonts w:ascii="Times New Roman" w:hAnsi="Times New Roman"/>
          <w:sz w:val="24"/>
          <w:szCs w:val="24"/>
          <w:u w:val="single"/>
        </w:rPr>
        <w:t>Закупки конкурентным способом (электронный аукцион):</w:t>
      </w:r>
    </w:p>
    <w:p w:rsidR="00143B55" w:rsidRPr="00143B55" w:rsidRDefault="00143B55" w:rsidP="00143B55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3B55" w:rsidRPr="00143B55" w:rsidRDefault="00143B55" w:rsidP="00143B55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3B55">
        <w:rPr>
          <w:rFonts w:ascii="Times New Roman" w:hAnsi="Times New Roman"/>
          <w:sz w:val="24"/>
          <w:szCs w:val="24"/>
        </w:rPr>
        <w:t xml:space="preserve">03.05.2022 заключен контракт с ООО «РЕГИОН-СТРОЙ». на сумму 1 120,1 </w:t>
      </w:r>
      <w:proofErr w:type="spellStart"/>
      <w:r w:rsidRPr="00143B55">
        <w:rPr>
          <w:rFonts w:ascii="Times New Roman" w:hAnsi="Times New Roman"/>
          <w:sz w:val="24"/>
          <w:szCs w:val="24"/>
        </w:rPr>
        <w:t>тыс</w:t>
      </w:r>
      <w:proofErr w:type="gramStart"/>
      <w:r w:rsidRPr="00143B55">
        <w:rPr>
          <w:rFonts w:ascii="Times New Roman" w:hAnsi="Times New Roman"/>
          <w:sz w:val="24"/>
          <w:szCs w:val="24"/>
        </w:rPr>
        <w:t>.р</w:t>
      </w:r>
      <w:proofErr w:type="gramEnd"/>
      <w:r w:rsidRPr="00143B55">
        <w:rPr>
          <w:rFonts w:ascii="Times New Roman" w:hAnsi="Times New Roman"/>
          <w:sz w:val="24"/>
          <w:szCs w:val="24"/>
        </w:rPr>
        <w:t>уб</w:t>
      </w:r>
      <w:proofErr w:type="spellEnd"/>
      <w:r w:rsidRPr="00143B55">
        <w:rPr>
          <w:rFonts w:ascii="Times New Roman" w:hAnsi="Times New Roman"/>
          <w:sz w:val="24"/>
          <w:szCs w:val="24"/>
        </w:rPr>
        <w:t xml:space="preserve">. на текущий ремонт помещения библиотеки № 18, ул. 40 лет Победы, д. 114  (установка внутренних перегородок с остеклением, ремонт пола, окрашивание стен, устройство навесных потолков, электромонтажные работы, устройство санузла для граждан с ограниченными возможностями) </w:t>
      </w:r>
    </w:p>
    <w:p w:rsidR="00143B55" w:rsidRPr="00143B55" w:rsidRDefault="00143B55" w:rsidP="00143B55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3B55">
        <w:rPr>
          <w:rFonts w:ascii="Times New Roman" w:hAnsi="Times New Roman"/>
          <w:sz w:val="24"/>
          <w:szCs w:val="24"/>
        </w:rPr>
        <w:t xml:space="preserve">22.06 учреждением приняты работы по контракту на сумму 1 056,67 </w:t>
      </w:r>
      <w:proofErr w:type="spellStart"/>
      <w:r w:rsidRPr="00143B55">
        <w:rPr>
          <w:rFonts w:ascii="Times New Roman" w:hAnsi="Times New Roman"/>
          <w:sz w:val="24"/>
          <w:szCs w:val="24"/>
        </w:rPr>
        <w:t>тыс</w:t>
      </w:r>
      <w:proofErr w:type="gramStart"/>
      <w:r w:rsidRPr="00143B55">
        <w:rPr>
          <w:rFonts w:ascii="Times New Roman" w:hAnsi="Times New Roman"/>
          <w:sz w:val="24"/>
          <w:szCs w:val="24"/>
        </w:rPr>
        <w:t>.р</w:t>
      </w:r>
      <w:proofErr w:type="gramEnd"/>
      <w:r w:rsidRPr="00143B55">
        <w:rPr>
          <w:rFonts w:ascii="Times New Roman" w:hAnsi="Times New Roman"/>
          <w:sz w:val="24"/>
          <w:szCs w:val="24"/>
        </w:rPr>
        <w:t>уб</w:t>
      </w:r>
      <w:proofErr w:type="spellEnd"/>
      <w:r w:rsidRPr="00143B55">
        <w:rPr>
          <w:rFonts w:ascii="Times New Roman" w:hAnsi="Times New Roman"/>
          <w:sz w:val="24"/>
          <w:szCs w:val="24"/>
        </w:rPr>
        <w:t xml:space="preserve">. </w:t>
      </w:r>
    </w:p>
    <w:p w:rsidR="00143B55" w:rsidRPr="00143B55" w:rsidRDefault="00143B55" w:rsidP="00143B55">
      <w:pPr>
        <w:pStyle w:val="a6"/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143B55">
        <w:rPr>
          <w:rFonts w:ascii="Times New Roman" w:hAnsi="Times New Roman"/>
          <w:sz w:val="24"/>
          <w:szCs w:val="24"/>
        </w:rPr>
        <w:t>Итого по мероприятию:</w:t>
      </w:r>
    </w:p>
    <w:p w:rsidR="00143B55" w:rsidRPr="00143B55" w:rsidRDefault="00143B55" w:rsidP="00143B55">
      <w:pPr>
        <w:pStyle w:val="a6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43B55">
        <w:rPr>
          <w:rFonts w:ascii="Times New Roman" w:hAnsi="Times New Roman"/>
          <w:sz w:val="24"/>
          <w:szCs w:val="24"/>
        </w:rPr>
        <w:t>План финансирования - 5 000 00,0 руб.</w:t>
      </w:r>
    </w:p>
    <w:p w:rsidR="00143B55" w:rsidRPr="00143B55" w:rsidRDefault="00143B55" w:rsidP="00143B55">
      <w:pPr>
        <w:pStyle w:val="a6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43B55">
        <w:rPr>
          <w:rFonts w:ascii="Times New Roman" w:hAnsi="Times New Roman"/>
          <w:sz w:val="24"/>
          <w:szCs w:val="24"/>
        </w:rPr>
        <w:t>Заключено договоров, в том числе на средства экономии – 5 000 000 руб.</w:t>
      </w:r>
    </w:p>
    <w:p w:rsidR="00143B55" w:rsidRPr="00143B55" w:rsidRDefault="00143B55" w:rsidP="00143B55">
      <w:pPr>
        <w:pStyle w:val="a6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43B55">
        <w:rPr>
          <w:rFonts w:ascii="Times New Roman" w:hAnsi="Times New Roman"/>
          <w:sz w:val="24"/>
          <w:szCs w:val="24"/>
        </w:rPr>
        <w:t>Освоено– 4 694</w:t>
      </w:r>
      <w:r w:rsidRPr="00143B55">
        <w:rPr>
          <w:rFonts w:ascii="Times New Roman" w:hAnsi="Times New Roman"/>
          <w:sz w:val="24"/>
          <w:szCs w:val="24"/>
          <w:lang w:val="en-US"/>
        </w:rPr>
        <w:t> </w:t>
      </w:r>
      <w:r w:rsidRPr="00143B55">
        <w:rPr>
          <w:rFonts w:ascii="Times New Roman" w:hAnsi="Times New Roman"/>
          <w:sz w:val="24"/>
          <w:szCs w:val="24"/>
        </w:rPr>
        <w:t xml:space="preserve">589,73 руб. (93,9 % от плана) </w:t>
      </w:r>
    </w:p>
    <w:p w:rsidR="00143B55" w:rsidRPr="00143B55" w:rsidRDefault="00143B55" w:rsidP="00143B55">
      <w:pPr>
        <w:pStyle w:val="a6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43B55">
        <w:rPr>
          <w:rFonts w:ascii="Times New Roman" w:hAnsi="Times New Roman"/>
          <w:sz w:val="24"/>
          <w:szCs w:val="24"/>
        </w:rPr>
        <w:t>Документы на перечисление сре</w:t>
      </w:r>
      <w:proofErr w:type="gramStart"/>
      <w:r w:rsidRPr="00143B55">
        <w:rPr>
          <w:rFonts w:ascii="Times New Roman" w:hAnsi="Times New Roman"/>
          <w:sz w:val="24"/>
          <w:szCs w:val="24"/>
        </w:rPr>
        <w:t>дств в р</w:t>
      </w:r>
      <w:proofErr w:type="gramEnd"/>
      <w:r w:rsidRPr="00143B55">
        <w:rPr>
          <w:rFonts w:ascii="Times New Roman" w:hAnsi="Times New Roman"/>
          <w:sz w:val="24"/>
          <w:szCs w:val="24"/>
        </w:rPr>
        <w:t>азмере 305 410,27 руб. направлены 20.09.2022 в министерство культуры С</w:t>
      </w:r>
      <w:r w:rsidR="00F236E3">
        <w:rPr>
          <w:rFonts w:ascii="Times New Roman" w:hAnsi="Times New Roman"/>
          <w:sz w:val="24"/>
          <w:szCs w:val="24"/>
        </w:rPr>
        <w:t>амарской области</w:t>
      </w:r>
      <w:r w:rsidRPr="00143B55">
        <w:rPr>
          <w:rFonts w:ascii="Times New Roman" w:hAnsi="Times New Roman"/>
          <w:sz w:val="24"/>
          <w:szCs w:val="24"/>
        </w:rPr>
        <w:t xml:space="preserve"> на оплату. Средства в администрацию </w:t>
      </w:r>
      <w:proofErr w:type="spellStart"/>
      <w:r w:rsidRPr="00143B55">
        <w:rPr>
          <w:rFonts w:ascii="Times New Roman" w:hAnsi="Times New Roman"/>
          <w:sz w:val="24"/>
          <w:szCs w:val="24"/>
        </w:rPr>
        <w:t>г.о</w:t>
      </w:r>
      <w:proofErr w:type="spellEnd"/>
      <w:r w:rsidRPr="00143B55">
        <w:rPr>
          <w:rFonts w:ascii="Times New Roman" w:hAnsi="Times New Roman"/>
          <w:sz w:val="24"/>
          <w:szCs w:val="24"/>
        </w:rPr>
        <w:t xml:space="preserve">. Тольятти не поступали.    </w:t>
      </w:r>
    </w:p>
    <w:p w:rsidR="0089355B" w:rsidRPr="00DD5543" w:rsidRDefault="006E60CB" w:rsidP="006C70AB">
      <w:pPr>
        <w:autoSpaceDE w:val="0"/>
        <w:autoSpaceDN w:val="0"/>
        <w:adjustRightInd w:val="0"/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 w:rsidRPr="00BB4710">
        <w:rPr>
          <w:rFonts w:ascii="Times New Roman" w:hAnsi="Times New Roman"/>
          <w:b/>
          <w:sz w:val="24"/>
          <w:szCs w:val="24"/>
        </w:rPr>
        <w:t xml:space="preserve">2. </w:t>
      </w:r>
      <w:r w:rsidR="005925BD" w:rsidRPr="00BB4710">
        <w:rPr>
          <w:rFonts w:ascii="Times New Roman" w:hAnsi="Times New Roman"/>
          <w:b/>
          <w:sz w:val="24"/>
          <w:szCs w:val="24"/>
        </w:rPr>
        <w:t>М</w:t>
      </w:r>
      <w:r w:rsidR="005925BD" w:rsidRPr="00BB4710">
        <w:rPr>
          <w:rFonts w:ascii="Times New Roman" w:hAnsi="Times New Roman"/>
          <w:b/>
          <w:bCs/>
          <w:sz w:val="24"/>
          <w:szCs w:val="24"/>
        </w:rPr>
        <w:t xml:space="preserve">ероприятие    </w:t>
      </w:r>
      <w:r w:rsidR="005925BD" w:rsidRPr="00BB4710">
        <w:rPr>
          <w:rFonts w:ascii="Times New Roman" w:hAnsi="Times New Roman"/>
          <w:b/>
          <w:sz w:val="24"/>
          <w:szCs w:val="24"/>
        </w:rPr>
        <w:t>«Оснащение образовательных учреждений в сфере культуры музыкальными инструментами, оборудованием, учебными материалами»</w:t>
      </w:r>
      <w:r w:rsidR="005925BD" w:rsidRPr="00DD5543">
        <w:rPr>
          <w:rFonts w:ascii="Times New Roman" w:hAnsi="Times New Roman"/>
          <w:sz w:val="24"/>
          <w:szCs w:val="24"/>
        </w:rPr>
        <w:t xml:space="preserve"> МБУДО ШИ </w:t>
      </w:r>
      <w:proofErr w:type="spellStart"/>
      <w:r w:rsidR="005925BD" w:rsidRPr="00DD5543">
        <w:rPr>
          <w:rFonts w:ascii="Times New Roman" w:hAnsi="Times New Roman"/>
          <w:sz w:val="24"/>
          <w:szCs w:val="24"/>
        </w:rPr>
        <w:t>им.М.А</w:t>
      </w:r>
      <w:proofErr w:type="spellEnd"/>
      <w:r w:rsidR="005925BD" w:rsidRPr="00DD5543">
        <w:rPr>
          <w:rFonts w:ascii="Times New Roman" w:hAnsi="Times New Roman"/>
          <w:sz w:val="24"/>
          <w:szCs w:val="24"/>
        </w:rPr>
        <w:t xml:space="preserve">. Балакирева </w:t>
      </w:r>
      <w:proofErr w:type="spellStart"/>
      <w:r w:rsidR="005925BD" w:rsidRPr="00DD5543">
        <w:rPr>
          <w:rFonts w:ascii="Times New Roman" w:hAnsi="Times New Roman"/>
          <w:sz w:val="24"/>
          <w:szCs w:val="24"/>
        </w:rPr>
        <w:t>г.о</w:t>
      </w:r>
      <w:proofErr w:type="spellEnd"/>
      <w:r w:rsidR="005925BD" w:rsidRPr="00DD5543">
        <w:rPr>
          <w:rFonts w:ascii="Times New Roman" w:hAnsi="Times New Roman"/>
          <w:sz w:val="24"/>
          <w:szCs w:val="24"/>
        </w:rPr>
        <w:t xml:space="preserve">. Тольятти. </w:t>
      </w:r>
      <w:r w:rsidR="0089355B" w:rsidRPr="00DD5543">
        <w:rPr>
          <w:rFonts w:ascii="Times New Roman" w:hAnsi="Times New Roman"/>
          <w:bCs/>
          <w:sz w:val="24"/>
          <w:szCs w:val="24"/>
        </w:rPr>
        <w:t xml:space="preserve">Заключено соглашение с министерством культуры Самарской области о </w:t>
      </w:r>
      <w:r w:rsidR="00AC56E3" w:rsidRPr="00DD5543">
        <w:rPr>
          <w:rFonts w:ascii="Times New Roman" w:hAnsi="Times New Roman"/>
          <w:sz w:val="24"/>
          <w:szCs w:val="24"/>
          <w:lang w:eastAsia="ru-RU"/>
        </w:rPr>
        <w:t>предоставление из бюджета Самарской области в 2022-2024 годах бюджету городского округа Тольятти субсидии на государственную поддержку отрасли культуры (оснащение образовательных учреждений в сфере культуры (детских школ искусств и училищ) музыкальными инструментами,оборудованием и учебными материалами)</w:t>
      </w:r>
      <w:r w:rsidR="0089355B" w:rsidRPr="00DD5543">
        <w:rPr>
          <w:rFonts w:ascii="Times New Roman" w:hAnsi="Times New Roman"/>
          <w:sz w:val="24"/>
          <w:szCs w:val="24"/>
        </w:rPr>
        <w:t xml:space="preserve">№ 36740000-1-2022-012 </w:t>
      </w:r>
      <w:r w:rsidR="0089355B" w:rsidRPr="00DD5543">
        <w:rPr>
          <w:rFonts w:ascii="Times New Roman" w:hAnsi="Times New Roman"/>
          <w:bCs/>
          <w:sz w:val="24"/>
          <w:szCs w:val="24"/>
        </w:rPr>
        <w:t xml:space="preserve">от 02 февраля 2022 года. </w:t>
      </w:r>
      <w:r w:rsidR="00990651" w:rsidRPr="00DD5543">
        <w:rPr>
          <w:rFonts w:ascii="Times New Roman" w:hAnsi="Times New Roman"/>
          <w:bCs/>
          <w:sz w:val="24"/>
          <w:szCs w:val="24"/>
        </w:rPr>
        <w:t xml:space="preserve">В соответствии с Соглашением финансовое обеспечение, </w:t>
      </w:r>
      <w:r w:rsidR="00990651" w:rsidRPr="00DD5543">
        <w:rPr>
          <w:rFonts w:ascii="Times New Roman" w:hAnsi="Times New Roman"/>
          <w:sz w:val="24"/>
          <w:szCs w:val="24"/>
        </w:rPr>
        <w:t xml:space="preserve">в 2022 году </w:t>
      </w:r>
      <w:r w:rsidR="00990651" w:rsidRPr="00DD5543">
        <w:rPr>
          <w:rFonts w:ascii="Times New Roman" w:hAnsi="Times New Roman"/>
          <w:bCs/>
          <w:sz w:val="24"/>
          <w:szCs w:val="24"/>
        </w:rPr>
        <w:t>составляет</w:t>
      </w:r>
      <w:r w:rsidR="00C11F45">
        <w:rPr>
          <w:rFonts w:ascii="Times New Roman" w:hAnsi="Times New Roman"/>
          <w:bCs/>
          <w:sz w:val="24"/>
          <w:szCs w:val="24"/>
        </w:rPr>
        <w:t xml:space="preserve"> </w:t>
      </w:r>
      <w:r w:rsidR="0089355B" w:rsidRPr="00DD5543">
        <w:rPr>
          <w:rFonts w:ascii="Times New Roman" w:hAnsi="Times New Roman"/>
          <w:sz w:val="24"/>
          <w:szCs w:val="24"/>
        </w:rPr>
        <w:t xml:space="preserve">5 735 325,16 руб. </w:t>
      </w:r>
    </w:p>
    <w:p w:rsidR="00F236E3" w:rsidRPr="00F236E3" w:rsidRDefault="00F236E3" w:rsidP="00F236E3">
      <w:pPr>
        <w:pStyle w:val="1"/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F236E3">
        <w:rPr>
          <w:rFonts w:ascii="Times New Roman" w:hAnsi="Times New Roman"/>
          <w:sz w:val="24"/>
          <w:szCs w:val="24"/>
          <w:u w:val="single"/>
        </w:rPr>
        <w:t>С единственным поставщиком:</w:t>
      </w:r>
    </w:p>
    <w:p w:rsidR="00F236E3" w:rsidRPr="00F236E3" w:rsidRDefault="00F236E3" w:rsidP="00F236E3">
      <w:pPr>
        <w:pStyle w:val="1"/>
        <w:spacing w:before="120"/>
        <w:jc w:val="both"/>
        <w:rPr>
          <w:rFonts w:ascii="Times New Roman" w:hAnsi="Times New Roman"/>
          <w:sz w:val="24"/>
          <w:szCs w:val="24"/>
        </w:rPr>
      </w:pPr>
      <w:r w:rsidRPr="00F236E3">
        <w:rPr>
          <w:rFonts w:ascii="Times New Roman" w:hAnsi="Times New Roman"/>
          <w:sz w:val="24"/>
          <w:szCs w:val="24"/>
        </w:rPr>
        <w:t xml:space="preserve">заключено 13 договоров на сумму 3 205,33 </w:t>
      </w:r>
      <w:proofErr w:type="spellStart"/>
      <w:r w:rsidRPr="00F236E3">
        <w:rPr>
          <w:rFonts w:ascii="Times New Roman" w:hAnsi="Times New Roman"/>
          <w:sz w:val="24"/>
          <w:szCs w:val="24"/>
        </w:rPr>
        <w:t>тыс</w:t>
      </w:r>
      <w:proofErr w:type="gramStart"/>
      <w:r w:rsidRPr="00F236E3">
        <w:rPr>
          <w:rFonts w:ascii="Times New Roman" w:hAnsi="Times New Roman"/>
          <w:sz w:val="24"/>
          <w:szCs w:val="24"/>
        </w:rPr>
        <w:t>.р</w:t>
      </w:r>
      <w:proofErr w:type="gramEnd"/>
      <w:r w:rsidRPr="00F236E3">
        <w:rPr>
          <w:rFonts w:ascii="Times New Roman" w:hAnsi="Times New Roman"/>
          <w:sz w:val="24"/>
          <w:szCs w:val="24"/>
        </w:rPr>
        <w:t>уб</w:t>
      </w:r>
      <w:proofErr w:type="spellEnd"/>
      <w:r w:rsidRPr="00F236E3">
        <w:rPr>
          <w:rFonts w:ascii="Times New Roman" w:hAnsi="Times New Roman"/>
          <w:sz w:val="24"/>
          <w:szCs w:val="24"/>
        </w:rPr>
        <w:t xml:space="preserve">. (в том числе за счет средств экономии) на поставку 44 музыкальных инструментов (баян, аккордеоны, балалайки, электрогитары, </w:t>
      </w:r>
      <w:proofErr w:type="spellStart"/>
      <w:r w:rsidRPr="00F236E3">
        <w:rPr>
          <w:rFonts w:ascii="Times New Roman" w:hAnsi="Times New Roman"/>
          <w:sz w:val="24"/>
          <w:szCs w:val="24"/>
        </w:rPr>
        <w:t>басгитары</w:t>
      </w:r>
      <w:proofErr w:type="spellEnd"/>
      <w:r w:rsidRPr="00F236E3">
        <w:rPr>
          <w:rFonts w:ascii="Times New Roman" w:hAnsi="Times New Roman"/>
          <w:sz w:val="24"/>
          <w:szCs w:val="24"/>
        </w:rPr>
        <w:t xml:space="preserve">, скрипки, виолончели, </w:t>
      </w:r>
      <w:proofErr w:type="spellStart"/>
      <w:r w:rsidRPr="00F236E3">
        <w:rPr>
          <w:rFonts w:ascii="Times New Roman" w:hAnsi="Times New Roman"/>
          <w:sz w:val="24"/>
          <w:szCs w:val="24"/>
        </w:rPr>
        <w:t>укулеле</w:t>
      </w:r>
      <w:proofErr w:type="spellEnd"/>
      <w:r w:rsidRPr="00F236E3">
        <w:rPr>
          <w:rFonts w:ascii="Times New Roman" w:hAnsi="Times New Roman"/>
          <w:sz w:val="24"/>
          <w:szCs w:val="24"/>
        </w:rPr>
        <w:t>, синтезатор, цифрового фортепиано, барабаны, колокольчики, гусли), оборудования (звуковое оборудование, пюпитры, 64 театральных кресла) и 255 единиц учебных материалов.</w:t>
      </w:r>
    </w:p>
    <w:p w:rsidR="00F236E3" w:rsidRPr="00F236E3" w:rsidRDefault="00F236E3" w:rsidP="00F236E3">
      <w:pPr>
        <w:pStyle w:val="1"/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F236E3">
        <w:rPr>
          <w:rFonts w:ascii="Times New Roman" w:hAnsi="Times New Roman"/>
          <w:sz w:val="24"/>
          <w:szCs w:val="24"/>
          <w:u w:val="single"/>
        </w:rPr>
        <w:lastRenderedPageBreak/>
        <w:t>Закупки конкурентным способом (электронный аукцион):</w:t>
      </w:r>
    </w:p>
    <w:p w:rsidR="00F236E3" w:rsidRPr="00F236E3" w:rsidRDefault="00F236E3" w:rsidP="00F236E3">
      <w:pPr>
        <w:pStyle w:val="1"/>
        <w:spacing w:before="120"/>
        <w:jc w:val="both"/>
        <w:rPr>
          <w:rFonts w:ascii="Times New Roman" w:hAnsi="Times New Roman"/>
          <w:sz w:val="24"/>
          <w:szCs w:val="24"/>
        </w:rPr>
      </w:pPr>
      <w:r w:rsidRPr="00F236E3">
        <w:rPr>
          <w:rFonts w:ascii="Times New Roman" w:hAnsi="Times New Roman"/>
          <w:sz w:val="24"/>
          <w:szCs w:val="24"/>
        </w:rPr>
        <w:t xml:space="preserve">Заключено 2 контракта на сумму 2 173,15 </w:t>
      </w:r>
      <w:proofErr w:type="spellStart"/>
      <w:r w:rsidRPr="00F236E3">
        <w:rPr>
          <w:rFonts w:ascii="Times New Roman" w:hAnsi="Times New Roman"/>
          <w:sz w:val="24"/>
          <w:szCs w:val="24"/>
        </w:rPr>
        <w:t>тыс</w:t>
      </w:r>
      <w:proofErr w:type="gramStart"/>
      <w:r w:rsidRPr="00F236E3">
        <w:rPr>
          <w:rFonts w:ascii="Times New Roman" w:hAnsi="Times New Roman"/>
          <w:sz w:val="24"/>
          <w:szCs w:val="24"/>
        </w:rPr>
        <w:t>.р</w:t>
      </w:r>
      <w:proofErr w:type="gramEnd"/>
      <w:r w:rsidRPr="00F236E3">
        <w:rPr>
          <w:rFonts w:ascii="Times New Roman" w:hAnsi="Times New Roman"/>
          <w:sz w:val="24"/>
          <w:szCs w:val="24"/>
        </w:rPr>
        <w:t>уб</w:t>
      </w:r>
      <w:proofErr w:type="spellEnd"/>
      <w:r w:rsidRPr="00F236E3">
        <w:rPr>
          <w:rFonts w:ascii="Times New Roman" w:hAnsi="Times New Roman"/>
          <w:sz w:val="24"/>
          <w:szCs w:val="24"/>
        </w:rPr>
        <w:t xml:space="preserve">. (на поставку рояля акустического на сумму 1 473,15 тыс. руб. и поставку интерактивных панелей со встроенным компьютером на сумму 700,0 тыс. руб.) </w:t>
      </w:r>
    </w:p>
    <w:p w:rsidR="00F236E3" w:rsidRPr="00F236E3" w:rsidRDefault="00F236E3" w:rsidP="00F236E3">
      <w:pPr>
        <w:pStyle w:val="a6"/>
        <w:spacing w:before="12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36E3">
        <w:rPr>
          <w:rFonts w:ascii="Times New Roman" w:hAnsi="Times New Roman"/>
          <w:sz w:val="24"/>
          <w:szCs w:val="24"/>
        </w:rPr>
        <w:t xml:space="preserve">Учреждением </w:t>
      </w:r>
      <w:proofErr w:type="gramStart"/>
      <w:r w:rsidRPr="00F236E3">
        <w:rPr>
          <w:rFonts w:ascii="Times New Roman" w:hAnsi="Times New Roman"/>
          <w:sz w:val="24"/>
          <w:szCs w:val="24"/>
        </w:rPr>
        <w:t>подготовлена и направлена</w:t>
      </w:r>
      <w:proofErr w:type="gramEnd"/>
      <w:r w:rsidRPr="00F236E3">
        <w:rPr>
          <w:rFonts w:ascii="Times New Roman" w:hAnsi="Times New Roman"/>
          <w:sz w:val="24"/>
          <w:szCs w:val="24"/>
        </w:rPr>
        <w:t xml:space="preserve"> заявка на закупку с использованием электронного аукциона на интерактивную панель 55 дюймов со встроенным компьютером (производство РФ) на сумму 356,85 тыс. руб.</w:t>
      </w:r>
    </w:p>
    <w:p w:rsidR="00F236E3" w:rsidRPr="00F236E3" w:rsidRDefault="00F236E3" w:rsidP="00F236E3">
      <w:pPr>
        <w:pStyle w:val="a6"/>
        <w:spacing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F236E3">
        <w:rPr>
          <w:rFonts w:ascii="Times New Roman" w:hAnsi="Times New Roman"/>
          <w:sz w:val="24"/>
          <w:szCs w:val="24"/>
        </w:rPr>
        <w:t xml:space="preserve">Заявка на согласовании в министерстве </w:t>
      </w:r>
      <w:r>
        <w:rPr>
          <w:rFonts w:ascii="Times New Roman" w:hAnsi="Times New Roman"/>
          <w:sz w:val="24"/>
          <w:szCs w:val="24"/>
        </w:rPr>
        <w:t>культуры</w:t>
      </w:r>
      <w:r w:rsidRPr="00F236E3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амарской области</w:t>
      </w:r>
      <w:r w:rsidRPr="00F236E3">
        <w:rPr>
          <w:rFonts w:ascii="Times New Roman" w:hAnsi="Times New Roman"/>
          <w:sz w:val="24"/>
          <w:szCs w:val="24"/>
        </w:rPr>
        <w:t>.</w:t>
      </w:r>
    </w:p>
    <w:p w:rsidR="00F236E3" w:rsidRPr="00F236E3" w:rsidRDefault="00F236E3" w:rsidP="00F236E3">
      <w:pPr>
        <w:pStyle w:val="a6"/>
        <w:spacing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F236E3" w:rsidRPr="00F236E3" w:rsidRDefault="00F236E3" w:rsidP="00F236E3">
      <w:pPr>
        <w:pStyle w:val="a6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6E3">
        <w:rPr>
          <w:rFonts w:ascii="Times New Roman" w:hAnsi="Times New Roman"/>
          <w:sz w:val="24"/>
          <w:szCs w:val="24"/>
        </w:rPr>
        <w:t>Итого по мероприятию:</w:t>
      </w:r>
    </w:p>
    <w:p w:rsidR="00F236E3" w:rsidRPr="00F236E3" w:rsidRDefault="00F236E3" w:rsidP="00F236E3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36E3">
        <w:rPr>
          <w:rFonts w:ascii="Times New Roman" w:hAnsi="Times New Roman"/>
          <w:sz w:val="24"/>
          <w:szCs w:val="24"/>
        </w:rPr>
        <w:t xml:space="preserve">План финансирования - </w:t>
      </w:r>
      <w:r w:rsidRPr="00F23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5 735 325,16 </w:t>
      </w:r>
      <w:r w:rsidRPr="00F236E3">
        <w:rPr>
          <w:rFonts w:ascii="Times New Roman" w:hAnsi="Times New Roman"/>
          <w:sz w:val="24"/>
          <w:szCs w:val="24"/>
        </w:rPr>
        <w:t>руб.</w:t>
      </w:r>
    </w:p>
    <w:p w:rsidR="00F236E3" w:rsidRPr="00F236E3" w:rsidRDefault="00F236E3" w:rsidP="00F236E3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36E3">
        <w:rPr>
          <w:rFonts w:ascii="Times New Roman" w:hAnsi="Times New Roman"/>
          <w:sz w:val="24"/>
          <w:szCs w:val="24"/>
        </w:rPr>
        <w:t>Заключено договоров – 5 378 475,16руб.</w:t>
      </w:r>
    </w:p>
    <w:p w:rsidR="00F236E3" w:rsidRPr="00F236E3" w:rsidRDefault="00F236E3" w:rsidP="00F236E3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36E3">
        <w:rPr>
          <w:rFonts w:ascii="Times New Roman" w:hAnsi="Times New Roman"/>
          <w:sz w:val="24"/>
          <w:szCs w:val="24"/>
        </w:rPr>
        <w:t>Экономия составляет –</w:t>
      </w:r>
      <w:r w:rsidRPr="00F236E3">
        <w:t xml:space="preserve"> </w:t>
      </w:r>
      <w:r w:rsidRPr="00F236E3">
        <w:rPr>
          <w:rFonts w:ascii="Times New Roman" w:hAnsi="Times New Roman"/>
          <w:sz w:val="24"/>
          <w:szCs w:val="24"/>
        </w:rPr>
        <w:t>356 850</w:t>
      </w:r>
      <w:r w:rsidRPr="00F23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,00 </w:t>
      </w:r>
      <w:r w:rsidRPr="00F236E3">
        <w:rPr>
          <w:rFonts w:ascii="Times New Roman" w:hAnsi="Times New Roman"/>
          <w:sz w:val="24"/>
          <w:szCs w:val="24"/>
        </w:rPr>
        <w:t>руб.</w:t>
      </w:r>
    </w:p>
    <w:p w:rsidR="00F236E3" w:rsidRPr="00F236E3" w:rsidRDefault="00F236E3" w:rsidP="00F236E3">
      <w:pPr>
        <w:pStyle w:val="a6"/>
        <w:ind w:right="-1"/>
        <w:jc w:val="both"/>
        <w:rPr>
          <w:rFonts w:ascii="Times New Roman" w:hAnsi="Times New Roman"/>
          <w:sz w:val="24"/>
          <w:szCs w:val="24"/>
        </w:rPr>
      </w:pPr>
      <w:r w:rsidRPr="00F236E3">
        <w:rPr>
          <w:rFonts w:ascii="Times New Roman" w:hAnsi="Times New Roman"/>
          <w:sz w:val="24"/>
          <w:szCs w:val="24"/>
        </w:rPr>
        <w:t>Освоено– 5 378 475,16 руб. (93,8% от плана)</w:t>
      </w:r>
    </w:p>
    <w:p w:rsidR="00F236E3" w:rsidRDefault="00F236E3" w:rsidP="00077EC1">
      <w:pPr>
        <w:pStyle w:val="a6"/>
        <w:spacing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3D41B2" w:rsidRPr="00DD5543" w:rsidRDefault="0084673C" w:rsidP="006C70AB">
      <w:pPr>
        <w:autoSpaceDE w:val="0"/>
        <w:autoSpaceDN w:val="0"/>
        <w:adjustRightInd w:val="0"/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 w:rsidRPr="00BB4710">
        <w:rPr>
          <w:rFonts w:ascii="Times New Roman" w:hAnsi="Times New Roman"/>
          <w:b/>
          <w:sz w:val="24"/>
          <w:szCs w:val="24"/>
        </w:rPr>
        <w:t xml:space="preserve">3. </w:t>
      </w:r>
      <w:r w:rsidR="00767ACB" w:rsidRPr="00BB4710">
        <w:rPr>
          <w:rFonts w:ascii="Times New Roman" w:hAnsi="Times New Roman"/>
          <w:b/>
          <w:sz w:val="24"/>
          <w:szCs w:val="24"/>
        </w:rPr>
        <w:t>Мероприятие «Техническое оснащение муниципальных музеев»</w:t>
      </w:r>
      <w:r w:rsidR="00A94246" w:rsidRPr="00BB4710">
        <w:rPr>
          <w:rFonts w:ascii="Times New Roman" w:hAnsi="Times New Roman"/>
          <w:b/>
          <w:sz w:val="24"/>
          <w:szCs w:val="24"/>
        </w:rPr>
        <w:t>.</w:t>
      </w:r>
      <w:r w:rsidR="00A94246" w:rsidRPr="00DD5543">
        <w:rPr>
          <w:rFonts w:ascii="Times New Roman" w:hAnsi="Times New Roman"/>
          <w:sz w:val="24"/>
          <w:szCs w:val="24"/>
        </w:rPr>
        <w:t xml:space="preserve"> МБУК г.о.Тольятти «Тольяттинский художественный музей». </w:t>
      </w:r>
      <w:r w:rsidR="00A94246" w:rsidRPr="00DD5543">
        <w:rPr>
          <w:rFonts w:ascii="Times New Roman" w:hAnsi="Times New Roman"/>
          <w:bCs/>
          <w:sz w:val="24"/>
          <w:szCs w:val="24"/>
        </w:rPr>
        <w:t xml:space="preserve">Заключено соглашение с министерством культуры Самарской области о </w:t>
      </w:r>
      <w:r w:rsidRPr="00DD5543">
        <w:rPr>
          <w:rFonts w:ascii="Times New Roman" w:hAnsi="Times New Roman"/>
          <w:sz w:val="24"/>
          <w:szCs w:val="24"/>
          <w:lang w:eastAsia="ru-RU"/>
        </w:rPr>
        <w:t>предоставлении из бюджета Самарской области в 2022-2024 году бюджету городского округа Тольятти субсидии на техническое оснащение муниципальных музеев</w:t>
      </w:r>
      <w:r w:rsidR="00A94246" w:rsidRPr="00DD5543">
        <w:rPr>
          <w:rFonts w:ascii="Times New Roman" w:hAnsi="Times New Roman"/>
          <w:sz w:val="24"/>
          <w:szCs w:val="24"/>
        </w:rPr>
        <w:t xml:space="preserve">№ 36740000-1-2022-014 </w:t>
      </w:r>
      <w:r w:rsidR="00A94246" w:rsidRPr="00DD5543">
        <w:rPr>
          <w:rFonts w:ascii="Times New Roman" w:hAnsi="Times New Roman"/>
          <w:bCs/>
          <w:sz w:val="24"/>
          <w:szCs w:val="24"/>
        </w:rPr>
        <w:t>от 02 февраля 2022 года.</w:t>
      </w:r>
      <w:r w:rsidR="000576AF" w:rsidRPr="00DD5543">
        <w:rPr>
          <w:rFonts w:ascii="Times New Roman" w:hAnsi="Times New Roman"/>
          <w:bCs/>
          <w:sz w:val="24"/>
          <w:szCs w:val="24"/>
        </w:rPr>
        <w:t xml:space="preserve"> В соответствии с Соглашением финансовое обеспечение составляет</w:t>
      </w:r>
      <w:r w:rsidR="008B5D80">
        <w:rPr>
          <w:rFonts w:ascii="Times New Roman" w:hAnsi="Times New Roman"/>
          <w:bCs/>
          <w:sz w:val="24"/>
          <w:szCs w:val="24"/>
        </w:rPr>
        <w:t xml:space="preserve"> </w:t>
      </w:r>
      <w:r w:rsidR="00A94246" w:rsidRPr="00DD5543">
        <w:rPr>
          <w:rFonts w:ascii="Times New Roman" w:hAnsi="Times New Roman"/>
          <w:sz w:val="24"/>
          <w:szCs w:val="24"/>
        </w:rPr>
        <w:t xml:space="preserve">2 216 066,48 руб. </w:t>
      </w:r>
    </w:p>
    <w:p w:rsidR="00AB2D4F" w:rsidRPr="00DD5543" w:rsidRDefault="00AB2D4F" w:rsidP="00AB2D4F">
      <w:pPr>
        <w:pStyle w:val="a6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D5543">
        <w:rPr>
          <w:rFonts w:ascii="Times New Roman" w:hAnsi="Times New Roman"/>
          <w:sz w:val="24"/>
          <w:szCs w:val="24"/>
        </w:rPr>
        <w:t>Итого по мероприятию:</w:t>
      </w:r>
    </w:p>
    <w:p w:rsidR="00AB2D4F" w:rsidRPr="00DD5543" w:rsidRDefault="00AB2D4F" w:rsidP="00AB2D4F">
      <w:pPr>
        <w:pStyle w:val="a6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D5543">
        <w:rPr>
          <w:rFonts w:ascii="Times New Roman" w:hAnsi="Times New Roman"/>
          <w:sz w:val="24"/>
          <w:szCs w:val="24"/>
        </w:rPr>
        <w:t xml:space="preserve">План финансирования </w:t>
      </w:r>
      <w:r w:rsidR="00C0027C" w:rsidRPr="00DD5543">
        <w:rPr>
          <w:rFonts w:ascii="Times New Roman" w:hAnsi="Times New Roman"/>
          <w:sz w:val="24"/>
          <w:szCs w:val="24"/>
        </w:rPr>
        <w:t>–</w:t>
      </w:r>
      <w:r w:rsidR="006003DF" w:rsidRPr="00DD5543">
        <w:rPr>
          <w:rFonts w:ascii="Times New Roman" w:hAnsi="Times New Roman"/>
          <w:sz w:val="24"/>
          <w:szCs w:val="24"/>
        </w:rPr>
        <w:t xml:space="preserve">2 216 066,48 </w:t>
      </w:r>
      <w:r w:rsidRPr="00DD5543">
        <w:rPr>
          <w:rFonts w:ascii="Times New Roman" w:hAnsi="Times New Roman"/>
          <w:sz w:val="24"/>
          <w:szCs w:val="24"/>
        </w:rPr>
        <w:t>руб.</w:t>
      </w:r>
    </w:p>
    <w:p w:rsidR="00AB2D4F" w:rsidRPr="00B6611F" w:rsidRDefault="000202CC" w:rsidP="00AB2D4F">
      <w:pPr>
        <w:pStyle w:val="a6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6611F">
        <w:rPr>
          <w:rFonts w:ascii="Times New Roman" w:hAnsi="Times New Roman"/>
          <w:sz w:val="24"/>
          <w:szCs w:val="24"/>
        </w:rPr>
        <w:t xml:space="preserve">Заключено договоров, в том числе на средства экономии </w:t>
      </w:r>
      <w:r w:rsidR="00AB2D4F" w:rsidRPr="00B6611F">
        <w:rPr>
          <w:rFonts w:ascii="Times New Roman" w:hAnsi="Times New Roman"/>
          <w:sz w:val="24"/>
          <w:szCs w:val="24"/>
        </w:rPr>
        <w:t xml:space="preserve">– </w:t>
      </w:r>
      <w:r w:rsidR="0025336B" w:rsidRPr="00B6611F">
        <w:rPr>
          <w:rFonts w:ascii="Times New Roman" w:hAnsi="Times New Roman"/>
          <w:sz w:val="24"/>
          <w:szCs w:val="24"/>
        </w:rPr>
        <w:t>2 144 972</w:t>
      </w:r>
      <w:r w:rsidR="00BC6AB9" w:rsidRPr="00B6611F">
        <w:rPr>
          <w:rFonts w:ascii="Times New Roman" w:hAnsi="Times New Roman"/>
          <w:sz w:val="24"/>
          <w:szCs w:val="24"/>
        </w:rPr>
        <w:t>,00</w:t>
      </w:r>
      <w:r w:rsidR="00F52CA8" w:rsidRPr="00B6611F">
        <w:rPr>
          <w:rFonts w:ascii="Times New Roman" w:hAnsi="Times New Roman"/>
          <w:sz w:val="24"/>
          <w:szCs w:val="24"/>
        </w:rPr>
        <w:t xml:space="preserve"> </w:t>
      </w:r>
      <w:r w:rsidR="00AB2D4F" w:rsidRPr="00B6611F">
        <w:rPr>
          <w:rFonts w:ascii="Times New Roman" w:hAnsi="Times New Roman"/>
          <w:sz w:val="24"/>
          <w:szCs w:val="24"/>
        </w:rPr>
        <w:t>руб.</w:t>
      </w:r>
    </w:p>
    <w:p w:rsidR="00AB2D4F" w:rsidRPr="00B6611F" w:rsidRDefault="00AB2D4F" w:rsidP="00AB2D4F">
      <w:pPr>
        <w:pStyle w:val="a6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6611F">
        <w:rPr>
          <w:rFonts w:ascii="Times New Roman" w:hAnsi="Times New Roman"/>
          <w:sz w:val="24"/>
          <w:szCs w:val="24"/>
        </w:rPr>
        <w:t>Экономия</w:t>
      </w:r>
      <w:r w:rsidR="00DF1631" w:rsidRPr="00B6611F">
        <w:rPr>
          <w:rFonts w:ascii="Times New Roman" w:hAnsi="Times New Roman"/>
          <w:sz w:val="24"/>
          <w:szCs w:val="24"/>
        </w:rPr>
        <w:t xml:space="preserve"> </w:t>
      </w:r>
      <w:r w:rsidRPr="00B6611F">
        <w:rPr>
          <w:rFonts w:ascii="Times New Roman" w:hAnsi="Times New Roman"/>
          <w:sz w:val="24"/>
          <w:szCs w:val="24"/>
        </w:rPr>
        <w:t>составляет –</w:t>
      </w:r>
      <w:r w:rsidR="00397499" w:rsidRPr="00B6611F">
        <w:rPr>
          <w:rFonts w:ascii="Times New Roman" w:hAnsi="Times New Roman"/>
          <w:sz w:val="24"/>
          <w:szCs w:val="24"/>
        </w:rPr>
        <w:t xml:space="preserve"> 71 094</w:t>
      </w:r>
      <w:r w:rsidR="00BC6AB9" w:rsidRPr="00B6611F">
        <w:rPr>
          <w:rFonts w:ascii="Times New Roman" w:hAnsi="Times New Roman"/>
          <w:sz w:val="24"/>
          <w:szCs w:val="24"/>
        </w:rPr>
        <w:t>,48</w:t>
      </w:r>
      <w:r w:rsidRPr="00B6611F">
        <w:rPr>
          <w:rFonts w:ascii="Times New Roman" w:hAnsi="Times New Roman"/>
          <w:sz w:val="24"/>
          <w:szCs w:val="24"/>
        </w:rPr>
        <w:t xml:space="preserve"> руб.</w:t>
      </w:r>
    </w:p>
    <w:p w:rsidR="00AB2D4F" w:rsidRPr="00B6611F" w:rsidRDefault="00AB2D4F" w:rsidP="00AB2D4F">
      <w:pPr>
        <w:pStyle w:val="a6"/>
        <w:spacing w:line="276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B6611F">
        <w:rPr>
          <w:rFonts w:ascii="Times New Roman" w:hAnsi="Times New Roman"/>
          <w:sz w:val="24"/>
          <w:szCs w:val="24"/>
        </w:rPr>
        <w:t>Освоено–</w:t>
      </w:r>
      <w:r w:rsidR="00F52CA8" w:rsidRPr="00B6611F">
        <w:rPr>
          <w:rFonts w:ascii="Times New Roman" w:hAnsi="Times New Roman"/>
          <w:bCs/>
          <w:sz w:val="24"/>
          <w:szCs w:val="24"/>
        </w:rPr>
        <w:t>1 690 372,00</w:t>
      </w:r>
      <w:r w:rsidR="00195B7B" w:rsidRPr="00B6611F">
        <w:rPr>
          <w:rFonts w:ascii="Times New Roman" w:hAnsi="Times New Roman"/>
          <w:bCs/>
          <w:sz w:val="24"/>
          <w:szCs w:val="24"/>
        </w:rPr>
        <w:t xml:space="preserve"> тыс.</w:t>
      </w:r>
      <w:r w:rsidR="00FC6DFA" w:rsidRPr="00B6611F">
        <w:rPr>
          <w:rFonts w:ascii="Times New Roman" w:hAnsi="Times New Roman"/>
          <w:bCs/>
          <w:sz w:val="24"/>
          <w:szCs w:val="24"/>
        </w:rPr>
        <w:t xml:space="preserve"> </w:t>
      </w:r>
      <w:r w:rsidR="00195B7B" w:rsidRPr="00B6611F">
        <w:rPr>
          <w:rFonts w:ascii="Times New Roman" w:hAnsi="Times New Roman"/>
          <w:bCs/>
          <w:sz w:val="24"/>
          <w:szCs w:val="24"/>
        </w:rPr>
        <w:t>руб. (76,28% от плана)</w:t>
      </w:r>
      <w:r w:rsidR="00FC6DFA" w:rsidRPr="00B6611F">
        <w:rPr>
          <w:rFonts w:ascii="Times New Roman" w:hAnsi="Times New Roman"/>
          <w:bCs/>
          <w:sz w:val="24"/>
          <w:szCs w:val="24"/>
        </w:rPr>
        <w:t>.</w:t>
      </w:r>
    </w:p>
    <w:p w:rsidR="00FC6DFA" w:rsidRDefault="00FC6DFA" w:rsidP="00AB2D4F">
      <w:pPr>
        <w:pStyle w:val="a6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F332B" w:rsidRDefault="00400226" w:rsidP="004F332B">
      <w:pPr>
        <w:pStyle w:val="a6"/>
        <w:spacing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400226">
        <w:rPr>
          <w:rFonts w:ascii="Times New Roman" w:hAnsi="Times New Roman"/>
          <w:sz w:val="24"/>
          <w:szCs w:val="24"/>
        </w:rPr>
        <w:t xml:space="preserve">Планировалось заключить </w:t>
      </w:r>
      <w:r>
        <w:rPr>
          <w:rFonts w:ascii="Times New Roman" w:hAnsi="Times New Roman"/>
          <w:sz w:val="24"/>
          <w:szCs w:val="24"/>
        </w:rPr>
        <w:t xml:space="preserve">8 договоров </w:t>
      </w:r>
      <w:r w:rsidRPr="00400226">
        <w:rPr>
          <w:rFonts w:ascii="Times New Roman" w:hAnsi="Times New Roman"/>
          <w:sz w:val="24"/>
          <w:szCs w:val="24"/>
          <w:lang w:val="en-US"/>
        </w:rPr>
        <w:t>c</w:t>
      </w:r>
      <w:r w:rsidR="007C3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единственным поставщиком.</w:t>
      </w:r>
      <w:r w:rsidR="007C31A1">
        <w:rPr>
          <w:rFonts w:ascii="Times New Roman" w:hAnsi="Times New Roman"/>
          <w:sz w:val="24"/>
          <w:szCs w:val="24"/>
        </w:rPr>
        <w:t xml:space="preserve"> </w:t>
      </w:r>
      <w:r w:rsidRPr="00400226">
        <w:rPr>
          <w:rFonts w:ascii="Times New Roman" w:hAnsi="Times New Roman"/>
          <w:sz w:val="24"/>
          <w:szCs w:val="24"/>
        </w:rPr>
        <w:t xml:space="preserve">Все договоры заключены. Сумма экономии сложилась в результате проведения закупок через электронный магазин </w:t>
      </w:r>
      <w:r w:rsidRPr="00400226">
        <w:rPr>
          <w:rFonts w:ascii="Times New Roman" w:hAnsi="Times New Roman"/>
          <w:sz w:val="24"/>
          <w:szCs w:val="24"/>
          <w:lang w:val="en-US"/>
        </w:rPr>
        <w:t>OTC</w:t>
      </w:r>
      <w:r w:rsidRPr="00400226">
        <w:rPr>
          <w:rFonts w:ascii="Times New Roman" w:hAnsi="Times New Roman"/>
          <w:sz w:val="24"/>
          <w:szCs w:val="24"/>
        </w:rPr>
        <w:t>-</w:t>
      </w:r>
      <w:r w:rsidRPr="00400226">
        <w:rPr>
          <w:rFonts w:ascii="Times New Roman" w:hAnsi="Times New Roman"/>
          <w:sz w:val="24"/>
          <w:szCs w:val="24"/>
          <w:lang w:val="en-US"/>
        </w:rPr>
        <w:t>market</w:t>
      </w:r>
      <w:r>
        <w:rPr>
          <w:rFonts w:ascii="Times New Roman" w:hAnsi="Times New Roman"/>
          <w:sz w:val="24"/>
          <w:szCs w:val="24"/>
        </w:rPr>
        <w:t>.</w:t>
      </w:r>
    </w:p>
    <w:p w:rsidR="000C7192" w:rsidRDefault="0025336B" w:rsidP="004F332B">
      <w:pPr>
        <w:pStyle w:val="a6"/>
        <w:spacing w:line="276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средства экономии заключено 3</w:t>
      </w:r>
      <w:r w:rsidR="008B5D80" w:rsidRPr="008012E4">
        <w:rPr>
          <w:rFonts w:ascii="Times New Roman" w:hAnsi="Times New Roman"/>
          <w:sz w:val="24"/>
          <w:szCs w:val="24"/>
        </w:rPr>
        <w:t xml:space="preserve"> договора с единственным поставщиком на сумму</w:t>
      </w:r>
      <w:r w:rsidR="008012E4" w:rsidRPr="00801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454</w:t>
      </w:r>
      <w:r w:rsidR="008012E4" w:rsidRPr="008012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="008012E4" w:rsidRPr="008012E4">
        <w:rPr>
          <w:rFonts w:ascii="Times New Roman" w:hAnsi="Times New Roman"/>
          <w:sz w:val="24"/>
          <w:szCs w:val="24"/>
        </w:rPr>
        <w:t>00</w:t>
      </w:r>
      <w:r w:rsidR="00764A1A">
        <w:rPr>
          <w:rFonts w:ascii="Times New Roman" w:hAnsi="Times New Roman"/>
          <w:sz w:val="24"/>
          <w:szCs w:val="24"/>
        </w:rPr>
        <w:t xml:space="preserve"> </w:t>
      </w:r>
      <w:r w:rsidR="008012E4" w:rsidRPr="008012E4">
        <w:rPr>
          <w:rFonts w:ascii="Times New Roman" w:hAnsi="Times New Roman"/>
          <w:sz w:val="24"/>
          <w:szCs w:val="24"/>
        </w:rPr>
        <w:t>руб.</w:t>
      </w:r>
      <w:r w:rsidR="00F52CA8">
        <w:rPr>
          <w:rFonts w:ascii="Times New Roman" w:hAnsi="Times New Roman"/>
          <w:sz w:val="24"/>
          <w:szCs w:val="24"/>
        </w:rPr>
        <w:t xml:space="preserve"> В </w:t>
      </w:r>
      <w:r w:rsidR="00F52CA8" w:rsidRPr="00400226">
        <w:rPr>
          <w:rFonts w:ascii="Times New Roman" w:hAnsi="Times New Roman"/>
          <w:sz w:val="24"/>
          <w:szCs w:val="24"/>
        </w:rPr>
        <w:t xml:space="preserve">результате проведения закупок через электронный магазин </w:t>
      </w:r>
      <w:r w:rsidR="00F52CA8" w:rsidRPr="00400226">
        <w:rPr>
          <w:rFonts w:ascii="Times New Roman" w:hAnsi="Times New Roman"/>
          <w:sz w:val="24"/>
          <w:szCs w:val="24"/>
          <w:lang w:val="en-US"/>
        </w:rPr>
        <w:t>OTC</w:t>
      </w:r>
      <w:r w:rsidR="00F52CA8" w:rsidRPr="00400226">
        <w:rPr>
          <w:rFonts w:ascii="Times New Roman" w:hAnsi="Times New Roman"/>
          <w:sz w:val="24"/>
          <w:szCs w:val="24"/>
        </w:rPr>
        <w:t>-</w:t>
      </w:r>
      <w:r w:rsidR="00F52CA8" w:rsidRPr="00400226">
        <w:rPr>
          <w:rFonts w:ascii="Times New Roman" w:hAnsi="Times New Roman"/>
          <w:sz w:val="24"/>
          <w:szCs w:val="24"/>
          <w:lang w:val="en-US"/>
        </w:rPr>
        <w:t>market</w:t>
      </w:r>
      <w:r w:rsidR="00F52CA8">
        <w:rPr>
          <w:rFonts w:ascii="Times New Roman" w:hAnsi="Times New Roman"/>
          <w:sz w:val="24"/>
          <w:szCs w:val="24"/>
        </w:rPr>
        <w:t xml:space="preserve"> сложилась экономия в размере 71,094 руб.</w:t>
      </w:r>
      <w:r w:rsidR="000C7192">
        <w:rPr>
          <w:rFonts w:ascii="Times New Roman" w:hAnsi="Times New Roman"/>
          <w:sz w:val="24"/>
          <w:szCs w:val="24"/>
        </w:rPr>
        <w:t xml:space="preserve"> З</w:t>
      </w:r>
      <w:r w:rsidR="000C7192" w:rsidRPr="008012E4">
        <w:rPr>
          <w:rFonts w:ascii="Times New Roman" w:hAnsi="Times New Roman"/>
          <w:sz w:val="24"/>
          <w:szCs w:val="24"/>
        </w:rPr>
        <w:t>а счет средств экономии  планируется заключить 1 договор с единственным поставщиком</w:t>
      </w:r>
      <w:r w:rsidR="000C7192">
        <w:rPr>
          <w:rFonts w:ascii="Times New Roman" w:hAnsi="Times New Roman"/>
          <w:sz w:val="24"/>
          <w:szCs w:val="24"/>
        </w:rPr>
        <w:t xml:space="preserve"> до 30.09.2022г.</w:t>
      </w:r>
    </w:p>
    <w:p w:rsidR="00AB2D4F" w:rsidRDefault="004F332B" w:rsidP="004F332B">
      <w:pPr>
        <w:pStyle w:val="a6"/>
        <w:spacing w:line="276" w:lineRule="auto"/>
        <w:ind w:right="-1" w:firstLine="284"/>
        <w:jc w:val="both"/>
      </w:pPr>
      <w:r>
        <w:rPr>
          <w:rFonts w:ascii="Times New Roman" w:hAnsi="Times New Roman"/>
          <w:sz w:val="24"/>
          <w:szCs w:val="24"/>
        </w:rPr>
        <w:t>Средства эк</w:t>
      </w:r>
      <w:r w:rsidR="000C7192">
        <w:rPr>
          <w:rFonts w:ascii="Times New Roman" w:hAnsi="Times New Roman"/>
          <w:sz w:val="24"/>
          <w:szCs w:val="24"/>
        </w:rPr>
        <w:t>ономии планируется потратить на</w:t>
      </w:r>
      <w:r w:rsidRPr="004F332B">
        <w:rPr>
          <w:rFonts w:ascii="Times New Roman" w:hAnsi="Times New Roman"/>
          <w:sz w:val="24"/>
          <w:szCs w:val="24"/>
        </w:rPr>
        <w:t xml:space="preserve"> </w:t>
      </w:r>
      <w:r w:rsidR="003A316D" w:rsidRPr="004F332B">
        <w:rPr>
          <w:rFonts w:ascii="Times New Roman" w:hAnsi="Times New Roman"/>
          <w:sz w:val="24"/>
          <w:szCs w:val="24"/>
        </w:rPr>
        <w:t xml:space="preserve">приобретение </w:t>
      </w:r>
      <w:r w:rsidR="00B77B96" w:rsidRPr="004F332B">
        <w:rPr>
          <w:rFonts w:ascii="Times New Roman" w:hAnsi="Times New Roman"/>
          <w:sz w:val="24"/>
          <w:szCs w:val="24"/>
        </w:rPr>
        <w:t>подставок под скульптуры металлические.</w:t>
      </w:r>
      <w:r w:rsidR="00B77B96">
        <w:t xml:space="preserve"> </w:t>
      </w:r>
    </w:p>
    <w:p w:rsidR="00C21456" w:rsidRPr="00C21456" w:rsidRDefault="00C21456" w:rsidP="00C21456">
      <w:pPr>
        <w:pStyle w:val="a6"/>
        <w:spacing w:line="276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C21456">
        <w:rPr>
          <w:rFonts w:ascii="Times New Roman" w:hAnsi="Times New Roman"/>
          <w:bCs/>
          <w:sz w:val="24"/>
          <w:szCs w:val="24"/>
        </w:rPr>
        <w:t xml:space="preserve"> В адрес администрации </w:t>
      </w:r>
      <w:proofErr w:type="spellStart"/>
      <w:r w:rsidRPr="00C21456">
        <w:rPr>
          <w:rFonts w:ascii="Times New Roman" w:hAnsi="Times New Roman"/>
          <w:bCs/>
          <w:sz w:val="24"/>
          <w:szCs w:val="24"/>
        </w:rPr>
        <w:t>г.о</w:t>
      </w:r>
      <w:proofErr w:type="spellEnd"/>
      <w:r w:rsidRPr="00C21456">
        <w:rPr>
          <w:rFonts w:ascii="Times New Roman" w:hAnsi="Times New Roman"/>
          <w:bCs/>
          <w:sz w:val="24"/>
          <w:szCs w:val="24"/>
        </w:rPr>
        <w:t xml:space="preserve">. Тольятти поступило обращение министерства культуры Самарской области о выделении дополнительных средств вышестоящего бюджета в размере 220 318,24 руб. </w:t>
      </w:r>
    </w:p>
    <w:p w:rsidR="00C21456" w:rsidRPr="00C21456" w:rsidRDefault="00C21456" w:rsidP="00C21456">
      <w:pPr>
        <w:pStyle w:val="a6"/>
        <w:spacing w:line="276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C21456">
        <w:rPr>
          <w:rFonts w:ascii="Times New Roman" w:hAnsi="Times New Roman"/>
          <w:bCs/>
          <w:sz w:val="24"/>
          <w:szCs w:val="24"/>
        </w:rPr>
        <w:t xml:space="preserve">В настоящее время дополнительное соглашение с Министерством культуры Самарской области на доп. средства не заключено, находится на согласовании правового департамента администрации </w:t>
      </w:r>
      <w:proofErr w:type="spellStart"/>
      <w:r w:rsidRPr="00C21456">
        <w:rPr>
          <w:rFonts w:ascii="Times New Roman" w:hAnsi="Times New Roman"/>
          <w:bCs/>
          <w:sz w:val="24"/>
          <w:szCs w:val="24"/>
        </w:rPr>
        <w:t>г.о</w:t>
      </w:r>
      <w:proofErr w:type="spellEnd"/>
      <w:r w:rsidRPr="00C21456">
        <w:rPr>
          <w:rFonts w:ascii="Times New Roman" w:hAnsi="Times New Roman"/>
          <w:bCs/>
          <w:sz w:val="24"/>
          <w:szCs w:val="24"/>
        </w:rPr>
        <w:t>. Тольятти.</w:t>
      </w:r>
    </w:p>
    <w:p w:rsidR="00C21456" w:rsidRPr="009A796A" w:rsidRDefault="00C21456" w:rsidP="004F332B">
      <w:pPr>
        <w:pStyle w:val="a6"/>
        <w:spacing w:line="276" w:lineRule="auto"/>
        <w:ind w:right="-1" w:firstLine="284"/>
        <w:jc w:val="both"/>
        <w:rPr>
          <w:b/>
          <w:color w:val="FF0000"/>
        </w:rPr>
      </w:pPr>
    </w:p>
    <w:sectPr w:rsidR="00C21456" w:rsidRPr="009A796A" w:rsidSect="002D5B92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BC8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73E95"/>
    <w:multiLevelType w:val="hybridMultilevel"/>
    <w:tmpl w:val="90FEC73C"/>
    <w:lvl w:ilvl="0" w:tplc="6860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CE580E"/>
    <w:multiLevelType w:val="hybridMultilevel"/>
    <w:tmpl w:val="CEFE994E"/>
    <w:lvl w:ilvl="0" w:tplc="BCE04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6F07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C611A67"/>
    <w:multiLevelType w:val="hybridMultilevel"/>
    <w:tmpl w:val="CA5A5BE0"/>
    <w:lvl w:ilvl="0" w:tplc="0102E0FC">
      <w:start w:val="1"/>
      <w:numFmt w:val="upperRoman"/>
      <w:lvlText w:val="%1."/>
      <w:lvlJc w:val="left"/>
      <w:pPr>
        <w:ind w:left="2138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26272"/>
    <w:multiLevelType w:val="hybridMultilevel"/>
    <w:tmpl w:val="89EEEACC"/>
    <w:lvl w:ilvl="0" w:tplc="D8BA0F1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06878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AA837C2"/>
    <w:multiLevelType w:val="hybridMultilevel"/>
    <w:tmpl w:val="B4DC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54003"/>
    <w:multiLevelType w:val="hybridMultilevel"/>
    <w:tmpl w:val="90FEC73C"/>
    <w:lvl w:ilvl="0" w:tplc="6860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203D39"/>
    <w:multiLevelType w:val="hybridMultilevel"/>
    <w:tmpl w:val="90FEC73C"/>
    <w:lvl w:ilvl="0" w:tplc="6860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762539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DE56FC"/>
    <w:multiLevelType w:val="hybridMultilevel"/>
    <w:tmpl w:val="5D48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B57CE"/>
    <w:multiLevelType w:val="hybridMultilevel"/>
    <w:tmpl w:val="A52046C8"/>
    <w:lvl w:ilvl="0" w:tplc="C0F896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373F8"/>
    <w:multiLevelType w:val="hybridMultilevel"/>
    <w:tmpl w:val="C248FD4E"/>
    <w:lvl w:ilvl="0" w:tplc="6C30EE9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E382443"/>
    <w:multiLevelType w:val="hybridMultilevel"/>
    <w:tmpl w:val="C88E993C"/>
    <w:lvl w:ilvl="0" w:tplc="0CE29F3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73986C51"/>
    <w:multiLevelType w:val="hybridMultilevel"/>
    <w:tmpl w:val="E8E8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14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8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692E"/>
    <w:rsid w:val="00000A26"/>
    <w:rsid w:val="00002F95"/>
    <w:rsid w:val="00003EF1"/>
    <w:rsid w:val="00005B35"/>
    <w:rsid w:val="00006C7F"/>
    <w:rsid w:val="00010C58"/>
    <w:rsid w:val="00015495"/>
    <w:rsid w:val="0001680F"/>
    <w:rsid w:val="000202CC"/>
    <w:rsid w:val="000219CB"/>
    <w:rsid w:val="0002262C"/>
    <w:rsid w:val="00024EDB"/>
    <w:rsid w:val="0003253B"/>
    <w:rsid w:val="00041B07"/>
    <w:rsid w:val="000422B7"/>
    <w:rsid w:val="00044C7A"/>
    <w:rsid w:val="000506AA"/>
    <w:rsid w:val="000530C1"/>
    <w:rsid w:val="00055C3D"/>
    <w:rsid w:val="000576AF"/>
    <w:rsid w:val="0006185B"/>
    <w:rsid w:val="000619C7"/>
    <w:rsid w:val="00062A6D"/>
    <w:rsid w:val="00063291"/>
    <w:rsid w:val="0006583C"/>
    <w:rsid w:val="00065B4E"/>
    <w:rsid w:val="00067768"/>
    <w:rsid w:val="00072BE3"/>
    <w:rsid w:val="00073322"/>
    <w:rsid w:val="00074067"/>
    <w:rsid w:val="00077EC1"/>
    <w:rsid w:val="000807F9"/>
    <w:rsid w:val="00085551"/>
    <w:rsid w:val="00086948"/>
    <w:rsid w:val="00086A15"/>
    <w:rsid w:val="00092CA5"/>
    <w:rsid w:val="000955E8"/>
    <w:rsid w:val="000A0559"/>
    <w:rsid w:val="000A1893"/>
    <w:rsid w:val="000A18E8"/>
    <w:rsid w:val="000A3290"/>
    <w:rsid w:val="000A7013"/>
    <w:rsid w:val="000B14B8"/>
    <w:rsid w:val="000B3B4C"/>
    <w:rsid w:val="000B4839"/>
    <w:rsid w:val="000B5CBC"/>
    <w:rsid w:val="000C26C2"/>
    <w:rsid w:val="000C32E3"/>
    <w:rsid w:val="000C45AE"/>
    <w:rsid w:val="000C483B"/>
    <w:rsid w:val="000C6688"/>
    <w:rsid w:val="000C69D7"/>
    <w:rsid w:val="000C7192"/>
    <w:rsid w:val="000C7705"/>
    <w:rsid w:val="000D13D7"/>
    <w:rsid w:val="000D372D"/>
    <w:rsid w:val="000D64EB"/>
    <w:rsid w:val="000D76D0"/>
    <w:rsid w:val="000E24DA"/>
    <w:rsid w:val="000E40FA"/>
    <w:rsid w:val="000E5113"/>
    <w:rsid w:val="000E51EC"/>
    <w:rsid w:val="000E5CDF"/>
    <w:rsid w:val="000F3391"/>
    <w:rsid w:val="000F7330"/>
    <w:rsid w:val="000F7741"/>
    <w:rsid w:val="00100730"/>
    <w:rsid w:val="001047C0"/>
    <w:rsid w:val="00106AD1"/>
    <w:rsid w:val="00106DCE"/>
    <w:rsid w:val="0011413D"/>
    <w:rsid w:val="00120B54"/>
    <w:rsid w:val="00120E9E"/>
    <w:rsid w:val="0012522E"/>
    <w:rsid w:val="00125702"/>
    <w:rsid w:val="001257DE"/>
    <w:rsid w:val="00131AC3"/>
    <w:rsid w:val="00133FC3"/>
    <w:rsid w:val="00136699"/>
    <w:rsid w:val="00136879"/>
    <w:rsid w:val="00140106"/>
    <w:rsid w:val="00143B55"/>
    <w:rsid w:val="00146F5D"/>
    <w:rsid w:val="001506A1"/>
    <w:rsid w:val="0015355C"/>
    <w:rsid w:val="001539E6"/>
    <w:rsid w:val="00156F8A"/>
    <w:rsid w:val="001600BF"/>
    <w:rsid w:val="0016170B"/>
    <w:rsid w:val="00175684"/>
    <w:rsid w:val="00181DC7"/>
    <w:rsid w:val="0018542D"/>
    <w:rsid w:val="00186C08"/>
    <w:rsid w:val="00187C6F"/>
    <w:rsid w:val="001911C6"/>
    <w:rsid w:val="00195B7B"/>
    <w:rsid w:val="00195D7C"/>
    <w:rsid w:val="00196A41"/>
    <w:rsid w:val="001A3CBE"/>
    <w:rsid w:val="001A54E3"/>
    <w:rsid w:val="001A599C"/>
    <w:rsid w:val="001A6108"/>
    <w:rsid w:val="001A6D97"/>
    <w:rsid w:val="001A79C1"/>
    <w:rsid w:val="001A7DAD"/>
    <w:rsid w:val="001B24C4"/>
    <w:rsid w:val="001B2CC9"/>
    <w:rsid w:val="001B3A51"/>
    <w:rsid w:val="001B7997"/>
    <w:rsid w:val="001C052E"/>
    <w:rsid w:val="001C4A4A"/>
    <w:rsid w:val="001D2EE7"/>
    <w:rsid w:val="001E1843"/>
    <w:rsid w:val="001E39A0"/>
    <w:rsid w:val="001E79C9"/>
    <w:rsid w:val="001F46BB"/>
    <w:rsid w:val="001F56B8"/>
    <w:rsid w:val="001F7311"/>
    <w:rsid w:val="001F7970"/>
    <w:rsid w:val="00200310"/>
    <w:rsid w:val="002011EA"/>
    <w:rsid w:val="002028E7"/>
    <w:rsid w:val="00205DC4"/>
    <w:rsid w:val="00206995"/>
    <w:rsid w:val="002141D7"/>
    <w:rsid w:val="00214B73"/>
    <w:rsid w:val="00217A4B"/>
    <w:rsid w:val="002206D1"/>
    <w:rsid w:val="00221F1A"/>
    <w:rsid w:val="0022307F"/>
    <w:rsid w:val="002248F9"/>
    <w:rsid w:val="00225527"/>
    <w:rsid w:val="00226C8D"/>
    <w:rsid w:val="0022757F"/>
    <w:rsid w:val="002331EB"/>
    <w:rsid w:val="002411F1"/>
    <w:rsid w:val="00241ECE"/>
    <w:rsid w:val="00245BCB"/>
    <w:rsid w:val="002468FB"/>
    <w:rsid w:val="00246DC7"/>
    <w:rsid w:val="0025067C"/>
    <w:rsid w:val="002529F9"/>
    <w:rsid w:val="0025336B"/>
    <w:rsid w:val="002627FE"/>
    <w:rsid w:val="00272843"/>
    <w:rsid w:val="00272D4E"/>
    <w:rsid w:val="00273451"/>
    <w:rsid w:val="00286058"/>
    <w:rsid w:val="002870D8"/>
    <w:rsid w:val="002907ED"/>
    <w:rsid w:val="00293096"/>
    <w:rsid w:val="00293355"/>
    <w:rsid w:val="00297036"/>
    <w:rsid w:val="002A042A"/>
    <w:rsid w:val="002A42DB"/>
    <w:rsid w:val="002A46F8"/>
    <w:rsid w:val="002A4A5C"/>
    <w:rsid w:val="002A5964"/>
    <w:rsid w:val="002A5A7E"/>
    <w:rsid w:val="002A5E99"/>
    <w:rsid w:val="002A6A93"/>
    <w:rsid w:val="002A78AE"/>
    <w:rsid w:val="002B35FA"/>
    <w:rsid w:val="002B5A20"/>
    <w:rsid w:val="002B5CA0"/>
    <w:rsid w:val="002B5FAD"/>
    <w:rsid w:val="002B79CB"/>
    <w:rsid w:val="002C13BD"/>
    <w:rsid w:val="002C4765"/>
    <w:rsid w:val="002C51E8"/>
    <w:rsid w:val="002D0A33"/>
    <w:rsid w:val="002D0EB1"/>
    <w:rsid w:val="002D2830"/>
    <w:rsid w:val="002D2A78"/>
    <w:rsid w:val="002D3633"/>
    <w:rsid w:val="002D5B92"/>
    <w:rsid w:val="002E0153"/>
    <w:rsid w:val="002E22AA"/>
    <w:rsid w:val="002E278E"/>
    <w:rsid w:val="002E3AD0"/>
    <w:rsid w:val="002E5871"/>
    <w:rsid w:val="002E6AC1"/>
    <w:rsid w:val="002F362A"/>
    <w:rsid w:val="002F68FE"/>
    <w:rsid w:val="003028AF"/>
    <w:rsid w:val="00303A03"/>
    <w:rsid w:val="00304940"/>
    <w:rsid w:val="00307C90"/>
    <w:rsid w:val="00307D41"/>
    <w:rsid w:val="00307DCF"/>
    <w:rsid w:val="00310694"/>
    <w:rsid w:val="003123C9"/>
    <w:rsid w:val="00315E7A"/>
    <w:rsid w:val="0031638C"/>
    <w:rsid w:val="00317287"/>
    <w:rsid w:val="00317858"/>
    <w:rsid w:val="0032082B"/>
    <w:rsid w:val="00326BC8"/>
    <w:rsid w:val="00327595"/>
    <w:rsid w:val="00332D38"/>
    <w:rsid w:val="00334912"/>
    <w:rsid w:val="00334FDB"/>
    <w:rsid w:val="0033779B"/>
    <w:rsid w:val="0034114F"/>
    <w:rsid w:val="003411E9"/>
    <w:rsid w:val="0034298C"/>
    <w:rsid w:val="00342B56"/>
    <w:rsid w:val="003446CC"/>
    <w:rsid w:val="003448DF"/>
    <w:rsid w:val="00346735"/>
    <w:rsid w:val="003517B5"/>
    <w:rsid w:val="00354B64"/>
    <w:rsid w:val="00354C16"/>
    <w:rsid w:val="00361731"/>
    <w:rsid w:val="00361FF8"/>
    <w:rsid w:val="00364051"/>
    <w:rsid w:val="003650D0"/>
    <w:rsid w:val="003721B0"/>
    <w:rsid w:val="00373DD2"/>
    <w:rsid w:val="003745B6"/>
    <w:rsid w:val="00375170"/>
    <w:rsid w:val="003762A6"/>
    <w:rsid w:val="0038045A"/>
    <w:rsid w:val="00380569"/>
    <w:rsid w:val="00381902"/>
    <w:rsid w:val="0038194D"/>
    <w:rsid w:val="00381D46"/>
    <w:rsid w:val="003820F6"/>
    <w:rsid w:val="00385A22"/>
    <w:rsid w:val="00387690"/>
    <w:rsid w:val="00387955"/>
    <w:rsid w:val="003905B9"/>
    <w:rsid w:val="00390EFD"/>
    <w:rsid w:val="003917DB"/>
    <w:rsid w:val="003919F4"/>
    <w:rsid w:val="00392709"/>
    <w:rsid w:val="00392C03"/>
    <w:rsid w:val="00392D6B"/>
    <w:rsid w:val="00397499"/>
    <w:rsid w:val="0039793F"/>
    <w:rsid w:val="003A04D9"/>
    <w:rsid w:val="003A316D"/>
    <w:rsid w:val="003A36BA"/>
    <w:rsid w:val="003B3A46"/>
    <w:rsid w:val="003B3B9D"/>
    <w:rsid w:val="003B4B68"/>
    <w:rsid w:val="003B7390"/>
    <w:rsid w:val="003C1BEF"/>
    <w:rsid w:val="003C2290"/>
    <w:rsid w:val="003C2356"/>
    <w:rsid w:val="003C2DD0"/>
    <w:rsid w:val="003C4BE0"/>
    <w:rsid w:val="003C5275"/>
    <w:rsid w:val="003C638D"/>
    <w:rsid w:val="003C6E90"/>
    <w:rsid w:val="003C70C8"/>
    <w:rsid w:val="003D097F"/>
    <w:rsid w:val="003D41B2"/>
    <w:rsid w:val="003D7172"/>
    <w:rsid w:val="003E3134"/>
    <w:rsid w:val="003E36D0"/>
    <w:rsid w:val="003E56E8"/>
    <w:rsid w:val="003F2EBF"/>
    <w:rsid w:val="003F30FA"/>
    <w:rsid w:val="003F39B8"/>
    <w:rsid w:val="003F7C40"/>
    <w:rsid w:val="00400226"/>
    <w:rsid w:val="00401B2A"/>
    <w:rsid w:val="00402C0F"/>
    <w:rsid w:val="00403A29"/>
    <w:rsid w:val="00406528"/>
    <w:rsid w:val="00411C01"/>
    <w:rsid w:val="0041456E"/>
    <w:rsid w:val="00420272"/>
    <w:rsid w:val="00421BC4"/>
    <w:rsid w:val="00422310"/>
    <w:rsid w:val="00423074"/>
    <w:rsid w:val="00424C8D"/>
    <w:rsid w:val="00430588"/>
    <w:rsid w:val="0043174A"/>
    <w:rsid w:val="004317E1"/>
    <w:rsid w:val="00431818"/>
    <w:rsid w:val="00432B1B"/>
    <w:rsid w:val="00432C54"/>
    <w:rsid w:val="00436162"/>
    <w:rsid w:val="00441483"/>
    <w:rsid w:val="0044251F"/>
    <w:rsid w:val="00442633"/>
    <w:rsid w:val="00442BF5"/>
    <w:rsid w:val="00444EAB"/>
    <w:rsid w:val="004454AA"/>
    <w:rsid w:val="00446BFF"/>
    <w:rsid w:val="004510B3"/>
    <w:rsid w:val="004518C7"/>
    <w:rsid w:val="004518D6"/>
    <w:rsid w:val="00457886"/>
    <w:rsid w:val="00461EF9"/>
    <w:rsid w:val="0046310B"/>
    <w:rsid w:val="00466B33"/>
    <w:rsid w:val="00474727"/>
    <w:rsid w:val="004835D4"/>
    <w:rsid w:val="00484BC0"/>
    <w:rsid w:val="00487F46"/>
    <w:rsid w:val="00487FBF"/>
    <w:rsid w:val="004910FB"/>
    <w:rsid w:val="004913BA"/>
    <w:rsid w:val="0049435F"/>
    <w:rsid w:val="00494E72"/>
    <w:rsid w:val="004A0E0E"/>
    <w:rsid w:val="004A152F"/>
    <w:rsid w:val="004A26E3"/>
    <w:rsid w:val="004A279B"/>
    <w:rsid w:val="004A5DF5"/>
    <w:rsid w:val="004B54F4"/>
    <w:rsid w:val="004B5707"/>
    <w:rsid w:val="004C0F85"/>
    <w:rsid w:val="004C43F7"/>
    <w:rsid w:val="004C5849"/>
    <w:rsid w:val="004C5C59"/>
    <w:rsid w:val="004C7097"/>
    <w:rsid w:val="004C7A2B"/>
    <w:rsid w:val="004D05F9"/>
    <w:rsid w:val="004D2591"/>
    <w:rsid w:val="004D3A2B"/>
    <w:rsid w:val="004E1A1D"/>
    <w:rsid w:val="004E36E2"/>
    <w:rsid w:val="004E4F27"/>
    <w:rsid w:val="004E55EA"/>
    <w:rsid w:val="004E6FF0"/>
    <w:rsid w:val="004E7200"/>
    <w:rsid w:val="004F0C9A"/>
    <w:rsid w:val="004F0C9D"/>
    <w:rsid w:val="004F177E"/>
    <w:rsid w:val="004F3052"/>
    <w:rsid w:val="004F332B"/>
    <w:rsid w:val="004F409E"/>
    <w:rsid w:val="004F6294"/>
    <w:rsid w:val="005016A1"/>
    <w:rsid w:val="0050212B"/>
    <w:rsid w:val="005049C8"/>
    <w:rsid w:val="005061E3"/>
    <w:rsid w:val="00507E0F"/>
    <w:rsid w:val="005126B2"/>
    <w:rsid w:val="00513CB3"/>
    <w:rsid w:val="0051413B"/>
    <w:rsid w:val="00514E3F"/>
    <w:rsid w:val="00517330"/>
    <w:rsid w:val="00524045"/>
    <w:rsid w:val="0053261C"/>
    <w:rsid w:val="00532643"/>
    <w:rsid w:val="0053299F"/>
    <w:rsid w:val="00535495"/>
    <w:rsid w:val="00536BFA"/>
    <w:rsid w:val="00537B72"/>
    <w:rsid w:val="00544EF0"/>
    <w:rsid w:val="00550378"/>
    <w:rsid w:val="00552063"/>
    <w:rsid w:val="0055226A"/>
    <w:rsid w:val="0055287A"/>
    <w:rsid w:val="0055320B"/>
    <w:rsid w:val="0055716A"/>
    <w:rsid w:val="00560E96"/>
    <w:rsid w:val="005612D0"/>
    <w:rsid w:val="00561DDB"/>
    <w:rsid w:val="00563BDD"/>
    <w:rsid w:val="005667C2"/>
    <w:rsid w:val="00573F86"/>
    <w:rsid w:val="00580B9A"/>
    <w:rsid w:val="005831BD"/>
    <w:rsid w:val="005901B5"/>
    <w:rsid w:val="0059112C"/>
    <w:rsid w:val="00591A70"/>
    <w:rsid w:val="00592360"/>
    <w:rsid w:val="005925BD"/>
    <w:rsid w:val="00593915"/>
    <w:rsid w:val="005939AB"/>
    <w:rsid w:val="00596E8F"/>
    <w:rsid w:val="005A178C"/>
    <w:rsid w:val="005A457A"/>
    <w:rsid w:val="005A487B"/>
    <w:rsid w:val="005A7852"/>
    <w:rsid w:val="005B2041"/>
    <w:rsid w:val="005B4908"/>
    <w:rsid w:val="005B4F73"/>
    <w:rsid w:val="005C6688"/>
    <w:rsid w:val="005D78F2"/>
    <w:rsid w:val="005E56D7"/>
    <w:rsid w:val="005F0887"/>
    <w:rsid w:val="005F0B02"/>
    <w:rsid w:val="005F0C1E"/>
    <w:rsid w:val="005F6043"/>
    <w:rsid w:val="005F7C63"/>
    <w:rsid w:val="006003DF"/>
    <w:rsid w:val="006006A0"/>
    <w:rsid w:val="006009B3"/>
    <w:rsid w:val="006067C2"/>
    <w:rsid w:val="006149C6"/>
    <w:rsid w:val="006155CC"/>
    <w:rsid w:val="0061644D"/>
    <w:rsid w:val="00617A70"/>
    <w:rsid w:val="00624D6D"/>
    <w:rsid w:val="00627AA2"/>
    <w:rsid w:val="0063072E"/>
    <w:rsid w:val="00636568"/>
    <w:rsid w:val="00636D96"/>
    <w:rsid w:val="00637A10"/>
    <w:rsid w:val="00640683"/>
    <w:rsid w:val="00640D1D"/>
    <w:rsid w:val="0064767A"/>
    <w:rsid w:val="00651AF8"/>
    <w:rsid w:val="00655978"/>
    <w:rsid w:val="0065624E"/>
    <w:rsid w:val="006565D5"/>
    <w:rsid w:val="00667DD8"/>
    <w:rsid w:val="00667F70"/>
    <w:rsid w:val="006710FD"/>
    <w:rsid w:val="006718C5"/>
    <w:rsid w:val="00671B20"/>
    <w:rsid w:val="00675D3B"/>
    <w:rsid w:val="00682549"/>
    <w:rsid w:val="00683423"/>
    <w:rsid w:val="0068364C"/>
    <w:rsid w:val="00683C92"/>
    <w:rsid w:val="00683F7A"/>
    <w:rsid w:val="006845A6"/>
    <w:rsid w:val="006848C2"/>
    <w:rsid w:val="00686DDB"/>
    <w:rsid w:val="00686E97"/>
    <w:rsid w:val="0069039F"/>
    <w:rsid w:val="00693D3E"/>
    <w:rsid w:val="00694050"/>
    <w:rsid w:val="00694111"/>
    <w:rsid w:val="006944E8"/>
    <w:rsid w:val="0069457C"/>
    <w:rsid w:val="0069580D"/>
    <w:rsid w:val="00695F67"/>
    <w:rsid w:val="006967E8"/>
    <w:rsid w:val="006968C7"/>
    <w:rsid w:val="006A0B41"/>
    <w:rsid w:val="006A1281"/>
    <w:rsid w:val="006A2132"/>
    <w:rsid w:val="006A3681"/>
    <w:rsid w:val="006A39A6"/>
    <w:rsid w:val="006A6F6C"/>
    <w:rsid w:val="006A768D"/>
    <w:rsid w:val="006B02EE"/>
    <w:rsid w:val="006B2A51"/>
    <w:rsid w:val="006B7130"/>
    <w:rsid w:val="006B75CC"/>
    <w:rsid w:val="006B7D32"/>
    <w:rsid w:val="006C3846"/>
    <w:rsid w:val="006C70AB"/>
    <w:rsid w:val="006D44F9"/>
    <w:rsid w:val="006D4AA4"/>
    <w:rsid w:val="006D6342"/>
    <w:rsid w:val="006D675E"/>
    <w:rsid w:val="006E116E"/>
    <w:rsid w:val="006E420D"/>
    <w:rsid w:val="006E4E1F"/>
    <w:rsid w:val="006E55E0"/>
    <w:rsid w:val="006E60CB"/>
    <w:rsid w:val="006F361E"/>
    <w:rsid w:val="006F6861"/>
    <w:rsid w:val="007036A1"/>
    <w:rsid w:val="00705E3D"/>
    <w:rsid w:val="007060FB"/>
    <w:rsid w:val="00706269"/>
    <w:rsid w:val="007109DF"/>
    <w:rsid w:val="007118A4"/>
    <w:rsid w:val="00711DF2"/>
    <w:rsid w:val="007128AA"/>
    <w:rsid w:val="00714049"/>
    <w:rsid w:val="00717EE4"/>
    <w:rsid w:val="0072059F"/>
    <w:rsid w:val="007211A2"/>
    <w:rsid w:val="00726339"/>
    <w:rsid w:val="00733875"/>
    <w:rsid w:val="007352AA"/>
    <w:rsid w:val="00737581"/>
    <w:rsid w:val="00737DF4"/>
    <w:rsid w:val="007404CD"/>
    <w:rsid w:val="0074263A"/>
    <w:rsid w:val="00742977"/>
    <w:rsid w:val="00743560"/>
    <w:rsid w:val="007441B3"/>
    <w:rsid w:val="007457C2"/>
    <w:rsid w:val="00750014"/>
    <w:rsid w:val="007501EE"/>
    <w:rsid w:val="00753910"/>
    <w:rsid w:val="0075780C"/>
    <w:rsid w:val="00757C0E"/>
    <w:rsid w:val="00760CFC"/>
    <w:rsid w:val="00760EAF"/>
    <w:rsid w:val="00764A1A"/>
    <w:rsid w:val="007654CF"/>
    <w:rsid w:val="0076616D"/>
    <w:rsid w:val="00767ACB"/>
    <w:rsid w:val="00767B77"/>
    <w:rsid w:val="00767D28"/>
    <w:rsid w:val="007701EE"/>
    <w:rsid w:val="0077524A"/>
    <w:rsid w:val="00775533"/>
    <w:rsid w:val="00775B50"/>
    <w:rsid w:val="00775B69"/>
    <w:rsid w:val="0078267A"/>
    <w:rsid w:val="00782D5C"/>
    <w:rsid w:val="007839BD"/>
    <w:rsid w:val="007841DA"/>
    <w:rsid w:val="0078526D"/>
    <w:rsid w:val="00785415"/>
    <w:rsid w:val="0078644B"/>
    <w:rsid w:val="0078705E"/>
    <w:rsid w:val="00787A30"/>
    <w:rsid w:val="00790CFE"/>
    <w:rsid w:val="00791B43"/>
    <w:rsid w:val="00791BF7"/>
    <w:rsid w:val="007932F4"/>
    <w:rsid w:val="00796500"/>
    <w:rsid w:val="007A169E"/>
    <w:rsid w:val="007A43B5"/>
    <w:rsid w:val="007A457C"/>
    <w:rsid w:val="007A545F"/>
    <w:rsid w:val="007A5587"/>
    <w:rsid w:val="007A69E4"/>
    <w:rsid w:val="007B2773"/>
    <w:rsid w:val="007B6839"/>
    <w:rsid w:val="007B7316"/>
    <w:rsid w:val="007C09D1"/>
    <w:rsid w:val="007C1FCE"/>
    <w:rsid w:val="007C25BA"/>
    <w:rsid w:val="007C31A1"/>
    <w:rsid w:val="007C370D"/>
    <w:rsid w:val="007C5DBB"/>
    <w:rsid w:val="007C637E"/>
    <w:rsid w:val="007D1CC4"/>
    <w:rsid w:val="007D42A7"/>
    <w:rsid w:val="007E0575"/>
    <w:rsid w:val="007E0832"/>
    <w:rsid w:val="007E6B06"/>
    <w:rsid w:val="007F0032"/>
    <w:rsid w:val="007F288E"/>
    <w:rsid w:val="007F3D5B"/>
    <w:rsid w:val="007F6FFE"/>
    <w:rsid w:val="008012E4"/>
    <w:rsid w:val="008017FF"/>
    <w:rsid w:val="008020CA"/>
    <w:rsid w:val="008024C7"/>
    <w:rsid w:val="00804AAA"/>
    <w:rsid w:val="00804DD2"/>
    <w:rsid w:val="0080621D"/>
    <w:rsid w:val="00806883"/>
    <w:rsid w:val="00806B1A"/>
    <w:rsid w:val="00811468"/>
    <w:rsid w:val="0081184F"/>
    <w:rsid w:val="008128F6"/>
    <w:rsid w:val="00812C63"/>
    <w:rsid w:val="0081333B"/>
    <w:rsid w:val="00814511"/>
    <w:rsid w:val="0081733E"/>
    <w:rsid w:val="00817985"/>
    <w:rsid w:val="00820036"/>
    <w:rsid w:val="00820392"/>
    <w:rsid w:val="0082117A"/>
    <w:rsid w:val="0082186F"/>
    <w:rsid w:val="008229CA"/>
    <w:rsid w:val="008238DD"/>
    <w:rsid w:val="00824277"/>
    <w:rsid w:val="00824B55"/>
    <w:rsid w:val="00824D36"/>
    <w:rsid w:val="0082555A"/>
    <w:rsid w:val="00825FD6"/>
    <w:rsid w:val="00826D4E"/>
    <w:rsid w:val="00827AD0"/>
    <w:rsid w:val="008306E2"/>
    <w:rsid w:val="008325C6"/>
    <w:rsid w:val="00832B34"/>
    <w:rsid w:val="0083398F"/>
    <w:rsid w:val="008340EF"/>
    <w:rsid w:val="00834908"/>
    <w:rsid w:val="00834E60"/>
    <w:rsid w:val="00841A20"/>
    <w:rsid w:val="008457E4"/>
    <w:rsid w:val="0084673C"/>
    <w:rsid w:val="00847081"/>
    <w:rsid w:val="00847E4A"/>
    <w:rsid w:val="00852B48"/>
    <w:rsid w:val="00852EB4"/>
    <w:rsid w:val="00854017"/>
    <w:rsid w:val="00854A15"/>
    <w:rsid w:val="00854F8D"/>
    <w:rsid w:val="008561E9"/>
    <w:rsid w:val="008566BE"/>
    <w:rsid w:val="008578B1"/>
    <w:rsid w:val="008612CB"/>
    <w:rsid w:val="00861BC8"/>
    <w:rsid w:val="00863A3D"/>
    <w:rsid w:val="0086598C"/>
    <w:rsid w:val="00866763"/>
    <w:rsid w:val="0086681C"/>
    <w:rsid w:val="00870F7F"/>
    <w:rsid w:val="00875A5F"/>
    <w:rsid w:val="0087611A"/>
    <w:rsid w:val="00876C85"/>
    <w:rsid w:val="00877633"/>
    <w:rsid w:val="00880FF7"/>
    <w:rsid w:val="0088392F"/>
    <w:rsid w:val="00884D86"/>
    <w:rsid w:val="00893124"/>
    <w:rsid w:val="0089355B"/>
    <w:rsid w:val="00896F33"/>
    <w:rsid w:val="00897248"/>
    <w:rsid w:val="008A0349"/>
    <w:rsid w:val="008A2788"/>
    <w:rsid w:val="008A27BD"/>
    <w:rsid w:val="008A5CEA"/>
    <w:rsid w:val="008B0D3E"/>
    <w:rsid w:val="008B2570"/>
    <w:rsid w:val="008B2811"/>
    <w:rsid w:val="008B3E1A"/>
    <w:rsid w:val="008B5D80"/>
    <w:rsid w:val="008C03FC"/>
    <w:rsid w:val="008C3CE0"/>
    <w:rsid w:val="008C704F"/>
    <w:rsid w:val="008D0045"/>
    <w:rsid w:val="008D0D17"/>
    <w:rsid w:val="008D378F"/>
    <w:rsid w:val="008E0E71"/>
    <w:rsid w:val="008E35FC"/>
    <w:rsid w:val="008E40EE"/>
    <w:rsid w:val="008E4E8D"/>
    <w:rsid w:val="008E539D"/>
    <w:rsid w:val="008E74D8"/>
    <w:rsid w:val="008F051C"/>
    <w:rsid w:val="008F151E"/>
    <w:rsid w:val="008F2C05"/>
    <w:rsid w:val="00905A5B"/>
    <w:rsid w:val="00911BC8"/>
    <w:rsid w:val="00913D8A"/>
    <w:rsid w:val="00915DF7"/>
    <w:rsid w:val="00917FE7"/>
    <w:rsid w:val="009215D6"/>
    <w:rsid w:val="009227E6"/>
    <w:rsid w:val="00922EBD"/>
    <w:rsid w:val="00922F1F"/>
    <w:rsid w:val="00926116"/>
    <w:rsid w:val="00926351"/>
    <w:rsid w:val="009306DA"/>
    <w:rsid w:val="00931410"/>
    <w:rsid w:val="00931538"/>
    <w:rsid w:val="0093347B"/>
    <w:rsid w:val="00934459"/>
    <w:rsid w:val="00934764"/>
    <w:rsid w:val="0093619B"/>
    <w:rsid w:val="0093668B"/>
    <w:rsid w:val="00937796"/>
    <w:rsid w:val="00940106"/>
    <w:rsid w:val="009415B4"/>
    <w:rsid w:val="00943E25"/>
    <w:rsid w:val="009477F5"/>
    <w:rsid w:val="00952C2E"/>
    <w:rsid w:val="009553C4"/>
    <w:rsid w:val="00955899"/>
    <w:rsid w:val="009567BC"/>
    <w:rsid w:val="0096202D"/>
    <w:rsid w:val="009621D2"/>
    <w:rsid w:val="009642AA"/>
    <w:rsid w:val="0097038D"/>
    <w:rsid w:val="00972201"/>
    <w:rsid w:val="00975506"/>
    <w:rsid w:val="00977F9F"/>
    <w:rsid w:val="00982334"/>
    <w:rsid w:val="00985344"/>
    <w:rsid w:val="009864C4"/>
    <w:rsid w:val="0099022B"/>
    <w:rsid w:val="00990651"/>
    <w:rsid w:val="00991114"/>
    <w:rsid w:val="00991B72"/>
    <w:rsid w:val="009925E6"/>
    <w:rsid w:val="009949F7"/>
    <w:rsid w:val="009969E9"/>
    <w:rsid w:val="00996E9D"/>
    <w:rsid w:val="00997FD0"/>
    <w:rsid w:val="009A0BCC"/>
    <w:rsid w:val="009A1AAE"/>
    <w:rsid w:val="009A3A4E"/>
    <w:rsid w:val="009A3DCD"/>
    <w:rsid w:val="009A5D6F"/>
    <w:rsid w:val="009A6AD2"/>
    <w:rsid w:val="009A796A"/>
    <w:rsid w:val="009B004C"/>
    <w:rsid w:val="009B0B46"/>
    <w:rsid w:val="009B0B9F"/>
    <w:rsid w:val="009B32DE"/>
    <w:rsid w:val="009B5667"/>
    <w:rsid w:val="009B6F73"/>
    <w:rsid w:val="009B7781"/>
    <w:rsid w:val="009B7E7E"/>
    <w:rsid w:val="009C0A8C"/>
    <w:rsid w:val="009C1EFE"/>
    <w:rsid w:val="009C2C85"/>
    <w:rsid w:val="009D26DD"/>
    <w:rsid w:val="009D7959"/>
    <w:rsid w:val="009E0F75"/>
    <w:rsid w:val="009E31B4"/>
    <w:rsid w:val="009E3244"/>
    <w:rsid w:val="009E3D2A"/>
    <w:rsid w:val="009E3F57"/>
    <w:rsid w:val="009E41BD"/>
    <w:rsid w:val="009E54F3"/>
    <w:rsid w:val="009E55A2"/>
    <w:rsid w:val="009E6C82"/>
    <w:rsid w:val="009F161F"/>
    <w:rsid w:val="009F1E4C"/>
    <w:rsid w:val="009F6AFC"/>
    <w:rsid w:val="00A02182"/>
    <w:rsid w:val="00A07683"/>
    <w:rsid w:val="00A11B54"/>
    <w:rsid w:val="00A123FB"/>
    <w:rsid w:val="00A15DAE"/>
    <w:rsid w:val="00A1632B"/>
    <w:rsid w:val="00A175AD"/>
    <w:rsid w:val="00A21495"/>
    <w:rsid w:val="00A2189C"/>
    <w:rsid w:val="00A24ACB"/>
    <w:rsid w:val="00A24CB7"/>
    <w:rsid w:val="00A269BE"/>
    <w:rsid w:val="00A30BFC"/>
    <w:rsid w:val="00A30D3A"/>
    <w:rsid w:val="00A3270F"/>
    <w:rsid w:val="00A32F5F"/>
    <w:rsid w:val="00A36181"/>
    <w:rsid w:val="00A4089D"/>
    <w:rsid w:val="00A43E59"/>
    <w:rsid w:val="00A45721"/>
    <w:rsid w:val="00A46735"/>
    <w:rsid w:val="00A46B3E"/>
    <w:rsid w:val="00A51FA8"/>
    <w:rsid w:val="00A545F2"/>
    <w:rsid w:val="00A635D0"/>
    <w:rsid w:val="00A63BCB"/>
    <w:rsid w:val="00A66371"/>
    <w:rsid w:val="00A67CCC"/>
    <w:rsid w:val="00A70366"/>
    <w:rsid w:val="00A709A2"/>
    <w:rsid w:val="00A765ED"/>
    <w:rsid w:val="00A80913"/>
    <w:rsid w:val="00A82255"/>
    <w:rsid w:val="00A902E3"/>
    <w:rsid w:val="00A90D07"/>
    <w:rsid w:val="00A927E7"/>
    <w:rsid w:val="00A94081"/>
    <w:rsid w:val="00A94246"/>
    <w:rsid w:val="00A953E6"/>
    <w:rsid w:val="00A965DC"/>
    <w:rsid w:val="00A97A03"/>
    <w:rsid w:val="00AA1CEF"/>
    <w:rsid w:val="00AA3B44"/>
    <w:rsid w:val="00AA49AB"/>
    <w:rsid w:val="00AB1E71"/>
    <w:rsid w:val="00AB2D4F"/>
    <w:rsid w:val="00AB39AD"/>
    <w:rsid w:val="00AB6A42"/>
    <w:rsid w:val="00AB78FB"/>
    <w:rsid w:val="00AC04FB"/>
    <w:rsid w:val="00AC167A"/>
    <w:rsid w:val="00AC4279"/>
    <w:rsid w:val="00AC49ED"/>
    <w:rsid w:val="00AC56E3"/>
    <w:rsid w:val="00AD1286"/>
    <w:rsid w:val="00AD1469"/>
    <w:rsid w:val="00AD2EA4"/>
    <w:rsid w:val="00AD40DC"/>
    <w:rsid w:val="00AD4166"/>
    <w:rsid w:val="00AD6707"/>
    <w:rsid w:val="00AE3D77"/>
    <w:rsid w:val="00AE4084"/>
    <w:rsid w:val="00AE5497"/>
    <w:rsid w:val="00AF0816"/>
    <w:rsid w:val="00AF093E"/>
    <w:rsid w:val="00AF0994"/>
    <w:rsid w:val="00AF0E64"/>
    <w:rsid w:val="00AF1A7C"/>
    <w:rsid w:val="00AF2113"/>
    <w:rsid w:val="00AF2C8A"/>
    <w:rsid w:val="00AF315A"/>
    <w:rsid w:val="00AF5024"/>
    <w:rsid w:val="00AF6699"/>
    <w:rsid w:val="00B05234"/>
    <w:rsid w:val="00B06C76"/>
    <w:rsid w:val="00B12365"/>
    <w:rsid w:val="00B13944"/>
    <w:rsid w:val="00B14CB5"/>
    <w:rsid w:val="00B16E16"/>
    <w:rsid w:val="00B207EF"/>
    <w:rsid w:val="00B235BB"/>
    <w:rsid w:val="00B24575"/>
    <w:rsid w:val="00B26FC1"/>
    <w:rsid w:val="00B3166B"/>
    <w:rsid w:val="00B31685"/>
    <w:rsid w:val="00B32549"/>
    <w:rsid w:val="00B32F75"/>
    <w:rsid w:val="00B3466A"/>
    <w:rsid w:val="00B34C90"/>
    <w:rsid w:val="00B35CE3"/>
    <w:rsid w:val="00B3637A"/>
    <w:rsid w:val="00B36444"/>
    <w:rsid w:val="00B37EAC"/>
    <w:rsid w:val="00B40463"/>
    <w:rsid w:val="00B43487"/>
    <w:rsid w:val="00B442D7"/>
    <w:rsid w:val="00B4755E"/>
    <w:rsid w:val="00B53E12"/>
    <w:rsid w:val="00B540F9"/>
    <w:rsid w:val="00B55244"/>
    <w:rsid w:val="00B56E51"/>
    <w:rsid w:val="00B577ED"/>
    <w:rsid w:val="00B63827"/>
    <w:rsid w:val="00B6611F"/>
    <w:rsid w:val="00B675B8"/>
    <w:rsid w:val="00B676DD"/>
    <w:rsid w:val="00B710E5"/>
    <w:rsid w:val="00B73F2E"/>
    <w:rsid w:val="00B74A29"/>
    <w:rsid w:val="00B75328"/>
    <w:rsid w:val="00B76983"/>
    <w:rsid w:val="00B76AAE"/>
    <w:rsid w:val="00B77B96"/>
    <w:rsid w:val="00B8030C"/>
    <w:rsid w:val="00B819D0"/>
    <w:rsid w:val="00B83138"/>
    <w:rsid w:val="00B839AA"/>
    <w:rsid w:val="00B85DC6"/>
    <w:rsid w:val="00B867D5"/>
    <w:rsid w:val="00B87E30"/>
    <w:rsid w:val="00B94CF4"/>
    <w:rsid w:val="00B956C7"/>
    <w:rsid w:val="00B95BA5"/>
    <w:rsid w:val="00B96963"/>
    <w:rsid w:val="00B9746F"/>
    <w:rsid w:val="00BA5179"/>
    <w:rsid w:val="00BA7543"/>
    <w:rsid w:val="00BA756E"/>
    <w:rsid w:val="00BB07A7"/>
    <w:rsid w:val="00BB10DC"/>
    <w:rsid w:val="00BB295A"/>
    <w:rsid w:val="00BB38F2"/>
    <w:rsid w:val="00BB4710"/>
    <w:rsid w:val="00BB5890"/>
    <w:rsid w:val="00BC0E83"/>
    <w:rsid w:val="00BC1D58"/>
    <w:rsid w:val="00BC1E10"/>
    <w:rsid w:val="00BC417D"/>
    <w:rsid w:val="00BC4655"/>
    <w:rsid w:val="00BC48CA"/>
    <w:rsid w:val="00BC65E4"/>
    <w:rsid w:val="00BC6AB9"/>
    <w:rsid w:val="00BD295B"/>
    <w:rsid w:val="00BD2D9E"/>
    <w:rsid w:val="00BD50AD"/>
    <w:rsid w:val="00BD5A35"/>
    <w:rsid w:val="00BD692E"/>
    <w:rsid w:val="00BE4003"/>
    <w:rsid w:val="00BE680A"/>
    <w:rsid w:val="00BF0404"/>
    <w:rsid w:val="00BF174C"/>
    <w:rsid w:val="00BF17B8"/>
    <w:rsid w:val="00BF4831"/>
    <w:rsid w:val="00BF4AAD"/>
    <w:rsid w:val="00BF569B"/>
    <w:rsid w:val="00C0027C"/>
    <w:rsid w:val="00C008D3"/>
    <w:rsid w:val="00C00B2A"/>
    <w:rsid w:val="00C02889"/>
    <w:rsid w:val="00C038A4"/>
    <w:rsid w:val="00C05DFD"/>
    <w:rsid w:val="00C05E49"/>
    <w:rsid w:val="00C111F7"/>
    <w:rsid w:val="00C119D5"/>
    <w:rsid w:val="00C11F45"/>
    <w:rsid w:val="00C15857"/>
    <w:rsid w:val="00C15A74"/>
    <w:rsid w:val="00C1642A"/>
    <w:rsid w:val="00C1790D"/>
    <w:rsid w:val="00C20A64"/>
    <w:rsid w:val="00C21456"/>
    <w:rsid w:val="00C22076"/>
    <w:rsid w:val="00C2388B"/>
    <w:rsid w:val="00C306C4"/>
    <w:rsid w:val="00C32E96"/>
    <w:rsid w:val="00C332DB"/>
    <w:rsid w:val="00C33630"/>
    <w:rsid w:val="00C345E1"/>
    <w:rsid w:val="00C34ED0"/>
    <w:rsid w:val="00C35845"/>
    <w:rsid w:val="00C364BB"/>
    <w:rsid w:val="00C50F56"/>
    <w:rsid w:val="00C52CCF"/>
    <w:rsid w:val="00C53C1F"/>
    <w:rsid w:val="00C56A73"/>
    <w:rsid w:val="00C56BD9"/>
    <w:rsid w:val="00C60413"/>
    <w:rsid w:val="00C621D8"/>
    <w:rsid w:val="00C65C8D"/>
    <w:rsid w:val="00C67CCD"/>
    <w:rsid w:val="00C72A2A"/>
    <w:rsid w:val="00C737B3"/>
    <w:rsid w:val="00C75993"/>
    <w:rsid w:val="00C819ED"/>
    <w:rsid w:val="00C81B74"/>
    <w:rsid w:val="00C824BE"/>
    <w:rsid w:val="00C834F0"/>
    <w:rsid w:val="00C860F9"/>
    <w:rsid w:val="00C91066"/>
    <w:rsid w:val="00C92BF1"/>
    <w:rsid w:val="00C95601"/>
    <w:rsid w:val="00C97553"/>
    <w:rsid w:val="00CA02BE"/>
    <w:rsid w:val="00CA23B7"/>
    <w:rsid w:val="00CA256B"/>
    <w:rsid w:val="00CA2B0B"/>
    <w:rsid w:val="00CA339E"/>
    <w:rsid w:val="00CA3BDB"/>
    <w:rsid w:val="00CA5666"/>
    <w:rsid w:val="00CC1522"/>
    <w:rsid w:val="00CC2471"/>
    <w:rsid w:val="00CC3935"/>
    <w:rsid w:val="00CD0C0B"/>
    <w:rsid w:val="00CD4F02"/>
    <w:rsid w:val="00CD74A1"/>
    <w:rsid w:val="00CD74E7"/>
    <w:rsid w:val="00CD7F8D"/>
    <w:rsid w:val="00CE0616"/>
    <w:rsid w:val="00CE6195"/>
    <w:rsid w:val="00CE7C0C"/>
    <w:rsid w:val="00CF6FF4"/>
    <w:rsid w:val="00CF76AD"/>
    <w:rsid w:val="00CF7A0B"/>
    <w:rsid w:val="00D0020D"/>
    <w:rsid w:val="00D00C92"/>
    <w:rsid w:val="00D01460"/>
    <w:rsid w:val="00D02EE1"/>
    <w:rsid w:val="00D033D9"/>
    <w:rsid w:val="00D039B3"/>
    <w:rsid w:val="00D112B4"/>
    <w:rsid w:val="00D11405"/>
    <w:rsid w:val="00D1288B"/>
    <w:rsid w:val="00D146A2"/>
    <w:rsid w:val="00D149BB"/>
    <w:rsid w:val="00D1624C"/>
    <w:rsid w:val="00D16BA7"/>
    <w:rsid w:val="00D22830"/>
    <w:rsid w:val="00D23995"/>
    <w:rsid w:val="00D2432D"/>
    <w:rsid w:val="00D24647"/>
    <w:rsid w:val="00D269A9"/>
    <w:rsid w:val="00D269B0"/>
    <w:rsid w:val="00D26B8D"/>
    <w:rsid w:val="00D31E7E"/>
    <w:rsid w:val="00D3393A"/>
    <w:rsid w:val="00D33962"/>
    <w:rsid w:val="00D33A6A"/>
    <w:rsid w:val="00D37964"/>
    <w:rsid w:val="00D50B51"/>
    <w:rsid w:val="00D52AD7"/>
    <w:rsid w:val="00D577E5"/>
    <w:rsid w:val="00D64FED"/>
    <w:rsid w:val="00D6762E"/>
    <w:rsid w:val="00D73C5B"/>
    <w:rsid w:val="00D74D42"/>
    <w:rsid w:val="00D77EA7"/>
    <w:rsid w:val="00D80387"/>
    <w:rsid w:val="00D80F39"/>
    <w:rsid w:val="00D8474B"/>
    <w:rsid w:val="00D85AEF"/>
    <w:rsid w:val="00D86568"/>
    <w:rsid w:val="00D8778B"/>
    <w:rsid w:val="00D93BD0"/>
    <w:rsid w:val="00D943B9"/>
    <w:rsid w:val="00D9462E"/>
    <w:rsid w:val="00D94D84"/>
    <w:rsid w:val="00D96618"/>
    <w:rsid w:val="00D97507"/>
    <w:rsid w:val="00D977BF"/>
    <w:rsid w:val="00D97BAD"/>
    <w:rsid w:val="00DA0F46"/>
    <w:rsid w:val="00DA2D42"/>
    <w:rsid w:val="00DA34EC"/>
    <w:rsid w:val="00DA5B66"/>
    <w:rsid w:val="00DA63F6"/>
    <w:rsid w:val="00DB333F"/>
    <w:rsid w:val="00DB4785"/>
    <w:rsid w:val="00DB57FF"/>
    <w:rsid w:val="00DB6320"/>
    <w:rsid w:val="00DB70DF"/>
    <w:rsid w:val="00DC3AEE"/>
    <w:rsid w:val="00DC4AAF"/>
    <w:rsid w:val="00DC55B4"/>
    <w:rsid w:val="00DC57EC"/>
    <w:rsid w:val="00DC6350"/>
    <w:rsid w:val="00DC6E7B"/>
    <w:rsid w:val="00DD1D65"/>
    <w:rsid w:val="00DD333D"/>
    <w:rsid w:val="00DD3B80"/>
    <w:rsid w:val="00DD45D9"/>
    <w:rsid w:val="00DD5238"/>
    <w:rsid w:val="00DD5543"/>
    <w:rsid w:val="00DD67A0"/>
    <w:rsid w:val="00DD7944"/>
    <w:rsid w:val="00DD7C2A"/>
    <w:rsid w:val="00DE0EC4"/>
    <w:rsid w:val="00DE1395"/>
    <w:rsid w:val="00DE22DA"/>
    <w:rsid w:val="00DE2975"/>
    <w:rsid w:val="00DF1631"/>
    <w:rsid w:val="00DF2AFF"/>
    <w:rsid w:val="00DF5B7E"/>
    <w:rsid w:val="00DF6DE1"/>
    <w:rsid w:val="00E03A78"/>
    <w:rsid w:val="00E0428C"/>
    <w:rsid w:val="00E04B5E"/>
    <w:rsid w:val="00E05E28"/>
    <w:rsid w:val="00E076A3"/>
    <w:rsid w:val="00E07FE1"/>
    <w:rsid w:val="00E1102F"/>
    <w:rsid w:val="00E11402"/>
    <w:rsid w:val="00E12636"/>
    <w:rsid w:val="00E14DE6"/>
    <w:rsid w:val="00E14F07"/>
    <w:rsid w:val="00E174F3"/>
    <w:rsid w:val="00E201FC"/>
    <w:rsid w:val="00E21013"/>
    <w:rsid w:val="00E270B4"/>
    <w:rsid w:val="00E27DFA"/>
    <w:rsid w:val="00E30857"/>
    <w:rsid w:val="00E33B87"/>
    <w:rsid w:val="00E35760"/>
    <w:rsid w:val="00E36CE8"/>
    <w:rsid w:val="00E413A2"/>
    <w:rsid w:val="00E418ED"/>
    <w:rsid w:val="00E44C9A"/>
    <w:rsid w:val="00E45F0C"/>
    <w:rsid w:val="00E47492"/>
    <w:rsid w:val="00E50170"/>
    <w:rsid w:val="00E50CA4"/>
    <w:rsid w:val="00E53B36"/>
    <w:rsid w:val="00E54A0B"/>
    <w:rsid w:val="00E60F4C"/>
    <w:rsid w:val="00E71902"/>
    <w:rsid w:val="00E71D25"/>
    <w:rsid w:val="00E73E68"/>
    <w:rsid w:val="00E75E12"/>
    <w:rsid w:val="00E80335"/>
    <w:rsid w:val="00E825FE"/>
    <w:rsid w:val="00E84589"/>
    <w:rsid w:val="00E86109"/>
    <w:rsid w:val="00E862E0"/>
    <w:rsid w:val="00E87A19"/>
    <w:rsid w:val="00E91A39"/>
    <w:rsid w:val="00E92237"/>
    <w:rsid w:val="00E93312"/>
    <w:rsid w:val="00E94956"/>
    <w:rsid w:val="00E959AC"/>
    <w:rsid w:val="00E9747B"/>
    <w:rsid w:val="00EA2B90"/>
    <w:rsid w:val="00EA4967"/>
    <w:rsid w:val="00EA5F72"/>
    <w:rsid w:val="00EB00C7"/>
    <w:rsid w:val="00EB0D08"/>
    <w:rsid w:val="00EB0E7E"/>
    <w:rsid w:val="00EB3D50"/>
    <w:rsid w:val="00EB418D"/>
    <w:rsid w:val="00EC27D1"/>
    <w:rsid w:val="00EC5176"/>
    <w:rsid w:val="00ED132A"/>
    <w:rsid w:val="00ED1948"/>
    <w:rsid w:val="00ED536C"/>
    <w:rsid w:val="00ED6DFD"/>
    <w:rsid w:val="00EE3389"/>
    <w:rsid w:val="00EE3B22"/>
    <w:rsid w:val="00EE4D43"/>
    <w:rsid w:val="00EE7053"/>
    <w:rsid w:val="00EF094D"/>
    <w:rsid w:val="00EF1313"/>
    <w:rsid w:val="00EF211E"/>
    <w:rsid w:val="00F00298"/>
    <w:rsid w:val="00F0080A"/>
    <w:rsid w:val="00F01F7C"/>
    <w:rsid w:val="00F02654"/>
    <w:rsid w:val="00F02E69"/>
    <w:rsid w:val="00F10E37"/>
    <w:rsid w:val="00F124ED"/>
    <w:rsid w:val="00F12DE1"/>
    <w:rsid w:val="00F13244"/>
    <w:rsid w:val="00F2091B"/>
    <w:rsid w:val="00F21EB6"/>
    <w:rsid w:val="00F233B8"/>
    <w:rsid w:val="00F236E3"/>
    <w:rsid w:val="00F23AEC"/>
    <w:rsid w:val="00F25D9C"/>
    <w:rsid w:val="00F25ECC"/>
    <w:rsid w:val="00F26D4E"/>
    <w:rsid w:val="00F279B4"/>
    <w:rsid w:val="00F27DD5"/>
    <w:rsid w:val="00F321A0"/>
    <w:rsid w:val="00F327DA"/>
    <w:rsid w:val="00F34181"/>
    <w:rsid w:val="00F35B90"/>
    <w:rsid w:val="00F40244"/>
    <w:rsid w:val="00F42390"/>
    <w:rsid w:val="00F42F01"/>
    <w:rsid w:val="00F4482F"/>
    <w:rsid w:val="00F52CA8"/>
    <w:rsid w:val="00F52DBF"/>
    <w:rsid w:val="00F54248"/>
    <w:rsid w:val="00F5457F"/>
    <w:rsid w:val="00F622FF"/>
    <w:rsid w:val="00F62928"/>
    <w:rsid w:val="00F63318"/>
    <w:rsid w:val="00F64B0A"/>
    <w:rsid w:val="00F6546C"/>
    <w:rsid w:val="00F71E52"/>
    <w:rsid w:val="00F730E4"/>
    <w:rsid w:val="00F74225"/>
    <w:rsid w:val="00F744F3"/>
    <w:rsid w:val="00F77F87"/>
    <w:rsid w:val="00F8239C"/>
    <w:rsid w:val="00F82DA6"/>
    <w:rsid w:val="00F901A5"/>
    <w:rsid w:val="00F913FC"/>
    <w:rsid w:val="00F92012"/>
    <w:rsid w:val="00F945D4"/>
    <w:rsid w:val="00F94D37"/>
    <w:rsid w:val="00F95C0E"/>
    <w:rsid w:val="00FA2DDC"/>
    <w:rsid w:val="00FA2FF5"/>
    <w:rsid w:val="00FA3C68"/>
    <w:rsid w:val="00FA6EBD"/>
    <w:rsid w:val="00FB1E88"/>
    <w:rsid w:val="00FB3C2A"/>
    <w:rsid w:val="00FB4941"/>
    <w:rsid w:val="00FB4BB7"/>
    <w:rsid w:val="00FB7A79"/>
    <w:rsid w:val="00FB7D91"/>
    <w:rsid w:val="00FC640E"/>
    <w:rsid w:val="00FC66CE"/>
    <w:rsid w:val="00FC68B3"/>
    <w:rsid w:val="00FC6DFA"/>
    <w:rsid w:val="00FD2A98"/>
    <w:rsid w:val="00FE0331"/>
    <w:rsid w:val="00FE1067"/>
    <w:rsid w:val="00FE1EE7"/>
    <w:rsid w:val="00FE27B5"/>
    <w:rsid w:val="00FE62D2"/>
    <w:rsid w:val="00FE7DD4"/>
    <w:rsid w:val="00FF08BA"/>
    <w:rsid w:val="00FF170B"/>
    <w:rsid w:val="00FF2173"/>
    <w:rsid w:val="00FF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D692E"/>
    <w:pPr>
      <w:spacing w:after="0" w:line="240" w:lineRule="auto"/>
    </w:pPr>
    <w:rPr>
      <w:rFonts w:eastAsia="Times New Roman" w:cs="Arial"/>
      <w:b/>
      <w:color w:val="365F91"/>
      <w:sz w:val="24"/>
      <w:szCs w:val="21"/>
    </w:rPr>
  </w:style>
  <w:style w:type="character" w:customStyle="1" w:styleId="a4">
    <w:name w:val="Текст Знак"/>
    <w:link w:val="a3"/>
    <w:uiPriority w:val="99"/>
    <w:semiHidden/>
    <w:rsid w:val="00BD692E"/>
    <w:rPr>
      <w:rFonts w:eastAsia="Times New Roman" w:cs="Arial"/>
      <w:b/>
      <w:color w:val="365F91"/>
      <w:sz w:val="24"/>
      <w:szCs w:val="21"/>
      <w:lang w:eastAsia="en-US"/>
    </w:rPr>
  </w:style>
  <w:style w:type="character" w:customStyle="1" w:styleId="a5">
    <w:name w:val="Без интервала Знак"/>
    <w:link w:val="a6"/>
    <w:uiPriority w:val="1"/>
    <w:qFormat/>
    <w:locked/>
    <w:rsid w:val="00BD692E"/>
  </w:style>
  <w:style w:type="paragraph" w:styleId="a6">
    <w:name w:val="No Spacing"/>
    <w:link w:val="a5"/>
    <w:uiPriority w:val="1"/>
    <w:qFormat/>
    <w:rsid w:val="00BD692E"/>
  </w:style>
  <w:style w:type="paragraph" w:customStyle="1" w:styleId="Default">
    <w:name w:val="Default"/>
    <w:rsid w:val="00BD69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Знак Знак Знак Знак"/>
    <w:basedOn w:val="a"/>
    <w:rsid w:val="00225527"/>
    <w:pPr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6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22FF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link w:val="ab"/>
    <w:uiPriority w:val="34"/>
    <w:qFormat/>
    <w:rsid w:val="004913BA"/>
    <w:pPr>
      <w:ind w:left="720"/>
      <w:contextualSpacing/>
    </w:pPr>
    <w:rPr>
      <w:rFonts w:eastAsia="Times New Roman"/>
      <w:lang w:eastAsia="ru-RU"/>
    </w:rPr>
  </w:style>
  <w:style w:type="table" w:styleId="ac">
    <w:name w:val="Table Grid"/>
    <w:basedOn w:val="a1"/>
    <w:uiPriority w:val="59"/>
    <w:rsid w:val="004913B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rsid w:val="00F25D9C"/>
  </w:style>
  <w:style w:type="paragraph" w:customStyle="1" w:styleId="1">
    <w:name w:val="Без интервала1"/>
    <w:qFormat/>
    <w:rsid w:val="00AE4084"/>
    <w:rPr>
      <w:rFonts w:eastAsia="Times New Roman"/>
      <w:sz w:val="22"/>
      <w:szCs w:val="22"/>
      <w:lang w:eastAsia="en-US"/>
    </w:rPr>
  </w:style>
  <w:style w:type="paragraph" w:customStyle="1" w:styleId="10">
    <w:name w:val="1"/>
    <w:basedOn w:val="a"/>
    <w:rsid w:val="005520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C860F9"/>
    <w:rPr>
      <w:rFonts w:eastAsia="Times New Roman"/>
      <w:sz w:val="22"/>
      <w:szCs w:val="22"/>
    </w:rPr>
  </w:style>
  <w:style w:type="character" w:styleId="ad">
    <w:name w:val="Strong"/>
    <w:qFormat/>
    <w:rsid w:val="00F02654"/>
    <w:rPr>
      <w:rFonts w:ascii="Times New Roman" w:hAnsi="Times New Roman"/>
      <w:b/>
    </w:rPr>
  </w:style>
  <w:style w:type="character" w:styleId="ae">
    <w:name w:val="Hyperlink"/>
    <w:basedOn w:val="a0"/>
    <w:uiPriority w:val="99"/>
    <w:semiHidden/>
    <w:unhideWhenUsed/>
    <w:rsid w:val="00F02654"/>
    <w:rPr>
      <w:color w:val="0000FF"/>
      <w:u w:val="single"/>
    </w:rPr>
  </w:style>
  <w:style w:type="paragraph" w:customStyle="1" w:styleId="11">
    <w:name w:val="Абзац списка1"/>
    <w:basedOn w:val="a"/>
    <w:rsid w:val="00806B1A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CAE7-6CE3-47FB-97D5-F77A359E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gilimanova.en</cp:lastModifiedBy>
  <cp:revision>77</cp:revision>
  <cp:lastPrinted>2022-02-17T05:17:00Z</cp:lastPrinted>
  <dcterms:created xsi:type="dcterms:W3CDTF">2022-07-07T10:28:00Z</dcterms:created>
  <dcterms:modified xsi:type="dcterms:W3CDTF">2022-12-05T10:55:00Z</dcterms:modified>
</cp:coreProperties>
</file>