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9A3143">
        <w:rPr>
          <w:sz w:val="28"/>
          <w:szCs w:val="28"/>
        </w:rPr>
        <w:t xml:space="preserve"> </w:t>
      </w:r>
      <w:r w:rsidR="006A06F3">
        <w:rPr>
          <w:sz w:val="28"/>
          <w:szCs w:val="28"/>
        </w:rPr>
        <w:t>9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DD4F73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DD4F73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</w:t>
      </w:r>
      <w:proofErr w:type="gramEnd"/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7974B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D64A2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D64A2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706" w:type="dxa"/>
        <w:tblInd w:w="97" w:type="dxa"/>
        <w:tblLayout w:type="fixed"/>
        <w:tblLook w:val="04A0"/>
      </w:tblPr>
      <w:tblGrid>
        <w:gridCol w:w="578"/>
        <w:gridCol w:w="851"/>
        <w:gridCol w:w="1701"/>
        <w:gridCol w:w="2126"/>
        <w:gridCol w:w="1276"/>
        <w:gridCol w:w="850"/>
        <w:gridCol w:w="1134"/>
        <w:gridCol w:w="1418"/>
        <w:gridCol w:w="850"/>
        <w:gridCol w:w="1418"/>
        <w:gridCol w:w="1276"/>
        <w:gridCol w:w="1228"/>
      </w:tblGrid>
      <w:tr w:rsidR="003F304D" w:rsidRPr="00944825" w:rsidTr="003F304D">
        <w:trPr>
          <w:trHeight w:val="1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sz w:val="16"/>
                <w:szCs w:val="16"/>
              </w:rPr>
            </w:pPr>
            <w:r w:rsidRPr="00944825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73731" w:rsidRDefault="00C248E8" w:rsidP="00012BD7">
            <w:pPr>
              <w:jc w:val="center"/>
              <w:rPr>
                <w:sz w:val="16"/>
                <w:szCs w:val="16"/>
              </w:rPr>
            </w:pPr>
            <w:r w:rsidRPr="00973731"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012BD7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012BD7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012BD7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3F304D" w:rsidRPr="006A06F3" w:rsidTr="003F304D">
        <w:trPr>
          <w:trHeight w:val="1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944825" w:rsidRDefault="006A0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6A06F3" w:rsidP="00E74266">
            <w:pPr>
              <w:jc w:val="center"/>
              <w:rPr>
                <w:color w:val="000000"/>
                <w:sz w:val="16"/>
                <w:szCs w:val="16"/>
              </w:rPr>
            </w:pPr>
            <w:r w:rsidRPr="006A06F3">
              <w:rPr>
                <w:color w:val="000000"/>
                <w:sz w:val="16"/>
                <w:szCs w:val="16"/>
              </w:rPr>
              <w:t>2070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6A06F3" w:rsidP="003F304D">
            <w:pPr>
              <w:jc w:val="center"/>
              <w:rPr>
                <w:color w:val="000000"/>
                <w:sz w:val="16"/>
                <w:szCs w:val="16"/>
              </w:rPr>
            </w:pPr>
            <w:r w:rsidRPr="006A06F3">
              <w:rPr>
                <w:color w:val="000000"/>
                <w:sz w:val="16"/>
                <w:szCs w:val="16"/>
              </w:rPr>
              <w:t>Самарская область,</w:t>
            </w:r>
            <w:r w:rsidRPr="006A06F3">
              <w:rPr>
                <w:color w:val="000000"/>
                <w:sz w:val="16"/>
                <w:szCs w:val="16"/>
              </w:rPr>
              <w:br/>
            </w:r>
            <w:proofErr w:type="gramStart"/>
            <w:r w:rsidRPr="006A06F3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A06F3">
              <w:rPr>
                <w:color w:val="000000"/>
                <w:sz w:val="16"/>
                <w:szCs w:val="16"/>
              </w:rPr>
              <w:t>.</w:t>
            </w:r>
            <w:r w:rsidR="003F304D">
              <w:rPr>
                <w:color w:val="000000"/>
                <w:sz w:val="16"/>
                <w:szCs w:val="16"/>
              </w:rPr>
              <w:t xml:space="preserve"> </w:t>
            </w:r>
            <w:r w:rsidRPr="006A06F3">
              <w:rPr>
                <w:color w:val="000000"/>
                <w:sz w:val="16"/>
                <w:szCs w:val="16"/>
              </w:rPr>
              <w:t>Тольятти, Автозаводский район, 6 квартал, бульвар Королева, 20, юго-восточнее зд</w:t>
            </w:r>
            <w:r w:rsidR="003F304D">
              <w:rPr>
                <w:color w:val="000000"/>
                <w:sz w:val="16"/>
                <w:szCs w:val="16"/>
              </w:rPr>
              <w:t>а</w:t>
            </w:r>
            <w:r w:rsidRPr="006A06F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6A06F3">
            <w:pPr>
              <w:jc w:val="center"/>
              <w:rPr>
                <w:color w:val="000000"/>
                <w:sz w:val="16"/>
                <w:szCs w:val="16"/>
              </w:rPr>
            </w:pPr>
            <w:r w:rsidRPr="006A06F3">
              <w:rPr>
                <w:color w:val="000000"/>
                <w:sz w:val="16"/>
                <w:szCs w:val="16"/>
              </w:rPr>
              <w:t>20922.50  18749.18</w:t>
            </w:r>
            <w:r w:rsidRPr="006A06F3">
              <w:rPr>
                <w:color w:val="000000"/>
                <w:sz w:val="16"/>
                <w:szCs w:val="16"/>
              </w:rPr>
              <w:br/>
              <w:t>20921.34  18756.14</w:t>
            </w:r>
            <w:r w:rsidRPr="006A06F3">
              <w:rPr>
                <w:color w:val="000000"/>
                <w:sz w:val="16"/>
                <w:szCs w:val="16"/>
              </w:rPr>
              <w:br/>
              <w:t>20920.73  18759.61 20911.32  18758.03 20911.90  18754.57 20913.06  18747.61 20922.50  18749.18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6A06F3">
            <w:pPr>
              <w:jc w:val="center"/>
              <w:rPr>
                <w:color w:val="000000"/>
                <w:sz w:val="16"/>
                <w:szCs w:val="16"/>
              </w:rPr>
            </w:pPr>
            <w:r w:rsidRPr="006A06F3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944825" w:rsidRDefault="006A06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6A06F3">
            <w:pPr>
              <w:jc w:val="center"/>
              <w:rPr>
                <w:color w:val="000000"/>
                <w:sz w:val="16"/>
                <w:szCs w:val="16"/>
              </w:rPr>
            </w:pPr>
            <w:r w:rsidRPr="006A06F3">
              <w:rPr>
                <w:color w:val="000000"/>
                <w:sz w:val="16"/>
                <w:szCs w:val="16"/>
              </w:rPr>
              <w:t>несезонный -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3F30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</w:t>
            </w:r>
            <w:r w:rsidR="006A06F3" w:rsidRPr="006A06F3">
              <w:rPr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6A06F3" w:rsidRDefault="002402F5" w:rsidP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012BD7" w:rsidRDefault="003F30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012BD7" w:rsidRDefault="003F304D" w:rsidP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229 700,00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F3" w:rsidRPr="00012BD7" w:rsidRDefault="003F304D" w:rsidP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6 891,00</w:t>
            </w:r>
          </w:p>
        </w:tc>
      </w:tr>
    </w:tbl>
    <w:p w:rsidR="0072741B" w:rsidRPr="003E328B" w:rsidRDefault="009C1E92" w:rsidP="00A572F9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72741B" w:rsidRPr="00973731">
        <w:rPr>
          <w:sz w:val="28"/>
          <w:szCs w:val="28"/>
        </w:rPr>
        <w:t xml:space="preserve">адаток для участия в аукционе вносится не позднее </w:t>
      </w:r>
      <w:r w:rsidR="00EC029D">
        <w:rPr>
          <w:sz w:val="28"/>
          <w:szCs w:val="28"/>
        </w:rPr>
        <w:t>24</w:t>
      </w:r>
      <w:r w:rsidR="00954D5E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9A3143">
        <w:rPr>
          <w:sz w:val="28"/>
          <w:szCs w:val="28"/>
        </w:rPr>
        <w:t>9</w:t>
      </w:r>
      <w:r w:rsidR="00762CE9" w:rsidRPr="00973731">
        <w:rPr>
          <w:sz w:val="28"/>
          <w:szCs w:val="28"/>
        </w:rPr>
        <w:t>.201</w:t>
      </w:r>
      <w:r w:rsidR="00EC0588" w:rsidRPr="00973731">
        <w:rPr>
          <w:sz w:val="28"/>
          <w:szCs w:val="28"/>
        </w:rPr>
        <w:t>8</w:t>
      </w:r>
      <w:r w:rsidR="0072741B" w:rsidRPr="00973731">
        <w:rPr>
          <w:sz w:val="28"/>
          <w:szCs w:val="28"/>
        </w:rPr>
        <w:t xml:space="preserve"> на счет получателя Департамента финансов</w:t>
      </w:r>
      <w:r w:rsidR="00F97101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="0072741B" w:rsidRPr="003E328B">
        <w:rPr>
          <w:sz w:val="28"/>
          <w:szCs w:val="28"/>
        </w:rPr>
        <w:t xml:space="preserve"> городского округа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="0072741B"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="0072741B"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="0072741B"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="0072741B" w:rsidRPr="003E328B">
        <w:rPr>
          <w:sz w:val="28"/>
          <w:szCs w:val="28"/>
        </w:rPr>
        <w:t xml:space="preserve"> в РКЦ Тольятти г</w:t>
      </w:r>
      <w:proofErr w:type="gramStart"/>
      <w:r w:rsidR="0072741B" w:rsidRPr="003E328B">
        <w:rPr>
          <w:sz w:val="28"/>
          <w:szCs w:val="28"/>
        </w:rPr>
        <w:t>.Т</w:t>
      </w:r>
      <w:proofErr w:type="gramEnd"/>
      <w:r w:rsidR="0072741B" w:rsidRPr="003E328B">
        <w:rPr>
          <w:sz w:val="28"/>
          <w:szCs w:val="28"/>
        </w:rPr>
        <w:t xml:space="preserve">ольятти, БИК 043678000, ИНН 6320001741, КПП </w:t>
      </w:r>
      <w:r w:rsidR="003E328B">
        <w:rPr>
          <w:sz w:val="28"/>
          <w:szCs w:val="28"/>
        </w:rPr>
        <w:t>632445009</w:t>
      </w:r>
      <w:r w:rsidR="0072741B"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lastRenderedPageBreak/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7B1F1E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</w:t>
      </w:r>
      <w:r w:rsidR="00F33C9C">
        <w:rPr>
          <w:sz w:val="28"/>
          <w:szCs w:val="28"/>
        </w:rPr>
        <w:t xml:space="preserve"> 1</w:t>
      </w:r>
      <w:r w:rsidR="00C75D32">
        <w:rPr>
          <w:sz w:val="28"/>
          <w:szCs w:val="28"/>
        </w:rPr>
        <w:t xml:space="preserve"> (извещение № </w:t>
      </w:r>
      <w:r w:rsidR="00E74266">
        <w:rPr>
          <w:sz w:val="28"/>
          <w:szCs w:val="28"/>
        </w:rPr>
        <w:t>9</w:t>
      </w:r>
      <w:r w:rsidR="00C75D32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lastRenderedPageBreak/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973731">
        <w:rPr>
          <w:sz w:val="28"/>
          <w:szCs w:val="28"/>
        </w:rPr>
        <w:t>каб</w:t>
      </w:r>
      <w:proofErr w:type="spellEnd"/>
      <w:r w:rsidRPr="00973731">
        <w:rPr>
          <w:sz w:val="28"/>
          <w:szCs w:val="28"/>
        </w:rPr>
        <w:t>. 71</w:t>
      </w:r>
      <w:r w:rsidR="00C27983" w:rsidRPr="00973731">
        <w:rPr>
          <w:sz w:val="28"/>
          <w:szCs w:val="28"/>
        </w:rPr>
        <w:t>3</w:t>
      </w:r>
      <w:r w:rsidR="006F7033" w:rsidRPr="00973731">
        <w:rPr>
          <w:sz w:val="28"/>
          <w:szCs w:val="28"/>
        </w:rPr>
        <w:t>, 701</w:t>
      </w:r>
      <w:r w:rsidR="002677A8">
        <w:rPr>
          <w:sz w:val="28"/>
          <w:szCs w:val="28"/>
        </w:rPr>
        <w:t xml:space="preserve"> </w:t>
      </w:r>
      <w:r w:rsidRPr="00973731">
        <w:rPr>
          <w:sz w:val="28"/>
          <w:szCs w:val="28"/>
        </w:rPr>
        <w:t xml:space="preserve">с </w:t>
      </w:r>
      <w:r w:rsidR="00F97101">
        <w:rPr>
          <w:sz w:val="28"/>
          <w:szCs w:val="28"/>
        </w:rPr>
        <w:t>0</w:t>
      </w:r>
      <w:r w:rsidR="00CF7138">
        <w:rPr>
          <w:sz w:val="28"/>
          <w:szCs w:val="28"/>
        </w:rPr>
        <w:t>1</w:t>
      </w:r>
      <w:r w:rsidR="00536473" w:rsidRPr="00973731">
        <w:rPr>
          <w:sz w:val="28"/>
          <w:szCs w:val="28"/>
        </w:rPr>
        <w:t>.</w:t>
      </w:r>
      <w:r w:rsidR="00CF7138">
        <w:rPr>
          <w:sz w:val="28"/>
          <w:szCs w:val="28"/>
        </w:rPr>
        <w:t>10</w:t>
      </w:r>
      <w:r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по </w:t>
      </w:r>
      <w:r w:rsidR="00F97101">
        <w:rPr>
          <w:sz w:val="28"/>
          <w:szCs w:val="28"/>
        </w:rPr>
        <w:t>24</w:t>
      </w:r>
      <w:r w:rsidR="00536473" w:rsidRPr="00973731">
        <w:rPr>
          <w:sz w:val="28"/>
          <w:szCs w:val="28"/>
        </w:rPr>
        <w:t>.</w:t>
      </w:r>
      <w:r w:rsidR="00CF7138">
        <w:rPr>
          <w:sz w:val="28"/>
          <w:szCs w:val="28"/>
        </w:rPr>
        <w:t>10</w:t>
      </w:r>
      <w:r w:rsidR="00762CE9"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с 9.00 до 12.00 и с 13.00 до 1</w:t>
      </w:r>
      <w:r w:rsidR="00D560B8" w:rsidRPr="00973731">
        <w:rPr>
          <w:sz w:val="28"/>
          <w:szCs w:val="28"/>
        </w:rPr>
        <w:t>6</w:t>
      </w:r>
      <w:r w:rsidRPr="00973731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97101">
        <w:rPr>
          <w:b/>
          <w:sz w:val="28"/>
          <w:szCs w:val="28"/>
        </w:rPr>
        <w:t xml:space="preserve">Дата </w:t>
      </w:r>
      <w:r w:rsidR="00A81773" w:rsidRPr="00F97101">
        <w:rPr>
          <w:b/>
          <w:sz w:val="28"/>
          <w:szCs w:val="28"/>
        </w:rPr>
        <w:t>рассмотрения заявок на участие</w:t>
      </w:r>
      <w:r w:rsidR="00825EF1" w:rsidRPr="00F97101">
        <w:rPr>
          <w:b/>
          <w:sz w:val="28"/>
          <w:szCs w:val="28"/>
        </w:rPr>
        <w:t xml:space="preserve"> в аукционе</w:t>
      </w:r>
      <w:r w:rsidRPr="00F97101">
        <w:rPr>
          <w:b/>
          <w:sz w:val="28"/>
          <w:szCs w:val="28"/>
        </w:rPr>
        <w:t>:</w:t>
      </w:r>
      <w:r w:rsidR="00F97101">
        <w:rPr>
          <w:b/>
          <w:sz w:val="28"/>
          <w:szCs w:val="28"/>
        </w:rPr>
        <w:t xml:space="preserve"> </w:t>
      </w:r>
      <w:r w:rsidR="00F97101" w:rsidRPr="00F97101">
        <w:rPr>
          <w:sz w:val="28"/>
          <w:szCs w:val="28"/>
        </w:rPr>
        <w:t>29</w:t>
      </w:r>
      <w:r w:rsidR="00E57940" w:rsidRPr="00F97101">
        <w:rPr>
          <w:sz w:val="28"/>
          <w:szCs w:val="28"/>
        </w:rPr>
        <w:t>.</w:t>
      </w:r>
      <w:r w:rsidR="00CF7138">
        <w:rPr>
          <w:sz w:val="28"/>
          <w:szCs w:val="28"/>
        </w:rPr>
        <w:t>10</w:t>
      </w:r>
      <w:r w:rsidR="00762CE9" w:rsidRPr="00F97101">
        <w:rPr>
          <w:sz w:val="28"/>
          <w:szCs w:val="28"/>
        </w:rPr>
        <w:t>.201</w:t>
      </w:r>
      <w:r w:rsidR="0064091C" w:rsidRPr="00F97101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97101">
        <w:rPr>
          <w:b/>
          <w:sz w:val="28"/>
          <w:szCs w:val="28"/>
        </w:rPr>
        <w:t>Место</w:t>
      </w:r>
      <w:r w:rsidR="0092394F" w:rsidRPr="00F97101">
        <w:rPr>
          <w:b/>
          <w:sz w:val="28"/>
          <w:szCs w:val="28"/>
        </w:rPr>
        <w:t>, дата</w:t>
      </w:r>
      <w:r w:rsidRPr="00F97101">
        <w:rPr>
          <w:b/>
          <w:sz w:val="28"/>
          <w:szCs w:val="28"/>
        </w:rPr>
        <w:t xml:space="preserve"> и </w:t>
      </w:r>
      <w:r w:rsidR="0092394F" w:rsidRPr="00F97101">
        <w:rPr>
          <w:b/>
          <w:sz w:val="28"/>
          <w:szCs w:val="28"/>
        </w:rPr>
        <w:t>время</w:t>
      </w:r>
      <w:r w:rsidRPr="00F97101">
        <w:rPr>
          <w:b/>
          <w:sz w:val="28"/>
          <w:szCs w:val="28"/>
        </w:rPr>
        <w:t xml:space="preserve"> подведения итогов аукциона</w:t>
      </w:r>
      <w:r w:rsidR="0072741B" w:rsidRPr="00F97101">
        <w:rPr>
          <w:sz w:val="28"/>
          <w:szCs w:val="28"/>
        </w:rPr>
        <w:t xml:space="preserve">: </w:t>
      </w:r>
      <w:proofErr w:type="gramStart"/>
      <w:r w:rsidR="0064091C" w:rsidRPr="00F97101">
        <w:rPr>
          <w:sz w:val="28"/>
          <w:szCs w:val="28"/>
        </w:rPr>
        <w:t>г</w:t>
      </w:r>
      <w:proofErr w:type="gramEnd"/>
      <w:r w:rsidR="0064091C" w:rsidRPr="00F97101">
        <w:rPr>
          <w:sz w:val="28"/>
          <w:szCs w:val="28"/>
        </w:rPr>
        <w:t>. Тольятти, ул. Белорусская, 33, 1 этаж,</w:t>
      </w:r>
      <w:r w:rsidR="00F97101" w:rsidRPr="00F97101">
        <w:rPr>
          <w:sz w:val="28"/>
          <w:szCs w:val="28"/>
        </w:rPr>
        <w:t xml:space="preserve"> </w:t>
      </w:r>
      <w:r w:rsidR="0064091C" w:rsidRPr="00F97101">
        <w:rPr>
          <w:sz w:val="28"/>
          <w:szCs w:val="28"/>
        </w:rPr>
        <w:t xml:space="preserve">актовый зал, </w:t>
      </w:r>
      <w:r w:rsidR="00CF7138">
        <w:rPr>
          <w:sz w:val="28"/>
          <w:szCs w:val="28"/>
        </w:rPr>
        <w:t>01</w:t>
      </w:r>
      <w:r w:rsidR="00E57940" w:rsidRPr="00F97101">
        <w:rPr>
          <w:sz w:val="28"/>
          <w:szCs w:val="28"/>
        </w:rPr>
        <w:t>.</w:t>
      </w:r>
      <w:r w:rsidR="00CF7138">
        <w:rPr>
          <w:sz w:val="28"/>
          <w:szCs w:val="28"/>
        </w:rPr>
        <w:t>11</w:t>
      </w:r>
      <w:r w:rsidR="00762CE9" w:rsidRPr="00F97101">
        <w:rPr>
          <w:sz w:val="28"/>
          <w:szCs w:val="28"/>
        </w:rPr>
        <w:t>.201</w:t>
      </w:r>
      <w:r w:rsidR="0064091C" w:rsidRPr="00F97101">
        <w:rPr>
          <w:sz w:val="28"/>
          <w:szCs w:val="28"/>
        </w:rPr>
        <w:t>8</w:t>
      </w:r>
      <w:r w:rsidR="0072741B" w:rsidRPr="00F97101">
        <w:rPr>
          <w:sz w:val="28"/>
          <w:szCs w:val="28"/>
        </w:rPr>
        <w:t xml:space="preserve"> в </w:t>
      </w:r>
      <w:r w:rsidR="008E79AB">
        <w:rPr>
          <w:sz w:val="28"/>
          <w:szCs w:val="28"/>
        </w:rPr>
        <w:t>08</w:t>
      </w:r>
      <w:r w:rsidR="0072741B" w:rsidRPr="00F97101">
        <w:rPr>
          <w:sz w:val="28"/>
          <w:szCs w:val="28"/>
        </w:rPr>
        <w:t>.</w:t>
      </w:r>
      <w:r w:rsidR="008E79AB">
        <w:rPr>
          <w:sz w:val="28"/>
          <w:szCs w:val="28"/>
        </w:rPr>
        <w:t>45</w:t>
      </w:r>
      <w:r w:rsidR="0064091C" w:rsidRPr="00F97101">
        <w:rPr>
          <w:sz w:val="28"/>
          <w:szCs w:val="28"/>
        </w:rPr>
        <w:t>.</w:t>
      </w:r>
      <w:bookmarkStart w:id="0" w:name="_GoBack"/>
      <w:bookmarkEnd w:id="0"/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lastRenderedPageBreak/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2677A8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</w:t>
      </w:r>
      <w:r w:rsidR="008E79AB">
        <w:rPr>
          <w:sz w:val="28"/>
          <w:szCs w:val="28"/>
        </w:rPr>
        <w:t>е</w:t>
      </w:r>
      <w:r w:rsidRPr="002212EB">
        <w:rPr>
          <w:sz w:val="28"/>
          <w:szCs w:val="28"/>
        </w:rPr>
        <w:t xml:space="preserve"> №</w:t>
      </w:r>
      <w:r w:rsidR="00EC029D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</w:t>
      </w:r>
      <w:r w:rsidRPr="00A83E55">
        <w:rPr>
          <w:sz w:val="28"/>
          <w:szCs w:val="28"/>
        </w:rPr>
        <w:lastRenderedPageBreak/>
        <w:t xml:space="preserve">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0E3BE8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0E3BE8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1D22DF" w:rsidRDefault="00D560B8" w:rsidP="00F9710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0E3BE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F97101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  <w:r w:rsidR="00444220"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F97101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9A3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7B1F1E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B1F1E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B1F1E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 w:rsidR="007B1F1E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7B1F1E">
        <w:rPr>
          <w:sz w:val="22"/>
        </w:rPr>
        <w:t xml:space="preserve">                                                                                                      </w:t>
      </w:r>
      <w:r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5332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171B8D">
        <w:rPr>
          <w:rFonts w:ascii="Times New Roman" w:hAnsi="Times New Roman"/>
          <w:sz w:val="28"/>
        </w:rPr>
        <w:t xml:space="preserve"> 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684F76" w:rsidRPr="00460A2E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684F76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 xml:space="preserve">Договора на размещение </w:t>
      </w:r>
      <w:r w:rsidRPr="00BA35BC">
        <w:rPr>
          <w:rFonts w:ascii="Times New Roman" w:hAnsi="Times New Roman"/>
          <w:sz w:val="28"/>
          <w:szCs w:val="28"/>
        </w:rPr>
        <w:t>несе</w:t>
      </w:r>
      <w:r w:rsidRPr="00D26E1B">
        <w:rPr>
          <w:rFonts w:ascii="Times New Roman" w:hAnsi="Times New Roman"/>
          <w:sz w:val="28"/>
          <w:szCs w:val="28"/>
        </w:rPr>
        <w:t>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684F76" w:rsidRPr="00460A2E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Тольятти                                                                </w:t>
      </w:r>
      <w:r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 городского округа Тольятти,</w:t>
      </w:r>
      <w:r>
        <w:rPr>
          <w:rFonts w:ascii="Times New Roman" w:hAnsi="Times New Roman"/>
          <w:sz w:val="28"/>
          <w:szCs w:val="28"/>
        </w:rPr>
        <w:t xml:space="preserve"> именуемая в дальнейшем Сторона </w:t>
      </w:r>
      <w:r w:rsidRPr="00460A2E">
        <w:rPr>
          <w:rFonts w:ascii="Times New Roman" w:hAnsi="Times New Roman"/>
          <w:sz w:val="28"/>
          <w:szCs w:val="28"/>
        </w:rPr>
        <w:t xml:space="preserve">1, в лице </w:t>
      </w:r>
      <w:r>
        <w:rPr>
          <w:rFonts w:ascii="Times New Roman" w:hAnsi="Times New Roman"/>
          <w:sz w:val="28"/>
          <w:szCs w:val="28"/>
        </w:rPr>
        <w:t>начальника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развития</w:t>
      </w:r>
      <w:r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>
        <w:rPr>
          <w:rFonts w:ascii="Times New Roman" w:hAnsi="Times New Roman"/>
          <w:sz w:val="28"/>
          <w:szCs w:val="28"/>
        </w:rPr>
        <w:t>Федькаева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Николаевича,</w:t>
      </w:r>
      <w:r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22E0C">
        <w:rPr>
          <w:rFonts w:ascii="Times New Roman" w:hAnsi="Times New Roman"/>
          <w:sz w:val="28"/>
          <w:szCs w:val="28"/>
        </w:rPr>
        <w:t>28.12.2017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№</w:t>
      </w:r>
      <w:r w:rsidRPr="00222E0C">
        <w:rPr>
          <w:rFonts w:ascii="Times New Roman" w:hAnsi="Times New Roman"/>
          <w:sz w:val="28"/>
          <w:szCs w:val="28"/>
        </w:rPr>
        <w:t xml:space="preserve"> 10560/1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460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2, действующ</w:t>
      </w:r>
      <w:r>
        <w:rPr>
          <w:rFonts w:ascii="Times New Roman" w:hAnsi="Times New Roman"/>
          <w:sz w:val="28"/>
          <w:szCs w:val="28"/>
        </w:rPr>
        <w:t>ий</w:t>
      </w:r>
      <w:r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t>11</w:t>
      </w:r>
      <w:r w:rsidRPr="00460A2E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8</w:t>
      </w:r>
      <w:r w:rsidRPr="00460A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42</w:t>
      </w:r>
      <w:r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684F76" w:rsidRPr="00460A2E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684F76" w:rsidRPr="00460A2E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Pr="00460A2E">
        <w:rPr>
          <w:rFonts w:ascii="Times New Roman" w:hAnsi="Times New Roman"/>
          <w:sz w:val="28"/>
          <w:szCs w:val="28"/>
        </w:rPr>
        <w:t>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A2E">
        <w:rPr>
          <w:rFonts w:ascii="Times New Roman" w:hAnsi="Times New Roman"/>
          <w:sz w:val="28"/>
          <w:szCs w:val="28"/>
        </w:rPr>
        <w:t xml:space="preserve">местонахождение: </w:t>
      </w:r>
      <w:proofErr w:type="gramStart"/>
      <w:r w:rsidRPr="00460A2E">
        <w:rPr>
          <w:rFonts w:ascii="Times New Roman" w:hAnsi="Times New Roman"/>
          <w:sz w:val="28"/>
          <w:szCs w:val="28"/>
        </w:rPr>
        <w:t>г</w:t>
      </w:r>
      <w:proofErr w:type="gramEnd"/>
      <w:r w:rsidRPr="00460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Тольятти,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</w:t>
      </w:r>
      <w:r w:rsidRPr="00BA35BC">
        <w:rPr>
          <w:rFonts w:ascii="Times New Roman" w:hAnsi="Times New Roman"/>
          <w:sz w:val="28"/>
          <w:szCs w:val="28"/>
        </w:rPr>
        <w:t>не</w:t>
      </w:r>
      <w:r w:rsidRPr="00460A2E">
        <w:rPr>
          <w:rFonts w:ascii="Times New Roman" w:hAnsi="Times New Roman"/>
          <w:sz w:val="28"/>
          <w:szCs w:val="28"/>
        </w:rPr>
        <w:t>сезонным</w:t>
      </w:r>
      <w:r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684F76" w:rsidRPr="00460A2E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>
        <w:rPr>
          <w:rFonts w:ascii="Times New Roman" w:hAnsi="Times New Roman"/>
          <w:sz w:val="28"/>
          <w:szCs w:val="28"/>
        </w:rPr>
        <w:t xml:space="preserve">5 лет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Договора обеими сторонами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Годовой р</w:t>
      </w:r>
      <w:r w:rsidRPr="00A46A25">
        <w:rPr>
          <w:rFonts w:ascii="Times New Roman" w:hAnsi="Times New Roman"/>
          <w:sz w:val="28"/>
          <w:szCs w:val="28"/>
        </w:rPr>
        <w:t>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 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 xml:space="preserve">рублей _______ копеек </w:t>
      </w:r>
      <w:r>
        <w:rPr>
          <w:rFonts w:ascii="Times New Roman" w:hAnsi="Times New Roman"/>
          <w:sz w:val="28"/>
          <w:szCs w:val="28"/>
        </w:rPr>
        <w:t>в год</w:t>
      </w:r>
      <w:r w:rsidRPr="00A46A25">
        <w:rPr>
          <w:rFonts w:ascii="Times New Roman" w:hAnsi="Times New Roman"/>
          <w:sz w:val="28"/>
          <w:szCs w:val="28"/>
        </w:rPr>
        <w:t>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3.3. Плата за размещение НТО вносится Стороной 2</w:t>
      </w:r>
      <w:r>
        <w:rPr>
          <w:rFonts w:ascii="Times New Roman" w:hAnsi="Times New Roman"/>
          <w:sz w:val="28"/>
          <w:szCs w:val="28"/>
        </w:rPr>
        <w:t xml:space="preserve">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дней до истечения срока действия настоящего Договора.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_____».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Pr="0085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>
        <w:rPr>
          <w:rFonts w:ascii="Times New Roman" w:hAnsi="Times New Roman"/>
          <w:sz w:val="28"/>
          <w:szCs w:val="28"/>
        </w:rPr>
        <w:t xml:space="preserve">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4.3.8. В случае изменения адреса либо иных реквизитов в </w:t>
      </w:r>
      <w:r>
        <w:rPr>
          <w:rFonts w:ascii="Times New Roman" w:hAnsi="Times New Roman"/>
          <w:sz w:val="28"/>
          <w:szCs w:val="28"/>
        </w:rPr>
        <w:t>одно</w:t>
      </w:r>
      <w:r w:rsidRPr="00460A2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 w:rsidRPr="00460A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вный срок</w:t>
      </w:r>
      <w:r w:rsidRPr="00460A2E">
        <w:rPr>
          <w:rFonts w:ascii="Times New Roman" w:hAnsi="Times New Roman"/>
          <w:sz w:val="28"/>
          <w:szCs w:val="28"/>
        </w:rPr>
        <w:t xml:space="preserve"> направлять в адрес Стороны 1 письменное уведомление об этом.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 xml:space="preserve">1.1, 1.3, </w:t>
        </w:r>
        <w:r w:rsidRPr="00460A2E">
          <w:rPr>
            <w:rFonts w:ascii="Times New Roman" w:hAnsi="Times New Roman"/>
            <w:sz w:val="28"/>
            <w:szCs w:val="28"/>
          </w:rPr>
          <w:t>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460A2E">
        <w:rPr>
          <w:rFonts w:ascii="Times New Roman" w:hAnsi="Times New Roman"/>
          <w:sz w:val="28"/>
          <w:szCs w:val="28"/>
        </w:rPr>
        <w:t xml:space="preserve">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</w:t>
      </w:r>
      <w:r>
        <w:rPr>
          <w:rFonts w:ascii="Times New Roman" w:hAnsi="Times New Roman"/>
          <w:sz w:val="28"/>
          <w:szCs w:val="28"/>
        </w:rPr>
        <w:t>одно</w:t>
      </w:r>
      <w:r w:rsidRPr="00460A2E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евный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460A2E">
        <w:rPr>
          <w:rFonts w:ascii="Times New Roman" w:hAnsi="Times New Roman"/>
          <w:sz w:val="28"/>
          <w:szCs w:val="28"/>
        </w:rPr>
        <w:t>и оформляются дополнительным соглашением.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</w:t>
      </w:r>
      <w:r>
        <w:rPr>
          <w:rFonts w:ascii="Times New Roman" w:hAnsi="Times New Roman"/>
          <w:sz w:val="28"/>
          <w:szCs w:val="28"/>
        </w:rPr>
        <w:t xml:space="preserve">трехмесячный </w:t>
      </w:r>
      <w:r w:rsidRPr="00460A2E">
        <w:rPr>
          <w:rFonts w:ascii="Times New Roman" w:hAnsi="Times New Roman"/>
          <w:sz w:val="28"/>
          <w:szCs w:val="28"/>
        </w:rPr>
        <w:t xml:space="preserve">размер платы за размещение НТО, а равно невнесения такой платы </w:t>
      </w:r>
      <w:r>
        <w:rPr>
          <w:rFonts w:ascii="Times New Roman" w:hAnsi="Times New Roman"/>
          <w:sz w:val="28"/>
          <w:szCs w:val="28"/>
        </w:rPr>
        <w:t>по истечении тридцати</w:t>
      </w:r>
      <w:r w:rsidRPr="00460A2E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со дня истечения соответствующих трех месяцев использования</w:t>
      </w:r>
      <w:r w:rsidRPr="00460A2E">
        <w:rPr>
          <w:rFonts w:ascii="Times New Roman" w:hAnsi="Times New Roman"/>
          <w:sz w:val="28"/>
          <w:szCs w:val="28"/>
        </w:rPr>
        <w:t xml:space="preserve"> НТО.</w:t>
      </w:r>
      <w:r>
        <w:rPr>
          <w:rFonts w:ascii="Times New Roman" w:hAnsi="Times New Roman"/>
          <w:sz w:val="28"/>
          <w:szCs w:val="28"/>
        </w:rPr>
        <w:t xml:space="preserve"> Расторжение настоящего Договора не освобождает Сторону 2 от необходимости погашения задолженности по плате за раз</w:t>
      </w:r>
      <w:r w:rsidR="00F4482C">
        <w:rPr>
          <w:rFonts w:ascii="Times New Roman" w:hAnsi="Times New Roman"/>
          <w:sz w:val="28"/>
          <w:szCs w:val="28"/>
        </w:rPr>
        <w:t>мещение НТО и выплаты неустойки;</w:t>
      </w:r>
    </w:p>
    <w:p w:rsidR="00F4482C" w:rsidRPr="00460A2E" w:rsidRDefault="00F4482C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046CA">
        <w:rPr>
          <w:rFonts w:ascii="Times New Roman" w:hAnsi="Times New Roman"/>
          <w:sz w:val="27"/>
          <w:szCs w:val="27"/>
        </w:rPr>
        <w:t xml:space="preserve">4) повторного нарушения в течение двенадцати месяцев </w:t>
      </w:r>
      <w:proofErr w:type="gramStart"/>
      <w:r w:rsidRPr="003046CA">
        <w:rPr>
          <w:rFonts w:ascii="Times New Roman" w:hAnsi="Times New Roman"/>
          <w:sz w:val="27"/>
          <w:szCs w:val="27"/>
        </w:rPr>
        <w:t>с даты выявления</w:t>
      </w:r>
      <w:proofErr w:type="gramEnd"/>
      <w:r w:rsidRPr="003046CA">
        <w:rPr>
          <w:rFonts w:ascii="Times New Roman" w:hAnsi="Times New Roman"/>
          <w:sz w:val="27"/>
          <w:szCs w:val="27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</w:t>
      </w:r>
      <w:r>
        <w:rPr>
          <w:rFonts w:ascii="Times New Roman" w:hAnsi="Times New Roman"/>
          <w:sz w:val="27"/>
          <w:szCs w:val="27"/>
        </w:rPr>
        <w:t>НТО</w:t>
      </w:r>
      <w:r w:rsidRPr="003046CA">
        <w:rPr>
          <w:rFonts w:ascii="Times New Roman" w:hAnsi="Times New Roman"/>
          <w:sz w:val="27"/>
          <w:szCs w:val="27"/>
        </w:rPr>
        <w:t>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8.2. Настоящий Договор составлен на ________ листах в двух экземплярах, имеющих равную юридическую силу.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684F76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4F76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763EC1" w:rsidRDefault="00763EC1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684F76" w:rsidRPr="00460A2E" w:rsidTr="00E74266">
        <w:tc>
          <w:tcPr>
            <w:tcW w:w="4786" w:type="dxa"/>
          </w:tcPr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84F76" w:rsidRPr="00F01D62" w:rsidTr="00E74266">
        <w:trPr>
          <w:trHeight w:val="7727"/>
        </w:trPr>
        <w:tc>
          <w:tcPr>
            <w:tcW w:w="4786" w:type="dxa"/>
          </w:tcPr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КПП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 потребительского рынка</w:t>
            </w:r>
            <w:r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684F76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684F76" w:rsidRPr="00B85AA9" w:rsidRDefault="00684F76" w:rsidP="00E74266"/>
          <w:p w:rsidR="00684F76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С.Н. </w:t>
            </w:r>
            <w:proofErr w:type="spellStart"/>
            <w:r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684F76" w:rsidRPr="00B85AA9" w:rsidRDefault="00684F76" w:rsidP="00E74266"/>
        </w:tc>
        <w:tc>
          <w:tcPr>
            <w:tcW w:w="5428" w:type="dxa"/>
          </w:tcPr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684F76" w:rsidRPr="00B85AA9" w:rsidRDefault="00684F76" w:rsidP="00E74266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684F76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684F76" w:rsidRPr="00F01D62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684F76" w:rsidRPr="00F01D62" w:rsidRDefault="00684F76" w:rsidP="00E74266"/>
        </w:tc>
      </w:tr>
    </w:tbl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38" w:rsidRDefault="00CF7138" w:rsidP="00C1463D">
      <w:r>
        <w:separator/>
      </w:r>
    </w:p>
  </w:endnote>
  <w:endnote w:type="continuationSeparator" w:id="1">
    <w:p w:rsidR="00CF7138" w:rsidRDefault="00CF7138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38" w:rsidRDefault="00CF7138" w:rsidP="00C1463D">
      <w:r>
        <w:separator/>
      </w:r>
    </w:p>
  </w:footnote>
  <w:footnote w:type="continuationSeparator" w:id="1">
    <w:p w:rsidR="00CF7138" w:rsidRDefault="00CF7138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8" w:rsidRDefault="00C5700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713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7138">
      <w:rPr>
        <w:rStyle w:val="ac"/>
        <w:noProof/>
      </w:rPr>
      <w:t>1</w:t>
    </w:r>
    <w:r>
      <w:rPr>
        <w:rStyle w:val="ac"/>
      </w:rPr>
      <w:fldChar w:fldCharType="end"/>
    </w:r>
  </w:p>
  <w:p w:rsidR="00CF7138" w:rsidRDefault="00CF71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445"/>
    <w:rsid w:val="00000F61"/>
    <w:rsid w:val="00004635"/>
    <w:rsid w:val="00006077"/>
    <w:rsid w:val="00007FB6"/>
    <w:rsid w:val="000127A4"/>
    <w:rsid w:val="00012BD7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34B8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1061"/>
    <w:rsid w:val="000F1523"/>
    <w:rsid w:val="000F19E0"/>
    <w:rsid w:val="000F2B09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35BD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1B8D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3449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02F5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767A0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304D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0736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1272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4F76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6F3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3324"/>
    <w:rsid w:val="0075609B"/>
    <w:rsid w:val="00757E8D"/>
    <w:rsid w:val="00762057"/>
    <w:rsid w:val="00762CE9"/>
    <w:rsid w:val="00763EC1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4BB"/>
    <w:rsid w:val="007A1D67"/>
    <w:rsid w:val="007A4469"/>
    <w:rsid w:val="007A7371"/>
    <w:rsid w:val="007B02A0"/>
    <w:rsid w:val="007B117D"/>
    <w:rsid w:val="007B14FE"/>
    <w:rsid w:val="007B1F1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5EE3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E79AB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143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1E92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36672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76823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4E5D"/>
    <w:rsid w:val="00AA625D"/>
    <w:rsid w:val="00AA6A32"/>
    <w:rsid w:val="00AB1BC3"/>
    <w:rsid w:val="00AB32D5"/>
    <w:rsid w:val="00AB3AB6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0512"/>
    <w:rsid w:val="00B4346B"/>
    <w:rsid w:val="00B44F3F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00B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CF7138"/>
    <w:rsid w:val="00D00B14"/>
    <w:rsid w:val="00D032B7"/>
    <w:rsid w:val="00D037C8"/>
    <w:rsid w:val="00D053B7"/>
    <w:rsid w:val="00D05B41"/>
    <w:rsid w:val="00D063D4"/>
    <w:rsid w:val="00D11FFE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575A8"/>
    <w:rsid w:val="00D6094D"/>
    <w:rsid w:val="00D60AF2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4F73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372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5ECA"/>
    <w:rsid w:val="00E20655"/>
    <w:rsid w:val="00E20737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66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1981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7BF2"/>
    <w:rsid w:val="00EC029D"/>
    <w:rsid w:val="00EC0588"/>
    <w:rsid w:val="00EC1C8F"/>
    <w:rsid w:val="00EC1CCE"/>
    <w:rsid w:val="00EC1D34"/>
    <w:rsid w:val="00EC1F26"/>
    <w:rsid w:val="00EC1FCD"/>
    <w:rsid w:val="00EC2BE5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3C9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82C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01"/>
    <w:rsid w:val="00F9717A"/>
    <w:rsid w:val="00FA1741"/>
    <w:rsid w:val="00FA2BB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144-1EB5-40F1-A5D2-A20B9769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26717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8</cp:revision>
  <cp:lastPrinted>2018-08-03T11:26:00Z</cp:lastPrinted>
  <dcterms:created xsi:type="dcterms:W3CDTF">2018-09-27T11:44:00Z</dcterms:created>
  <dcterms:modified xsi:type="dcterms:W3CDTF">2018-10-01T09:55:00Z</dcterms:modified>
</cp:coreProperties>
</file>